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978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7840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McCann Peter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02/23/2025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094"/>
        <w:spacing w:after="0"/>
        <w:rPr>
          <w:sz w:val="20"/>
          <w:szCs w:val="20"/>
          <w:color w:val="auto"/>
        </w:rPr>
      </w:pPr>
      <w:r>
        <w:rPr>
          <w:rFonts w:ascii="Times New Roman" w:cs="Times New Roman" w:eastAsia="Times New Roman" w:hAnsi="Times New Roman"/>
          <w:sz w:val="17"/>
          <w:szCs w:val="17"/>
          <w:color w:val="0000FF"/>
        </w:rPr>
        <w:t>SVP, Australia</w:t>
      </w:r>
    </w:p>
    <w:p>
      <w:pPr>
        <w:spacing w:after="0" w:line="318"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8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80" w:type="dxa"/>
            <w:vAlign w:val="bottom"/>
            <w:gridSpan w:val="8"/>
            <w:vMerge w:val="continue"/>
          </w:tcPr>
          <w:p>
            <w:pPr>
              <w:spacing w:after="0"/>
              <w:rPr>
                <w:sz w:val="7"/>
                <w:szCs w:val="7"/>
                <w:color w:val="auto"/>
              </w:rPr>
            </w:pPr>
          </w:p>
        </w:tc>
        <w:tc>
          <w:tcPr>
            <w:tcW w:w="36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77002</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02/23/2025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2,099</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47,494</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02/23/2025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2,099</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27.31</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45,395</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02/23/2025</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2,099</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2,099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13,819</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was the economic equivalent of one Civeo common share and is payable in cash. The phantom shares vest at various times based on the grant date. 2,099 shares vested on February 23, 2025.</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Peter McCann, by Bradley</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02/24/2025</w:t>
            </w:r>
          </w:p>
        </w:tc>
        <w:tc>
          <w:tcPr>
            <w:tcW w:w="0" w:type="dxa"/>
            <w:vAlign w:val="bottom"/>
          </w:tcPr>
          <w:p>
            <w:pPr>
              <w:spacing w:after="0"/>
              <w:rPr>
                <w:sz w:val="1"/>
                <w:szCs w:val="1"/>
                <w:color w:val="auto"/>
              </w:rPr>
            </w:pPr>
          </w:p>
        </w:tc>
      </w:tr>
      <w:tr>
        <w:trPr>
          <w:trHeight w:val="89"/>
        </w:trPr>
        <w:tc>
          <w:tcPr>
            <w:tcW w:w="19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8"/>
              </w:rPr>
              <w:t>J. Dodson, Attorney-in-Fact</w:t>
            </w:r>
          </w:p>
        </w:tc>
        <w:tc>
          <w:tcPr>
            <w:tcW w:w="3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90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7344"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2025-02-24T18:35:35Z</dcterms:created>
  <dcterms:modified xsi:type="dcterms:W3CDTF">2025-02-24T18:35:35Z</dcterms:modified>
</cp:coreProperties>
</file>