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LAMBERT MARTIN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05/14/2015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22,422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88,063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May 14, 2015 or the next annual stockholders' meeting date.</w:t>
      </w:r>
    </w:p>
    <w:p>
      <w:pPr>
        <w:ind w:left="6860"/>
        <w:spacing w:after="0" w:line="193" w:lineRule="auto"/>
        <w:rPr>
          <w:sz w:val="20"/>
          <w:szCs w:val="20"/>
          <w:color w:val="auto"/>
        </w:rPr>
      </w:pPr>
      <w:r>
        <w:rPr>
          <w:rFonts w:ascii="Arial" w:cs="Arial" w:eastAsia="Arial" w:hAnsi="Arial"/>
          <w:sz w:val="18"/>
          <w:szCs w:val="18"/>
          <w:color w:val="0000FF"/>
        </w:rPr>
        <w:t xml:space="preserve">/s/ Martin Lambert, by Bradley </w:t>
      </w:r>
      <w:r>
        <w:rPr>
          <w:rFonts w:ascii="Arial" w:cs="Arial" w:eastAsia="Arial" w:hAnsi="Arial"/>
          <w:sz w:val="35"/>
          <w:szCs w:val="35"/>
          <w:color w:val="0000FF"/>
          <w:vertAlign w:val="subscript"/>
        </w:rPr>
        <w:t>05/15/2015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82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2019-12-24T07:14:36Z</dcterms:created>
  <dcterms:modified xsi:type="dcterms:W3CDTF">2019-12-24T07:14:36Z</dcterms:modified>
</cp:coreProperties>
</file>