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Engine Capital Management,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2ND</w:t>
            </w:r>
          </w:p>
        </w:tc>
        <w:tc>
          <w:tcPr>
            <w:tcW w:w="11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02/13/2026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54"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10105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20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02/13/2026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335,394</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28.8026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776,557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0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02/13/2026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46,109</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28.8026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66,119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02/13/2026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35,512</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28.8026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78,423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Lift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02/18/2026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7,730</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29.0343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768,827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0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02/18/2026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658</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29.0343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65,461</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Engine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00" w:type="dxa"/>
            <w:vAlign w:val="bottom"/>
            <w:gridSpan w:val="6"/>
          </w:tcPr>
          <w:p>
            <w:pPr>
              <w:jc w:val="right"/>
              <w:ind w:right="95"/>
              <w:spacing w:after="0"/>
              <w:rPr>
                <w:sz w:val="20"/>
                <w:szCs w:val="20"/>
                <w:color w:val="auto"/>
              </w:rPr>
            </w:pPr>
            <w:r>
              <w:rPr>
                <w:rFonts w:ascii="Times New Roman" w:cs="Times New Roman" w:eastAsia="Times New Roman" w:hAnsi="Times New Roman"/>
                <w:sz w:val="17"/>
                <w:szCs w:val="17"/>
                <w:color w:val="0000FF"/>
              </w:rPr>
              <w:t>02/18/2026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center"/>
              <w:ind w:right="337"/>
              <w:spacing w:after="0"/>
              <w:rPr>
                <w:sz w:val="20"/>
                <w:szCs w:val="20"/>
                <w:color w:val="auto"/>
              </w:rPr>
            </w:pPr>
            <w:r>
              <w:rPr>
                <w:rFonts w:ascii="Times New Roman" w:cs="Times New Roman" w:eastAsia="Times New Roman" w:hAnsi="Times New Roman"/>
                <w:sz w:val="13"/>
                <w:szCs w:val="13"/>
                <w:color w:val="0000FF"/>
                <w:w w:val="82"/>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781</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29.0343</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77,642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Lift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4"/>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4"/>
          </w:tcPr>
          <w:p>
            <w:pPr>
              <w:jc w:val="right"/>
              <w:ind w:right="115"/>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4"/>
          </w:tcPr>
          <w:p>
            <w:pPr>
              <w:jc w:val="right"/>
              <w:ind w:right="95"/>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3 and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11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611630"/>
                    </a:xfrm>
                    <a:prstGeom prst="rect">
                      <a:avLst/>
                    </a:prstGeom>
                    <a:noFill/>
                  </pic:spPr>
                </pic:pic>
              </a:graphicData>
            </a:graphic>
          </wp:anchor>
        </w:drawing>
      </w:r>
    </w:p>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5"/>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5"/>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60" w:type="dxa"/>
            <w:vAlign w:val="bottom"/>
            <w:gridSpan w:val="4"/>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2"/>
                <w:szCs w:val="2"/>
                <w:color w:val="0000EE"/>
              </w:rPr>
              <w:t>Engine Capital Management, LP</w:t>
            </w: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5"/>
          </w:tcPr>
          <w:p>
            <w:pPr>
              <w:ind w:left="20"/>
              <w:spacing w:after="0" w:line="148" w:lineRule="exact"/>
              <w:rPr>
                <w:sz w:val="20"/>
                <w:szCs w:val="20"/>
                <w:color w:val="auto"/>
              </w:rPr>
            </w:pPr>
            <w:r>
              <w:rPr>
                <w:rFonts w:ascii="Arial" w:cs="Arial" w:eastAsia="Arial" w:hAnsi="Arial"/>
                <w:sz w:val="13"/>
                <w:szCs w:val="13"/>
                <w:color w:val="auto"/>
              </w:rPr>
              <w:t>(First)</w:t>
            </w:r>
          </w:p>
        </w:tc>
        <w:tc>
          <w:tcPr>
            <w:tcW w:w="240" w:type="dxa"/>
            <w:vAlign w:val="bottom"/>
          </w:tcPr>
          <w:p>
            <w:pPr>
              <w:spacing w:after="0"/>
              <w:rPr>
                <w:sz w:val="12"/>
                <w:szCs w:val="12"/>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3"/>
                <w:szCs w:val="13"/>
                <w:color w:val="auto"/>
              </w:rPr>
              <w:t>(Middle)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1345 AVENUE OF THE AMERICAS, 2ND FLOOR</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700" w:type="dxa"/>
            <w:vAlign w:val="bottom"/>
            <w:gridSpan w:val="10"/>
            <w:vMerge w:val="continue"/>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700" w:type="dxa"/>
            <w:vAlign w:val="bottom"/>
            <w:gridSpan w:val="10"/>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NEW YORK</w:t>
            </w: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NY</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14"/>
                <w:szCs w:val="14"/>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vMerge w:val="continue"/>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gridSpan w:val="5"/>
            <w:vMerge w:val="continue"/>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gridSpan w:val="3"/>
            <w:vMerge w:val="continue"/>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gridSpan w:val="3"/>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ENGINE CAPITAL,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2ND FLOOR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Engine Jet Capital,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2ND FLOOR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Engine Lift Capital,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2ND FLOOR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Engine Investments,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2ND FLOOR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Engine Investments II,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1345 AVENUE OF THE AMERICAS, 2ND FLOOR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73" w:right="359" w:bottom="0" w:gutter="0" w:footer="0" w:header="0"/>
        </w:sectPr>
      </w:pPr>
    </w:p>
    <w:p>
      <w:pPr>
        <w:spacing w:after="0" w:line="1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73"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279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327914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Engine Capital Management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2ND FLOOR</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Ajdler Arnaud</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2ND FLOOR</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Engine Capital, L.P. ("Engine Capital"), Engine Jet Capital, L.P. ("Engine Jet"), Engine Lift Capital, LP ("Engine Lift"), Engine Capital Management, LP ("Engine Management"), Engine Capital Management GP, LLC ("Engine GP"), Engine Investments, LLC ("Engine Investments"), Engine Investments II, LLC ("Engine Investments II") and Arnaud Ajdler (collectively, the "Reporting Persons"). Each Reporting Person may be deemed to be a member of a Section 13(d) group.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Engine Capital. Engine Investments is the general partner of Engine Capital, Engine Management is the investment advisor of Engine Capital, Engine GP is the general partner of Engine Management, and Mr. Ajdler serves as the managing partner of Engine Management and the managing member of Engine GP and Engine Investments. As a result of these relationships, Engine Investments, Engine Management, Engine GP and Mr. Ajdler may be deemed to beneficially own the securities owned directly by Engine Capital.</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Engine Jet. Engine Investments is the general partner of Engine Jet, Engine Management is the investment advisor of Engine Jet, Engine GP is the general partner of Engine Management, and Mr. Ajdler serves as the managing partner of Engine Management and the managing member of Engine GP and Engine Investments. As a result of these relationships, Engine Investments, Engine Management, Engine GP and Mr. Ajdler may be deemed to beneficially own the securities owned directly by Engine Jet.</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Engine Lift. Engine Investments II is the general partner of Engine Lift, Engine Management is the investment advisor of Engine Lift, Engine GP is the general partner of Engine Management, and Mr. Ajdler serves as the managing partner of Engine Management and the managing member of Engine GP and Engine Investments II. As a result of these relationships, Engine Investments II, Engine Management, Engine GP and Mr. Ajdler may be deemed to beneficially own the securities owned directly by Engine Lift.</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0000FF"/>
              </w:rPr>
              <w:t>Engine Capital Management,</w:t>
            </w:r>
          </w:p>
        </w:tc>
        <w:tc>
          <w:tcPr>
            <w:tcW w:w="1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LP, By: Engine Capital</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Management GP, LLC, By:</w:t>
            </w:r>
          </w:p>
        </w:tc>
        <w:tc>
          <w:tcPr>
            <w:tcW w:w="8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193"/>
        </w:trPr>
        <w:tc>
          <w:tcPr>
            <w:tcW w:w="1800" w:type="dxa"/>
            <w:vAlign w:val="bottom"/>
            <w:tcBorders>
              <w:top w:val="single" w:sz="8" w:color="auto"/>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Arnaud Ajdler, Managing</w:t>
            </w:r>
          </w:p>
        </w:tc>
        <w:tc>
          <w:tcPr>
            <w:tcW w:w="100" w:type="dxa"/>
            <w:vAlign w:val="bottom"/>
            <w:tcBorders>
              <w:top w:val="single" w:sz="8" w:color="auto"/>
            </w:tcBorders>
          </w:tcPr>
          <w:p>
            <w:pPr>
              <w:spacing w:after="0"/>
              <w:rPr>
                <w:sz w:val="16"/>
                <w:szCs w:val="16"/>
                <w:color w:val="auto"/>
              </w:rPr>
            </w:pPr>
          </w:p>
        </w:tc>
        <w:tc>
          <w:tcPr>
            <w:tcW w:w="26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Engine Capital, L.P., By:</w:t>
            </w:r>
          </w:p>
        </w:tc>
        <w:tc>
          <w:tcPr>
            <w:tcW w:w="420" w:type="dxa"/>
            <w:vAlign w:val="bottom"/>
            <w:gridSpan w:val="10"/>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40" w:type="dxa"/>
            <w:vAlign w:val="bottom"/>
            <w:tcBorders>
              <w:bottom w:val="single" w:sz="8" w:color="auto"/>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FF"/>
              </w:rPr>
              <w:t>Engine Investments, LLC, By:</w:t>
            </w:r>
          </w:p>
        </w:tc>
        <w:tc>
          <w:tcPr>
            <w:tcW w:w="20" w:type="dxa"/>
            <w:vAlign w:val="bottom"/>
          </w:tcPr>
          <w:p>
            <w:pPr>
              <w:spacing w:after="0"/>
              <w:rPr>
                <w:sz w:val="16"/>
                <w:szCs w:val="16"/>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87"/>
        </w:trPr>
        <w:tc>
          <w:tcPr>
            <w:tcW w:w="180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Arnaud Ajdler, Managing</w:t>
            </w:r>
          </w:p>
        </w:tc>
        <w:tc>
          <w:tcPr>
            <w:tcW w:w="360" w:type="dxa"/>
            <w:vAlign w:val="bottom"/>
            <w:gridSpan w:val="9"/>
            <w:vMerge w:val="restart"/>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gridSpan w:val="6"/>
            <w:vMerge w:val="continue"/>
          </w:tcPr>
          <w:p>
            <w:pPr>
              <w:spacing w:after="0"/>
              <w:rPr>
                <w:sz w:val="7"/>
                <w:szCs w:val="7"/>
                <w:color w:val="auto"/>
              </w:rPr>
            </w:pPr>
          </w:p>
        </w:tc>
        <w:tc>
          <w:tcPr>
            <w:tcW w:w="36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9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0000FF"/>
              </w:rPr>
              <w:t>Engine Jet Capital, L.P., By:</w:t>
            </w:r>
          </w:p>
        </w:tc>
        <w:tc>
          <w:tcPr>
            <w:tcW w:w="18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40" w:type="dxa"/>
            <w:vAlign w:val="bottom"/>
            <w:tcBorders>
              <w:bottom w:val="single" w:sz="8" w:color="auto"/>
            </w:tcBorders>
            <w:gridSpan w:val="14"/>
          </w:tcPr>
          <w:p>
            <w:pPr>
              <w:spacing w:after="0" w:line="180" w:lineRule="exact"/>
              <w:rPr>
                <w:sz w:val="20"/>
                <w:szCs w:val="20"/>
                <w:color w:val="auto"/>
              </w:rPr>
            </w:pPr>
            <w:r>
              <w:rPr>
                <w:rFonts w:ascii="Times New Roman" w:cs="Times New Roman" w:eastAsia="Times New Roman" w:hAnsi="Times New Roman"/>
                <w:sz w:val="17"/>
                <w:szCs w:val="17"/>
                <w:color w:val="0000FF"/>
              </w:rPr>
              <w:t>Engine Investments, LLC, By:</w:t>
            </w:r>
          </w:p>
        </w:tc>
        <w:tc>
          <w:tcPr>
            <w:tcW w:w="20" w:type="dxa"/>
            <w:vAlign w:val="bottom"/>
          </w:tcPr>
          <w:p>
            <w:pPr>
              <w:spacing w:after="0"/>
              <w:rPr>
                <w:sz w:val="16"/>
                <w:szCs w:val="16"/>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87"/>
        </w:trPr>
        <w:tc>
          <w:tcPr>
            <w:tcW w:w="180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Arnaud Ajdler, Managing</w:t>
            </w:r>
          </w:p>
        </w:tc>
        <w:tc>
          <w:tcPr>
            <w:tcW w:w="360" w:type="dxa"/>
            <w:vAlign w:val="bottom"/>
            <w:gridSpan w:val="9"/>
            <w:vMerge w:val="restart"/>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gridSpan w:val="6"/>
            <w:vMerge w:val="continue"/>
          </w:tcPr>
          <w:p>
            <w:pPr>
              <w:spacing w:after="0"/>
              <w:rPr>
                <w:sz w:val="7"/>
                <w:szCs w:val="7"/>
                <w:color w:val="auto"/>
              </w:rPr>
            </w:pPr>
          </w:p>
        </w:tc>
        <w:tc>
          <w:tcPr>
            <w:tcW w:w="360" w:type="dxa"/>
            <w:vAlign w:val="bottom"/>
            <w:gridSpan w:val="9"/>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0000FF"/>
              </w:rPr>
              <w:t>Engine Lift Capital, LP, By:</w:t>
            </w:r>
          </w:p>
        </w:tc>
        <w:tc>
          <w:tcPr>
            <w:tcW w:w="200" w:type="dxa"/>
            <w:vAlign w:val="bottom"/>
            <w:gridSpan w:val="7"/>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20" w:type="dxa"/>
            <w:vAlign w:val="bottom"/>
            <w:tcBorders>
              <w:bottom w:val="single" w:sz="8" w:color="auto"/>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Engine Investments II, LLC,</w:t>
            </w:r>
          </w:p>
        </w:tc>
        <w:tc>
          <w:tcPr>
            <w:tcW w:w="14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02/18/2026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00" w:type="dxa"/>
            <w:vAlign w:val="bottom"/>
            <w:gridSpan w:val="1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By: Arnaud Ajdler, Managing</w:t>
            </w:r>
          </w:p>
        </w:tc>
        <w:tc>
          <w:tcPr>
            <w:tcW w:w="60" w:type="dxa"/>
            <w:vAlign w:val="bottom"/>
            <w:gridSpan w:val="2"/>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00" w:type="dxa"/>
            <w:vAlign w:val="bottom"/>
            <w:tcBorders>
              <w:bottom w:val="single" w:sz="8" w:color="auto"/>
            </w:tcBorders>
            <w:gridSpan w:val="13"/>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1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0000FF"/>
              </w:rPr>
              <w:t>Engine Investments, LLC, By:</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0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Arnaud Ajdler, Managing</w:t>
            </w:r>
          </w:p>
        </w:tc>
        <w:tc>
          <w:tcPr>
            <w:tcW w:w="360" w:type="dxa"/>
            <w:vAlign w:val="bottom"/>
            <w:gridSpan w:val="9"/>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02/18/2026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0000FF"/>
              </w:rPr>
              <w:t>Engine Investments II, LLC,</w:t>
            </w:r>
          </w:p>
        </w:tc>
        <w:tc>
          <w:tcPr>
            <w:tcW w:w="14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tcBorders>
              <w:bottom w:val="single" w:sz="8" w:color="auto"/>
            </w:tcBorders>
            <w:gridSpan w:val="13"/>
          </w:tcPr>
          <w:p>
            <w:pPr>
              <w:spacing w:after="0" w:line="194" w:lineRule="exact"/>
              <w:rPr>
                <w:sz w:val="20"/>
                <w:szCs w:val="20"/>
                <w:color w:val="auto"/>
              </w:rPr>
            </w:pPr>
            <w:r>
              <w:rPr>
                <w:rFonts w:ascii="Times New Roman" w:cs="Times New Roman" w:eastAsia="Times New Roman" w:hAnsi="Times New Roman"/>
                <w:sz w:val="17"/>
                <w:szCs w:val="17"/>
                <w:color w:val="0000FF"/>
              </w:rPr>
              <w:t>By: Arnaud Ajdler, Managing</w:t>
            </w:r>
          </w:p>
        </w:tc>
        <w:tc>
          <w:tcPr>
            <w:tcW w:w="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02/18/2026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6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0000FF"/>
              </w:rPr>
              <w:t>Engine Capital Management</w:t>
            </w:r>
          </w:p>
        </w:tc>
        <w:tc>
          <w:tcPr>
            <w:tcW w:w="160" w:type="dxa"/>
            <w:vAlign w:val="bottom"/>
            <w:gridSpan w:val="5"/>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60" w:type="dxa"/>
            <w:vAlign w:val="bottom"/>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GP, LLC, By: Arnaud Ajdler,</w:t>
            </w:r>
          </w:p>
        </w:tc>
        <w:tc>
          <w:tcPr>
            <w:tcW w:w="8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193"/>
        </w:trPr>
        <w:tc>
          <w:tcPr>
            <w:tcW w:w="2040" w:type="dxa"/>
            <w:vAlign w:val="bottom"/>
            <w:tcBorders>
              <w:top w:val="single" w:sz="8" w:color="auto"/>
            </w:tcBorders>
            <w:gridSpan w:val="12"/>
          </w:tcPr>
          <w:p>
            <w:pPr>
              <w:spacing w:after="0" w:line="194" w:lineRule="exact"/>
              <w:rPr>
                <w:sz w:val="20"/>
                <w:szCs w:val="20"/>
                <w:color w:val="auto"/>
              </w:rPr>
            </w:pPr>
            <w:r>
              <w:rPr>
                <w:rFonts w:ascii="Times New Roman" w:cs="Times New Roman" w:eastAsia="Times New Roman" w:hAnsi="Times New Roman"/>
                <w:sz w:val="17"/>
                <w:szCs w:val="17"/>
                <w:color w:val="0000FF"/>
              </w:rPr>
              <w:t>Managing Member</w:t>
            </w:r>
          </w:p>
        </w:tc>
        <w:tc>
          <w:tcPr>
            <w:tcW w:w="12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Arnaud Ajdler</w:t>
            </w:r>
          </w:p>
        </w:tc>
        <w:tc>
          <w:tcPr>
            <w:tcW w:w="820" w:type="dxa"/>
            <w:vAlign w:val="bottom"/>
            <w:gridSpan w:val="12"/>
          </w:tcPr>
          <w:p>
            <w:pPr>
              <w:spacing w:after="0"/>
              <w:rPr>
                <w:sz w:val="21"/>
                <w:szCs w:val="2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9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gridSpan w:val="15"/>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0" w:right="499" w:bottom="11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www.sec.gov/cgi-bin/browse-edgar?action=getcompany&amp;CIK=0001665590" TargetMode="External"/><Relationship Id="rId14" Type="http://schemas.openxmlformats.org/officeDocument/2006/relationships/hyperlink" Target="http://www.sec.gov/cgi-bin/browse-edgar?action=getcompany&amp;CIK=0001590584" TargetMode="External"/><Relationship Id="rId17" Type="http://schemas.openxmlformats.org/officeDocument/2006/relationships/hyperlink" Target="http://www.sec.gov/cgi-bin/browse-edgar?action=getcompany&amp;CIK=0001580320" TargetMode="External"/><Relationship Id="rId18" Type="http://schemas.openxmlformats.org/officeDocument/2006/relationships/hyperlink" Target="http://www.sec.gov/cgi-bin/browse-edgar?action=getcompany&amp;CIK=0001580325" TargetMode="External"/><Relationship Id="rId19" Type="http://schemas.openxmlformats.org/officeDocument/2006/relationships/hyperlink" Target="http://www.sec.gov/cgi-bin/browse-edgar?action=getcompany&amp;CIK=0001961580" TargetMode="External"/><Relationship Id="rId20" Type="http://schemas.openxmlformats.org/officeDocument/2006/relationships/hyperlink" Target="http://www.sec.gov/cgi-bin/browse-edgar?action=getcompany&amp;CIK=0002068459" TargetMode="External"/><Relationship Id="rId21" Type="http://schemas.openxmlformats.org/officeDocument/2006/relationships/hyperlink" Target="http://www.sec.gov/cgi-bin/browse-edgar?action=getcompany&amp;CIK=0002068458" TargetMode="External"/><Relationship Id="rId23" Type="http://schemas.openxmlformats.org/officeDocument/2006/relationships/hyperlink" Target="http://www.sec.gov/cgi-bin/browse-edgar?action=getcompany&amp;CIK=0002068460" TargetMode="External"/><Relationship Id="rId24" Type="http://schemas.openxmlformats.org/officeDocument/2006/relationships/hyperlink" Target="http://www.sec.gov/cgi-bin/browse-edgar?action=getcompany&amp;CIK=00012934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2026-02-18T18:55:24Z</dcterms:created>
  <dcterms:modified xsi:type="dcterms:W3CDTF">2026-02-18T18:55:24Z</dcterms:modified>
</cp:coreProperties>
</file>