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Brewer Barclay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Vice President and Controller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w w:val="96"/>
              </w:rPr>
              <w:t>Common Shares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02/21/2020</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3,249</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12"/>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106,538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w w:val="96"/>
              </w:rPr>
              <w:t>Common Shares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02/21/2020</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3,249</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1.44</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103,289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w w:val="96"/>
              </w:rPr>
              <w:t>Common Shares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02/21/2020</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2,890</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1.44</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100,399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2"/>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2"/>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02/21/2020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3,249</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3,249</w:t>
            </w:r>
          </w:p>
        </w:tc>
        <w:tc>
          <w:tcPr>
            <w:tcW w:w="60" w:type="dxa"/>
            <w:vAlign w:val="bottom"/>
          </w:tcPr>
          <w:p>
            <w:pPr>
              <w:spacing w:after="0"/>
              <w:rPr>
                <w:sz w:val="16"/>
                <w:szCs w:val="16"/>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12,914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Shares</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Share</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phantom share was the economic equivalent of one Civeo common share and is payable in cash. The phantom shares vest at various times based on the grant date. 3,249 shares vested on February 21, 2020.</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/s/Barclay Brewer, by Bradley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02/25/2020</w:t>
            </w:r>
          </w:p>
        </w:tc>
        <w:tc>
          <w:tcPr>
            <w:tcW w:w="0" w:type="dxa"/>
            <w:vAlign w:val="bottom"/>
          </w:tcPr>
          <w:p>
            <w:pPr>
              <w:spacing w:after="0"/>
              <w:rPr>
                <w:sz w:val="1"/>
                <w:szCs w:val="1"/>
                <w:color w:val="auto"/>
              </w:rPr>
            </w:pPr>
          </w:p>
        </w:tc>
      </w:tr>
      <w:tr>
        <w:trPr>
          <w:trHeight w:val="88"/>
        </w:trPr>
        <w:tc>
          <w:tcPr>
            <w:tcW w:w="20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Dodson, as Attorney-in-Fact</w:t>
            </w:r>
          </w:p>
        </w:tc>
        <w:tc>
          <w:tcPr>
            <w:tcW w:w="2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20" w:type="dxa"/>
            <w:vAlign w:val="bottom"/>
            <w:tcBorders>
              <w:bottom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466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2020-02-25T18:29:53Z</dcterms:created>
  <dcterms:modified xsi:type="dcterms:W3CDTF">2020-02-25T18:29:53Z</dcterms:modified>
</cp:coreProperties>
</file>