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97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4"/>
        <w:spacing w:after="0"/>
        <w:rPr>
          <w:sz w:val="20"/>
          <w:szCs w:val="20"/>
          <w:color w:val="auto"/>
        </w:rPr>
      </w:pPr>
      <w:r>
        <w:rPr>
          <w:rFonts w:ascii="Arial" w:cs="Arial" w:eastAsia="Arial" w:hAnsi="Arial"/>
          <w:sz w:val="17"/>
          <w:szCs w:val="17"/>
          <w:color w:val="0000FF"/>
        </w:rPr>
        <w:t>SVP, Canada</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02/25/2022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0000FF"/>
                <w:w w:val="84"/>
              </w:rPr>
              <w:t>8,598</w:t>
            </w:r>
          </w:p>
        </w:tc>
        <w:tc>
          <w:tcPr>
            <w:tcW w:w="64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30,206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02/25/2022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0000FF"/>
                <w:w w:val="84"/>
              </w:rPr>
              <w:t>8,598</w:t>
            </w:r>
          </w:p>
        </w:tc>
        <w:tc>
          <w:tcPr>
            <w:tcW w:w="640" w:type="dxa"/>
            <w:vAlign w:val="bottom"/>
          </w:tcPr>
          <w:p>
            <w:pPr>
              <w:ind w:left="400"/>
              <w:spacing w:after="0"/>
              <w:rPr>
                <w:sz w:val="20"/>
                <w:szCs w:val="20"/>
                <w:color w:val="auto"/>
              </w:rPr>
            </w:pPr>
            <w:r>
              <w:rPr>
                <w:rFonts w:ascii="Arial" w:cs="Arial" w:eastAsia="Arial" w:hAnsi="Arial"/>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21.97</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21,608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02/25/2022</w:t>
            </w:r>
          </w:p>
        </w:tc>
        <w:tc>
          <w:tcPr>
            <w:tcW w:w="1100" w:type="dxa"/>
            <w:vAlign w:val="bottom"/>
          </w:tcPr>
          <w:p>
            <w:pPr>
              <w:spacing w:after="0"/>
              <w:rPr>
                <w:sz w:val="16"/>
                <w:szCs w:val="1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8,598</w:t>
            </w: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8,598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rPr>
                <w:sz w:val="20"/>
                <w:szCs w:val="20"/>
                <w:color w:val="auto"/>
              </w:rPr>
            </w:pPr>
            <w:r>
              <w:rPr>
                <w:rFonts w:ascii="Arial" w:cs="Arial" w:eastAsia="Arial" w:hAnsi="Arial"/>
                <w:sz w:val="13"/>
                <w:szCs w:val="13"/>
                <w:color w:val="0000FF"/>
                <w:w w:val="90"/>
              </w:rPr>
              <w:t>15,867</w:t>
            </w:r>
          </w:p>
        </w:tc>
        <w:tc>
          <w:tcPr>
            <w:tcW w:w="26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Share</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was the economic equivalent of one Civeo common share payable in cash. The phantom shares vest at various times based on grant date. 8,598 shares vested on February 25, 2022.</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007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Bradley J. Dodson, as</w:t>
      </w:r>
      <w:r>
        <w:rPr>
          <w:sz w:val="20"/>
          <w:szCs w:val="20"/>
          <w:color w:val="auto"/>
        </w:rPr>
        <w:tab/>
      </w:r>
      <w:r>
        <w:rPr>
          <w:rFonts w:ascii="Arial" w:cs="Arial" w:eastAsia="Arial" w:hAnsi="Arial"/>
          <w:sz w:val="15"/>
          <w:szCs w:val="15"/>
          <w:color w:val="0000FF"/>
        </w:rPr>
        <w:t>03/01/2022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21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2022-03-01T15:42:34Z</dcterms:created>
  <dcterms:modified xsi:type="dcterms:W3CDTF">2022-03-01T15:42:34Z</dcterms:modified>
</cp:coreProperties>
</file>