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OIL STATES INTERNATIONAL, INC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Civeo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2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16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05/30/2014</w:t>
            </w: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333 CLAY STREET, SUITE 4620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79"/>
              <w:spacing w:after="0"/>
              <w:rPr>
                <w:sz w:val="20"/>
                <w:szCs w:val="20"/>
                <w:color w:val="auto"/>
              </w:rPr>
            </w:pPr>
            <w:r>
              <w:rPr>
                <w:rFonts w:ascii="Arial" w:cs="Arial" w:eastAsia="Arial" w:hAnsi="Arial"/>
                <w:sz w:val="12"/>
                <w:szCs w:val="12"/>
                <w:b w:val="1"/>
                <w:bCs w:val="1"/>
                <w:color w:val="auto"/>
                <w:w w:val="95"/>
              </w:rPr>
              <w:t>Price</w:t>
            </w: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05/30/2014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J</w:t>
            </w:r>
          </w:p>
        </w:tc>
        <w:tc>
          <w:tcPr>
            <w:tcW w:w="11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4"/>
              </w:rPr>
              <w:t>106,348,490</w:t>
            </w:r>
            <w:r>
              <w:rPr>
                <w:rFonts w:ascii="Arial" w:cs="Arial" w:eastAsia="Arial" w:hAnsi="Arial"/>
                <w:sz w:val="22"/>
                <w:szCs w:val="22"/>
                <w:color w:val="008000"/>
                <w:w w:val="94"/>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80" w:type="dxa"/>
            <w:vAlign w:val="bottom"/>
            <w:tcBorders>
              <w:bottom w:val="single" w:sz="8" w:color="2C2C2C"/>
            </w:tcBorders>
            <w:gridSpan w:val="2"/>
          </w:tcPr>
          <w:p>
            <w:pPr>
              <w:jc w:val="center"/>
              <w:ind w:right="77"/>
              <w:spacing w:after="0"/>
              <w:rPr>
                <w:sz w:val="20"/>
                <w:szCs w:val="20"/>
                <w:color w:val="auto"/>
              </w:rPr>
            </w:pPr>
            <w:r>
              <w:rPr>
                <w:rFonts w:ascii="Arial" w:cs="Arial" w:eastAsia="Arial" w:hAnsi="Arial"/>
                <w:sz w:val="18"/>
                <w:szCs w:val="18"/>
                <w:color w:val="0000FF"/>
                <w:w w:val="93"/>
              </w:rPr>
              <w:t>106,349,490</w:t>
            </w:r>
            <w:r>
              <w:rPr>
                <w:rFonts w:ascii="Arial" w:cs="Arial" w:eastAsia="Arial" w:hAnsi="Arial"/>
                <w:sz w:val="22"/>
                <w:szCs w:val="22"/>
                <w:color w:val="008000"/>
                <w:w w:val="93"/>
                <w:vertAlign w:val="superscript"/>
              </w:rPr>
              <w:t>(3)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05/30/2014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J</w:t>
            </w:r>
          </w:p>
        </w:tc>
        <w:tc>
          <w:tcPr>
            <w:tcW w:w="11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4"/>
              </w:rPr>
              <w:t>106,349,490</w:t>
            </w:r>
            <w:r>
              <w:rPr>
                <w:rFonts w:ascii="Arial" w:cs="Arial" w:eastAsia="Arial" w:hAnsi="Arial"/>
                <w:sz w:val="22"/>
                <w:szCs w:val="22"/>
                <w:color w:val="008000"/>
                <w:w w:val="94"/>
                <w:vertAlign w:val="superscript"/>
              </w:rPr>
              <w:t>(2)</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557"/>
              <w:spacing w:after="0"/>
              <w:rPr>
                <w:sz w:val="20"/>
                <w:szCs w:val="20"/>
                <w:color w:val="auto"/>
              </w:rPr>
            </w:pPr>
            <w:r>
              <w:rPr>
                <w:rFonts w:ascii="Arial" w:cs="Arial" w:eastAsia="Arial" w:hAnsi="Arial"/>
                <w:sz w:val="18"/>
                <w:szCs w:val="18"/>
                <w:color w:val="0000FF"/>
              </w:rPr>
              <w:t>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May 30, 2014, the Issuer issued these shares of its common stock to its sole stockholder, Oil States International, Inc. ("Oil States"), as partial consideration for Oil States' transfer of its accommodations business to the Issuer.</w:t>
      </w:r>
    </w:p>
    <w:p>
      <w:pPr>
        <w:spacing w:after="0" w:line="30" w:lineRule="exact"/>
        <w:rPr>
          <w:rFonts w:ascii="Arial" w:cs="Arial" w:eastAsia="Arial" w:hAnsi="Arial"/>
          <w:sz w:val="14"/>
          <w:szCs w:val="14"/>
          <w:color w:val="008000"/>
        </w:rPr>
      </w:pPr>
    </w:p>
    <w:p>
      <w:pPr>
        <w:ind w:left="40" w:right="320" w:firstLine="9"/>
        <w:spacing w:after="0" w:line="305"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May 30, 2014, Oil States made a pro rata distribution of 100 percent of the outstanding common shares of the Issuer to Oil States' stockholders as of May 21, 2014, the record date for the transaction. Additional information about this transaction can be found in the Issuer's filings with the Securities and Exchange Commission, including a registration statement on Form 10.</w:t>
      </w:r>
    </w:p>
    <w:p>
      <w:pPr>
        <w:ind w:left="180" w:hanging="131"/>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Prior to the issuance of these shares, Oil States owned 1,000 shares in the Issuer. Oil States' Form 3 filed on May 8, 2014 had a typographical error stating Oil States owned 10,000 shares in the Issuer.</w:t>
      </w:r>
    </w:p>
    <w:p>
      <w:pPr>
        <w:spacing w:after="0" w:line="94"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W. Hampton,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76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66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Vice President, Accounting and 06/03/2014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94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471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8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2019-12-07T00:49:07Z</dcterms:created>
  <dcterms:modified xsi:type="dcterms:W3CDTF">2019-12-07T00:49:07Z</dcterms:modified>
</cp:coreProperties>
</file>