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8" w:lineRule="exact"/>
        <w:rPr>
          <w:rFonts w:ascii="MS PGothic" w:cs="MS PGothic" w:eastAsia="MS PGothic" w:hAnsi="MS PGothic"/>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Soliciting Material Pursuant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240.14a-12</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16" w:lineRule="exact"/>
        <w:rPr>
          <w:sz w:val="24"/>
          <w:szCs w:val="24"/>
          <w:color w:val="auto"/>
        </w:rPr>
      </w:pPr>
    </w:p>
    <w:p>
      <w:pPr>
        <w:ind w:left="540" w:hanging="51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Fee paid previously with preliminary materials</w:t>
      </w:r>
    </w:p>
    <w:p>
      <w:pPr>
        <w:spacing w:after="0" w:line="67" w:lineRule="exact"/>
        <w:rPr>
          <w:rFonts w:ascii="MS PGothic" w:cs="MS PGothic" w:eastAsia="MS PGothic" w:hAnsi="MS PGothic"/>
          <w:sz w:val="18"/>
          <w:szCs w:val="18"/>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5"/>
          <w:szCs w:val="35"/>
          <w:b w:val="1"/>
          <w:bCs w:val="1"/>
          <w:color w:val="006DB6"/>
        </w:rPr>
        <w:t>Notice of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5374640" cy="1174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4640" cy="117411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713"/>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b w:val="1"/>
                <w:bCs w:val="1"/>
                <w:color w:val="006DB6"/>
              </w:rPr>
              <w:t>DATE AND TIME</w:t>
            </w:r>
          </w:p>
        </w:tc>
        <w:tc>
          <w:tcPr>
            <w:tcW w:w="4960" w:type="dxa"/>
            <w:vAlign w:val="bottom"/>
          </w:tcPr>
          <w:p>
            <w:pPr>
              <w:ind w:left="140"/>
              <w:spacing w:after="0"/>
              <w:rPr>
                <w:sz w:val="20"/>
                <w:szCs w:val="20"/>
                <w:color w:val="auto"/>
              </w:rPr>
            </w:pPr>
            <w:r>
              <w:rPr>
                <w:rFonts w:ascii="Arial" w:cs="Arial" w:eastAsia="Arial" w:hAnsi="Arial"/>
                <w:sz w:val="14"/>
                <w:szCs w:val="14"/>
                <w:b w:val="1"/>
                <w:bCs w:val="1"/>
                <w:color w:val="006DB6"/>
              </w:rPr>
              <w:t>LOCATION</w:t>
            </w:r>
          </w:p>
        </w:tc>
      </w:tr>
      <w:tr>
        <w:trPr>
          <w:trHeight w:val="176"/>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May 14, 2025 (Wednesday)</w:t>
            </w:r>
          </w:p>
        </w:tc>
        <w:tc>
          <w:tcPr>
            <w:tcW w:w="4960" w:type="dxa"/>
            <w:vAlign w:val="bottom"/>
          </w:tcPr>
          <w:p>
            <w:pPr>
              <w:ind w:left="140"/>
              <w:spacing w:after="0"/>
              <w:rPr>
                <w:sz w:val="20"/>
                <w:szCs w:val="20"/>
                <w:color w:val="auto"/>
              </w:rPr>
            </w:pPr>
            <w:r>
              <w:rPr>
                <w:rFonts w:ascii="Arial" w:cs="Arial" w:eastAsia="Arial" w:hAnsi="Arial"/>
                <w:sz w:val="14"/>
                <w:szCs w:val="14"/>
                <w:color w:val="auto"/>
              </w:rPr>
              <w:t>Virtually www.virtualshareholdermeeting.com/CVEO2025, where you will be</w:t>
            </w:r>
          </w:p>
        </w:tc>
      </w:tr>
      <w:tr>
        <w:trPr>
          <w:trHeight w:val="190"/>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9:00 a.m., Houston, Texas time</w:t>
            </w:r>
          </w:p>
        </w:tc>
        <w:tc>
          <w:tcPr>
            <w:tcW w:w="4960" w:type="dxa"/>
            <w:vAlign w:val="bottom"/>
          </w:tcPr>
          <w:p>
            <w:pPr>
              <w:ind w:left="140"/>
              <w:spacing w:after="0"/>
              <w:rPr>
                <w:sz w:val="20"/>
                <w:szCs w:val="20"/>
                <w:color w:val="auto"/>
              </w:rPr>
            </w:pPr>
            <w:r>
              <w:rPr>
                <w:rFonts w:ascii="Arial" w:cs="Arial" w:eastAsia="Arial" w:hAnsi="Arial"/>
                <w:sz w:val="14"/>
                <w:szCs w:val="14"/>
                <w:color w:val="auto"/>
              </w:rPr>
              <w:t>able to listen to the meeting live, submit questions, and vote.</w:t>
            </w:r>
          </w:p>
        </w:tc>
      </w:tr>
      <w:tr>
        <w:trPr>
          <w:trHeight w:val="751"/>
        </w:trPr>
        <w:tc>
          <w:tcPr>
            <w:tcW w:w="2560" w:type="dxa"/>
            <w:vAlign w:val="bottom"/>
            <w:tcBorders>
              <w:right w:val="single" w:sz="8" w:color="FFC03C"/>
            </w:tcBorders>
          </w:tcPr>
          <w:p>
            <w:pPr>
              <w:spacing w:after="0"/>
              <w:rPr>
                <w:sz w:val="24"/>
                <w:szCs w:val="24"/>
                <w:color w:val="auto"/>
              </w:rPr>
            </w:pPr>
          </w:p>
        </w:tc>
        <w:tc>
          <w:tcPr>
            <w:tcW w:w="4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RECORD DATE</w:t>
      </w:r>
    </w:p>
    <w:p>
      <w:pPr>
        <w:spacing w:after="0" w:line="2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Only shareholders of record at the close of business on March 17, 2025 are entitled to notice of and to vote during the annual general meeting or at any adjournment or postponement thereof that may take place.</w:t>
      </w:r>
    </w:p>
    <w:p>
      <w:pPr>
        <w:spacing w:after="0" w:line="185" w:lineRule="exact"/>
        <w:rPr>
          <w:sz w:val="20"/>
          <w:szCs w:val="20"/>
          <w:color w:val="auto"/>
        </w:rPr>
      </w:pPr>
    </w:p>
    <w:p>
      <w:pPr>
        <w:sectPr>
          <w:pgSz w:w="11900" w:h="16838" w:orient="portrait"/>
          <w:cols w:equalWidth="0" w:num="2">
            <w:col w:w="7540" w:space="520"/>
            <w:col w:w="3180"/>
          </w:cols>
          <w:pgMar w:left="320" w:top="1236"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6DB6"/>
        </w:rPr>
        <w:t>Voting Items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2"/>
          </w:tcPr>
          <w:p>
            <w:pPr>
              <w:ind w:left="20"/>
              <w:spacing w:after="0"/>
              <w:rPr>
                <w:sz w:val="20"/>
                <w:szCs w:val="20"/>
                <w:color w:val="auto"/>
              </w:rPr>
            </w:pPr>
            <w:r>
              <w:rPr>
                <w:rFonts w:ascii="Arial" w:cs="Arial" w:eastAsia="Arial" w:hAnsi="Arial"/>
                <w:sz w:val="13"/>
                <w:szCs w:val="13"/>
                <w:b w:val="1"/>
                <w:bCs w:val="1"/>
                <w:color w:val="706F6F"/>
              </w:rPr>
              <w:t>Proposals</w:t>
            </w:r>
          </w:p>
        </w:tc>
        <w:tc>
          <w:tcPr>
            <w:tcW w:w="2040" w:type="dxa"/>
            <w:vAlign w:val="bottom"/>
          </w:tcPr>
          <w:p>
            <w:pPr>
              <w:ind w:left="120"/>
              <w:spacing w:after="0"/>
              <w:rPr>
                <w:sz w:val="20"/>
                <w:szCs w:val="20"/>
                <w:color w:val="auto"/>
              </w:rPr>
            </w:pPr>
            <w:r>
              <w:rPr>
                <w:rFonts w:ascii="Arial" w:cs="Arial" w:eastAsia="Arial" w:hAnsi="Arial"/>
                <w:sz w:val="13"/>
                <w:szCs w:val="13"/>
                <w:b w:val="1"/>
                <w:bCs w:val="1"/>
                <w:color w:val="706F6F"/>
              </w:rPr>
              <w:t>Board Vote Recommendation</w:t>
            </w: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706F6F"/>
              </w:rPr>
              <w:t>For Further Details</w:t>
            </w:r>
          </w:p>
        </w:tc>
        <w:tc>
          <w:tcPr>
            <w:tcW w:w="0" w:type="dxa"/>
            <w:vAlign w:val="bottom"/>
          </w:tcPr>
          <w:p>
            <w:pPr>
              <w:spacing w:after="0"/>
              <w:rPr>
                <w:sz w:val="1"/>
                <w:szCs w:val="1"/>
                <w:color w:val="auto"/>
              </w:rPr>
            </w:pPr>
          </w:p>
        </w:tc>
      </w:tr>
      <w:tr>
        <w:trPr>
          <w:trHeight w:val="22"/>
        </w:trPr>
        <w:tc>
          <w:tcPr>
            <w:tcW w:w="220" w:type="dxa"/>
            <w:vAlign w:val="bottom"/>
            <w:tcBorders>
              <w:bottom w:val="single" w:sz="8" w:color="006DB6"/>
            </w:tcBorders>
          </w:tcPr>
          <w:p>
            <w:pPr>
              <w:spacing w:after="0" w:line="20" w:lineRule="exact"/>
              <w:rPr>
                <w:sz w:val="1"/>
                <w:szCs w:val="1"/>
                <w:color w:val="auto"/>
              </w:rPr>
            </w:pPr>
          </w:p>
        </w:tc>
        <w:tc>
          <w:tcPr>
            <w:tcW w:w="7380" w:type="dxa"/>
            <w:vAlign w:val="bottom"/>
            <w:tcBorders>
              <w:bottom w:val="single" w:sz="8" w:color="006DB6"/>
            </w:tcBorders>
          </w:tcPr>
          <w:p>
            <w:pPr>
              <w:spacing w:after="0" w:line="20" w:lineRule="exact"/>
              <w:rPr>
                <w:sz w:val="1"/>
                <w:szCs w:val="1"/>
                <w:color w:val="auto"/>
              </w:rPr>
            </w:pPr>
          </w:p>
        </w:tc>
        <w:tc>
          <w:tcPr>
            <w:tcW w:w="2040" w:type="dxa"/>
            <w:vAlign w:val="bottom"/>
            <w:tcBorders>
              <w:bottom w:val="single" w:sz="8" w:color="006DB6"/>
            </w:tcBorders>
          </w:tcPr>
          <w:p>
            <w:pPr>
              <w:spacing w:after="0" w:line="20" w:lineRule="exact"/>
              <w:rPr>
                <w:sz w:val="1"/>
                <w:szCs w:val="1"/>
                <w:color w:val="auto"/>
              </w:rPr>
            </w:pPr>
          </w:p>
        </w:tc>
        <w:tc>
          <w:tcPr>
            <w:tcW w:w="44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1000" w:type="dxa"/>
            <w:vAlign w:val="bottom"/>
            <w:tcBorders>
              <w:bottom w:val="single" w:sz="8" w:color="006D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20" w:type="dxa"/>
            <w:vAlign w:val="bottom"/>
          </w:tcPr>
          <w:p>
            <w:pPr>
              <w:ind w:left="20"/>
              <w:spacing w:after="0"/>
              <w:rPr>
                <w:sz w:val="20"/>
                <w:szCs w:val="20"/>
                <w:color w:val="auto"/>
              </w:rPr>
            </w:pPr>
            <w:r>
              <w:rPr>
                <w:rFonts w:ascii="Arial" w:cs="Arial" w:eastAsia="Arial" w:hAnsi="Arial"/>
                <w:sz w:val="14"/>
                <w:szCs w:val="14"/>
                <w:color w:val="auto"/>
              </w:rPr>
              <w:t>1.</w:t>
            </w:r>
          </w:p>
        </w:tc>
        <w:tc>
          <w:tcPr>
            <w:tcW w:w="7380" w:type="dxa"/>
            <w:vAlign w:val="bottom"/>
          </w:tcPr>
          <w:p>
            <w:pPr>
              <w:ind w:left="80"/>
              <w:spacing w:after="0"/>
              <w:rPr>
                <w:sz w:val="20"/>
                <w:szCs w:val="20"/>
                <w:color w:val="auto"/>
              </w:rPr>
            </w:pPr>
            <w:r>
              <w:rPr>
                <w:rFonts w:ascii="Arial" w:cs="Arial" w:eastAsia="Arial" w:hAnsi="Arial"/>
                <w:sz w:val="14"/>
                <w:szCs w:val="14"/>
                <w:color w:val="auto"/>
              </w:rPr>
              <w:t>To elect the three persons named in this proxy statement as Class II members of Civeo’s board of directors, each</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 each director nominee</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8</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7380" w:type="dxa"/>
            <w:vAlign w:val="bottom"/>
            <w:vMerge w:val="restart"/>
          </w:tcPr>
          <w:p>
            <w:pPr>
              <w:ind w:left="80"/>
              <w:spacing w:after="0"/>
              <w:rPr>
                <w:sz w:val="20"/>
                <w:szCs w:val="20"/>
                <w:color w:val="auto"/>
              </w:rPr>
            </w:pPr>
            <w:r>
              <w:rPr>
                <w:rFonts w:ascii="Arial" w:cs="Arial" w:eastAsia="Arial" w:hAnsi="Arial"/>
                <w:sz w:val="14"/>
                <w:szCs w:val="14"/>
                <w:color w:val="auto"/>
              </w:rPr>
              <w:t>for a one year term ending at the 2026 annual general meeting of shareholders</w:t>
            </w:r>
          </w:p>
        </w:tc>
        <w:tc>
          <w:tcPr>
            <w:tcW w:w="204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73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 w:type="dxa"/>
            <w:vAlign w:val="bottom"/>
          </w:tcPr>
          <w:p>
            <w:pPr>
              <w:ind w:left="20"/>
              <w:spacing w:after="0"/>
              <w:rPr>
                <w:sz w:val="20"/>
                <w:szCs w:val="20"/>
                <w:color w:val="auto"/>
              </w:rPr>
            </w:pPr>
            <w:r>
              <w:rPr>
                <w:rFonts w:ascii="Arial" w:cs="Arial" w:eastAsia="Arial" w:hAnsi="Arial"/>
                <w:sz w:val="14"/>
                <w:szCs w:val="14"/>
                <w:color w:val="auto"/>
              </w:rPr>
              <w:t>2</w:t>
            </w:r>
          </w:p>
        </w:tc>
        <w:tc>
          <w:tcPr>
            <w:tcW w:w="7380" w:type="dxa"/>
            <w:vAlign w:val="bottom"/>
          </w:tcPr>
          <w:p>
            <w:pPr>
              <w:ind w:left="80"/>
              <w:spacing w:after="0"/>
              <w:rPr>
                <w:sz w:val="20"/>
                <w:szCs w:val="20"/>
                <w:color w:val="auto"/>
              </w:rPr>
            </w:pPr>
            <w:r>
              <w:rPr>
                <w:rFonts w:ascii="Arial" w:cs="Arial" w:eastAsia="Arial" w:hAnsi="Arial"/>
                <w:sz w:val="14"/>
                <w:szCs w:val="14"/>
                <w:color w:val="auto"/>
              </w:rPr>
              <w:t>To approve, on an advisory basis, the compensation of Civeo’s named executive officers</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30</w:t>
            </w: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20" w:type="dxa"/>
            <w:vAlign w:val="bottom"/>
          </w:tcPr>
          <w:p>
            <w:pPr>
              <w:ind w:left="20"/>
              <w:spacing w:after="0"/>
              <w:rPr>
                <w:sz w:val="20"/>
                <w:szCs w:val="20"/>
                <w:color w:val="auto"/>
              </w:rPr>
            </w:pPr>
            <w:r>
              <w:rPr>
                <w:rFonts w:ascii="Arial" w:cs="Arial" w:eastAsia="Arial" w:hAnsi="Arial"/>
                <w:sz w:val="14"/>
                <w:szCs w:val="14"/>
                <w:color w:val="auto"/>
              </w:rPr>
              <w:t>3.</w:t>
            </w:r>
          </w:p>
        </w:tc>
        <w:tc>
          <w:tcPr>
            <w:tcW w:w="7380" w:type="dxa"/>
            <w:vAlign w:val="bottom"/>
          </w:tcPr>
          <w:p>
            <w:pPr>
              <w:ind w:left="80"/>
              <w:spacing w:after="0"/>
              <w:rPr>
                <w:sz w:val="20"/>
                <w:szCs w:val="20"/>
                <w:color w:val="auto"/>
              </w:rPr>
            </w:pPr>
            <w:r>
              <w:rPr>
                <w:rFonts w:ascii="Arial" w:cs="Arial" w:eastAsia="Arial" w:hAnsi="Arial"/>
                <w:sz w:val="14"/>
                <w:szCs w:val="14"/>
                <w:color w:val="auto"/>
              </w:rPr>
              <w:t>To ratify the appointment of Ernst &amp; Young LLP as Civeo’s independent registered public accounting firm for the</w:t>
            </w:r>
          </w:p>
        </w:tc>
        <w:tc>
          <w:tcPr>
            <w:tcW w:w="2040" w:type="dxa"/>
            <w:vAlign w:val="bottom"/>
          </w:tcPr>
          <w:p>
            <w:pPr>
              <w:ind w:left="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u w:val="single" w:color="auto"/>
                <w:color w:val="auto"/>
              </w:rPr>
              <w:t>60</w:t>
            </w:r>
          </w:p>
        </w:tc>
        <w:tc>
          <w:tcPr>
            <w:tcW w:w="0" w:type="dxa"/>
            <w:vAlign w:val="bottom"/>
          </w:tcPr>
          <w:p>
            <w:pPr>
              <w:spacing w:after="0"/>
              <w:rPr>
                <w:sz w:val="1"/>
                <w:szCs w:val="1"/>
                <w:color w:val="auto"/>
              </w:rPr>
            </w:pPr>
          </w:p>
        </w:tc>
      </w:tr>
    </w:tbl>
    <w:p>
      <w:pPr>
        <w:ind w:left="300" w:right="3700"/>
        <w:spacing w:after="0" w:line="272" w:lineRule="auto"/>
        <w:rPr>
          <w:sz w:val="20"/>
          <w:szCs w:val="20"/>
          <w:color w:val="auto"/>
        </w:rPr>
      </w:pPr>
      <w:r>
        <w:rPr>
          <w:rFonts w:ascii="Arial" w:cs="Arial" w:eastAsia="Arial" w:hAnsi="Arial"/>
          <w:sz w:val="14"/>
          <w:szCs w:val="14"/>
          <w:color w:val="auto"/>
        </w:rPr>
        <w:t>year ending December 31, 2025 and until the next annual general meeting of shareholders and to authorize the directors of Civeo, acting through the Audit Committee, to determine the remuneration to be paid to Ernst &amp; Young LLP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Shareholders will also conduct any other business as may properly come before the annual general meeting or any adjournment or postponement thereof. The proposals are more fully described in the proxy statement accompanying this notice. Please give your attention to all of the information in the accompanying proxy statement.</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r>
        <w:rPr>
          <w:rFonts w:ascii="Arial" w:cs="Arial" w:eastAsia="Arial" w:hAnsi="Arial"/>
          <w:sz w:val="14"/>
          <w:szCs w:val="14"/>
          <w:u w:val="single" w:color="auto"/>
          <w:color w:val="0000FF"/>
        </w:rPr>
        <w:t>66</w:t>
      </w:r>
      <w:r>
        <w:rPr>
          <w:rFonts w:ascii="Arial" w:cs="Arial" w:eastAsia="Arial" w:hAnsi="Arial"/>
          <w:sz w:val="14"/>
          <w:szCs w:val="14"/>
          <w:color w:val="auto"/>
        </w:rPr>
        <w:t xml:space="preserve"> of the accompanying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89979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9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LaTosha N. Fraley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April 11, 2025</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158750</wp:posOffset>
            </wp:positionV>
            <wp:extent cx="25717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INTERNET</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You may vote your shares 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134620</wp:posOffset>
            </wp:positionV>
            <wp:extent cx="25717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TELEPHONE</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If you are located within the U.S., you may vote your shares by calling 1-800-690-6903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-95885</wp:posOffset>
            </wp:positionV>
            <wp:extent cx="25717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9" w:lineRule="exact"/>
        <w:rPr>
          <w:sz w:val="20"/>
          <w:szCs w:val="20"/>
          <w:color w:val="auto"/>
        </w:rPr>
      </w:pPr>
    </w:p>
    <w:p>
      <w:pPr>
        <w:ind w:left="880" w:right="280"/>
        <w:spacing w:after="0" w:line="264" w:lineRule="auto"/>
        <w:rPr>
          <w:sz w:val="20"/>
          <w:szCs w:val="20"/>
          <w:color w:val="auto"/>
        </w:rPr>
      </w:pPr>
      <w:r>
        <w:rPr>
          <w:rFonts w:ascii="Arial" w:cs="Arial" w:eastAsia="Arial" w:hAnsi="Arial"/>
          <w:sz w:val="14"/>
          <w:szCs w:val="14"/>
          <w:color w:val="auto"/>
        </w:rPr>
        <w:t>If you received printed copies of the proxy materials by mail, you may vote by mail. You would need to mark, sign, date and mail the enclosed proxy card in the postage-paid envelope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5" w:lineRule="exact"/>
        <w:rPr>
          <w:sz w:val="20"/>
          <w:szCs w:val="20"/>
          <w:color w:val="auto"/>
        </w:rPr>
      </w:pPr>
    </w:p>
    <w:p>
      <w:pPr>
        <w:ind w:left="20" w:right="160"/>
        <w:spacing w:after="0" w:line="31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May 14, 2025: A COPY OF THIS PROXY STATEMENT, PROXY VOTING CARD AND THE CIVEO 2024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5"/>
          <w:szCs w:val="45"/>
          <w:b w:val="1"/>
          <w:bCs w:val="1"/>
          <w:color w:val="006DB6"/>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Proxy Statement Summary</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Company Overview</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2024 Performance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Voting Matters and Recommendations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Corporate Governance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Independent Registered Public Accounting Firm’s Fees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Corporate Governance</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6DB6"/>
              </w:rPr>
              <w:t>Election of Directors</w:t>
            </w: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shd w:val="clear" w:color="auto" w:fill="006DB6"/>
          </w:tcPr>
          <w:p>
            <w:pPr>
              <w:spacing w:after="0"/>
              <w:rPr>
                <w:sz w:val="24"/>
                <w:szCs w:val="24"/>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1</w:t>
            </w:r>
          </w:p>
        </w:tc>
        <w:tc>
          <w:tcPr>
            <w:tcW w:w="9640" w:type="dxa"/>
            <w:vAlign w:val="bottom"/>
            <w:gridSpan w:val="2"/>
            <w:vMerge w:val="continue"/>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006DB6"/>
          </w:tcPr>
          <w:p>
            <w:pPr>
              <w:spacing w:after="0"/>
              <w:rPr>
                <w:sz w:val="5"/>
                <w:szCs w:val="5"/>
                <w:color w:val="auto"/>
              </w:rPr>
            </w:pPr>
          </w:p>
        </w:tc>
        <w:tc>
          <w:tcPr>
            <w:tcW w:w="1380" w:type="dxa"/>
            <w:vAlign w:val="bottom"/>
            <w:vMerge w:val="continue"/>
            <w:shd w:val="clear" w:color="auto" w:fill="006DB6"/>
          </w:tcPr>
          <w:p>
            <w:pPr>
              <w:spacing w:after="0"/>
              <w:rPr>
                <w:sz w:val="5"/>
                <w:szCs w:val="5"/>
                <w:color w:val="auto"/>
              </w:rPr>
            </w:pPr>
          </w:p>
        </w:tc>
        <w:tc>
          <w:tcPr>
            <w:tcW w:w="1660" w:type="dxa"/>
            <w:vAlign w:val="bottom"/>
          </w:tcPr>
          <w:p>
            <w:pPr>
              <w:spacing w:after="0"/>
              <w:rPr>
                <w:sz w:val="5"/>
                <w:szCs w:val="5"/>
                <w:color w:val="auto"/>
              </w:rPr>
            </w:pPr>
          </w:p>
        </w:tc>
        <w:tc>
          <w:tcPr>
            <w:tcW w:w="798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6DB6"/>
            </w:tcBorders>
            <w:shd w:val="clear" w:color="auto" w:fill="006DB6"/>
          </w:tcPr>
          <w:p>
            <w:pPr>
              <w:spacing w:after="0"/>
              <w:rPr>
                <w:sz w:val="2"/>
                <w:szCs w:val="2"/>
                <w:color w:val="auto"/>
              </w:rPr>
            </w:pPr>
          </w:p>
        </w:tc>
        <w:tc>
          <w:tcPr>
            <w:tcW w:w="1380" w:type="dxa"/>
            <w:vAlign w:val="bottom"/>
            <w:tcBorders>
              <w:top w:val="single" w:sz="8" w:color="006DB6"/>
            </w:tcBorders>
            <w:shd w:val="clear" w:color="auto" w:fill="006DB6"/>
          </w:tcPr>
          <w:p>
            <w:pPr>
              <w:spacing w:after="0"/>
              <w:rPr>
                <w:sz w:val="2"/>
                <w:szCs w:val="2"/>
                <w:color w:val="auto"/>
              </w:rPr>
            </w:pPr>
          </w:p>
        </w:tc>
        <w:tc>
          <w:tcPr>
            <w:tcW w:w="16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Board of Directors—Skills and Experience</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Board of Directors—Role and Responsibilities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Board of Directors—Structure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Board of Directors—Practices, Policies and Processes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Director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6DB6"/>
              </w:rPr>
              <w:t>Advisory Vote to Approve Executive Compensation</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shd w:val="clear" w:color="auto" w:fill="006DB6"/>
          </w:tcPr>
          <w:p>
            <w:pPr>
              <w:spacing w:after="0"/>
              <w:rPr>
                <w:sz w:val="22"/>
                <w:szCs w:val="22"/>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2</w:t>
            </w:r>
          </w:p>
        </w:tc>
        <w:tc>
          <w:tcPr>
            <w:tcW w:w="9640" w:type="dxa"/>
            <w:vAlign w:val="bottom"/>
            <w:gridSpan w:val="2"/>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006DB6"/>
            </w:tcBorders>
            <w:shd w:val="clear" w:color="auto" w:fill="006DB6"/>
          </w:tcPr>
          <w:p>
            <w:pPr>
              <w:spacing w:after="0"/>
              <w:rPr>
                <w:sz w:val="8"/>
                <w:szCs w:val="8"/>
                <w:color w:val="auto"/>
              </w:rPr>
            </w:pPr>
          </w:p>
        </w:tc>
        <w:tc>
          <w:tcPr>
            <w:tcW w:w="1380" w:type="dxa"/>
            <w:vAlign w:val="bottom"/>
            <w:tcBorders>
              <w:bottom w:val="single" w:sz="8" w:color="006DB6"/>
            </w:tcBorders>
            <w:vMerge w:val="continue"/>
            <w:shd w:val="clear" w:color="auto" w:fill="006DB6"/>
          </w:tcPr>
          <w:p>
            <w:pPr>
              <w:spacing w:after="0"/>
              <w:rPr>
                <w:sz w:val="8"/>
                <w:szCs w:val="8"/>
                <w:color w:val="auto"/>
              </w:rPr>
            </w:pPr>
          </w:p>
        </w:tc>
        <w:tc>
          <w:tcPr>
            <w:tcW w:w="16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Compensation Discussion and Analysis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Compensation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Executive Compensation Tables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Pay Ratio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Pay Versus Performance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b w:val="1"/>
                <w:bCs w:val="1"/>
                <w:color w:val="006DB6"/>
              </w:rPr>
              <w:t>Audit Matters</w:t>
            </w:r>
          </w:p>
        </w:tc>
        <w:tc>
          <w:tcPr>
            <w:tcW w:w="16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6DB6"/>
              </w:rPr>
              <w:t>Ratification of Auditors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shd w:val="clear" w:color="auto" w:fill="006DB6"/>
          </w:tcPr>
          <w:p>
            <w:pPr>
              <w:spacing w:after="0"/>
              <w:rPr>
                <w:sz w:val="22"/>
                <w:szCs w:val="22"/>
                <w:color w:val="auto"/>
              </w:rPr>
            </w:pPr>
          </w:p>
        </w:tc>
        <w:tc>
          <w:tcPr>
            <w:tcW w:w="1380" w:type="dxa"/>
            <w:vAlign w:val="bottom"/>
            <w:vMerge w:val="restart"/>
            <w:shd w:val="clear" w:color="auto" w:fill="006DB6"/>
          </w:tcPr>
          <w:p>
            <w:pPr>
              <w:spacing w:after="0"/>
              <w:rPr>
                <w:sz w:val="20"/>
                <w:szCs w:val="20"/>
                <w:color w:val="auto"/>
              </w:rPr>
            </w:pPr>
            <w:r>
              <w:rPr>
                <w:rFonts w:ascii="Arial" w:cs="Arial" w:eastAsia="Arial" w:hAnsi="Arial"/>
                <w:sz w:val="16"/>
                <w:szCs w:val="16"/>
                <w:b w:val="1"/>
                <w:bCs w:val="1"/>
                <w:color w:val="FFFFFF"/>
              </w:rPr>
              <w:t>PROPOSAL 3</w:t>
            </w:r>
          </w:p>
        </w:tc>
        <w:tc>
          <w:tcPr>
            <w:tcW w:w="9640" w:type="dxa"/>
            <w:vAlign w:val="bottom"/>
            <w:gridSpan w:val="2"/>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006DB6"/>
            </w:tcBorders>
            <w:shd w:val="clear" w:color="auto" w:fill="006DB6"/>
          </w:tcPr>
          <w:p>
            <w:pPr>
              <w:spacing w:after="0"/>
              <w:rPr>
                <w:sz w:val="8"/>
                <w:szCs w:val="8"/>
                <w:color w:val="auto"/>
              </w:rPr>
            </w:pPr>
          </w:p>
        </w:tc>
        <w:tc>
          <w:tcPr>
            <w:tcW w:w="1380" w:type="dxa"/>
            <w:vAlign w:val="bottom"/>
            <w:tcBorders>
              <w:bottom w:val="single" w:sz="8" w:color="006DB6"/>
            </w:tcBorders>
            <w:vMerge w:val="continue"/>
            <w:shd w:val="clear" w:color="auto" w:fill="006DB6"/>
          </w:tcPr>
          <w:p>
            <w:pPr>
              <w:spacing w:after="0"/>
              <w:rPr>
                <w:sz w:val="8"/>
                <w:szCs w:val="8"/>
                <w:color w:val="auto"/>
              </w:rPr>
            </w:pPr>
          </w:p>
        </w:tc>
        <w:tc>
          <w:tcPr>
            <w:tcW w:w="16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Audit Fee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Pre-Approval Policy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Audit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Delinquent Section 16(a) Reports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Security Ownership of Management and Certain Beneficial Owners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6DB6"/>
              </w:rPr>
              <w:t>Additional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General Information about the Annual General Meeting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ind w:left="240"/>
              <w:spacing w:after="0"/>
              <w:rPr>
                <w:sz w:val="20"/>
                <w:szCs w:val="20"/>
                <w:color w:val="auto"/>
              </w:rPr>
            </w:pPr>
            <w:r>
              <w:rPr>
                <w:rFonts w:ascii="Arial" w:cs="Arial" w:eastAsia="Arial" w:hAnsi="Arial"/>
                <w:sz w:val="16"/>
                <w:szCs w:val="16"/>
                <w:color w:val="auto"/>
              </w:rPr>
              <w:t>Future Shareholder Proposals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240"/>
              <w:spacing w:after="0"/>
              <w:rPr>
                <w:sz w:val="20"/>
                <w:szCs w:val="20"/>
                <w:color w:val="auto"/>
              </w:rPr>
            </w:pPr>
            <w:r>
              <w:rPr>
                <w:rFonts w:ascii="Arial" w:cs="Arial" w:eastAsia="Arial" w:hAnsi="Arial"/>
                <w:sz w:val="16"/>
                <w:szCs w:val="16"/>
                <w:color w:val="auto"/>
              </w:rPr>
              <w:t>Householding</w:t>
            </w:r>
          </w:p>
        </w:tc>
        <w:tc>
          <w:tcPr>
            <w:tcW w:w="16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20" w:type="dxa"/>
            <w:vAlign w:val="bottom"/>
            <w:gridSpan w:val="3"/>
          </w:tcPr>
          <w:p>
            <w:pPr>
              <w:spacing w:after="0"/>
              <w:rPr>
                <w:sz w:val="20"/>
                <w:szCs w:val="20"/>
                <w:color w:val="auto"/>
              </w:rPr>
            </w:pPr>
            <w:r>
              <w:rPr>
                <w:rFonts w:ascii="Arial" w:cs="Arial" w:eastAsia="Arial" w:hAnsi="Arial"/>
                <w:sz w:val="16"/>
                <w:szCs w:val="16"/>
                <w:b w:val="1"/>
                <w:bCs w:val="1"/>
                <w:color w:val="0000FF"/>
              </w:rPr>
              <w:t>Appendix A - Non-GAAP Reconciliation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1660" w:type="dxa"/>
            <w:vAlign w:val="bottom"/>
            <w:tcBorders>
              <w:top w:val="single" w:sz="8" w:color="0000FF"/>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 w:name="page5"/>
    <w:bookmarkEnd w:id="4"/>
    <w:p>
      <w:pPr>
        <w:spacing w:after="0"/>
        <w:rPr>
          <w:sz w:val="20"/>
          <w:szCs w:val="20"/>
          <w:color w:val="auto"/>
        </w:rPr>
      </w:pPr>
      <w:r>
        <w:rPr>
          <w:rFonts w:ascii="Arial" w:cs="Arial" w:eastAsia="Arial" w:hAnsi="Arial"/>
          <w:sz w:val="45"/>
          <w:szCs w:val="45"/>
          <w:b w:val="1"/>
          <w:bCs w:val="1"/>
          <w:color w:val="006DB6"/>
        </w:rPr>
        <w:t>Proxy Statement Summary</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This proxy statement is being furnished to shareholders of Civeo Corporation (“Civeo”) in connection with the solicitation of proxies by its board of directors for use at the 2025 annual general meeting of shareholders (the “annual general meeting”), which will be held online at www.virtualshareholdermeeting.com/CVEO2025 on May 14, 2025 at 9:00 a.m., local time. The annual general meeting will be held by virtual means only, and shareholders will not be able to attend the meeting in person. During the annual general meeting, shareholders will have the opportunity to vote on the proposals to elect the following three persons as Class II members of Civeo’s board of directors: Richard A. Navarre, Martin A. Lambert and Constance B. Moore, each for a term of one year ending at the 2026 annual general meeting of shareholders or until their successors are duly elected and qualified (the “Director Proposal”); to approve, on an advisory basis, the compensation of Civeo's named executive officers (the "Say-on-Pay Proposal"); to ratify the appointment of Ernst &amp; Young LLP as Civeo’s independent registered public accounting firm for the year ending December 31, 2025 and until the next annual general meeting of shareholders and to authorize the directors, acting through the Audit Committee, to determine the remuneration to be paid to Ernst &amp; Young LLP for 2025 (the “Auditor Proposal”); and to conduct any other business as may properly come before the annual general meeting or any adjournment or postponement thereof. The approximate date of first mailing of this proxy statement, the accompanying proxy and Civeo’s 2024 annual report is expected to be April 11, 2025.</w:t>
      </w:r>
    </w:p>
    <w:p>
      <w:pPr>
        <w:spacing w:after="0" w:line="7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Only shareholders of record at the close of business on March 17, 2025 are entitled to notice of and to vote during the annual general meeting or at any adjournment or postponement thereof that may take place. On March 17, 2025, we had 13,549,417 common shares outstanding and entitled to vote. Each common share is entitled to one vote for each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spacing w:after="0" w:line="7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this proxy statement, we sometimes refer to Civeo and its subsidiaries as “we,” “us,” “our,” "Company" or “Civeo.” Unless otherwise indicated, all references in this proxy statement to “dollars” or “$” are to U.S. dollars. Our principal executive offices are located at Three Allen Center, 333 Clay Street, Suite 4400, Houston, Texas 77002.</w:t>
      </w:r>
    </w:p>
    <w:p>
      <w:pPr>
        <w:spacing w:after="0" w:line="7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To assist you in reviewing the proposals to be considered at the annual general meeting, we call your attention to the following summary, which includes information about our fiscal 2024 financial performance. For more information, please review our 2024 Annual Report on Form 10-K and the other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Company Overview</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DB6"/>
        </w:rPr>
        <w:t>Who We Are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w:t>
      </w:r>
    </w:p>
    <w:p>
      <w:pPr>
        <w:spacing w:after="0" w:line="113" w:lineRule="exact"/>
        <w:rPr>
          <w:sz w:val="20"/>
          <w:szCs w:val="20"/>
          <w:color w:val="auto"/>
        </w:rPr>
      </w:pPr>
    </w:p>
    <w:p>
      <w:pPr>
        <w:ind w:left="20" w:right="80"/>
        <w:spacing w:after="0" w:line="267" w:lineRule="auto"/>
        <w:rPr>
          <w:sz w:val="20"/>
          <w:szCs w:val="20"/>
          <w:color w:val="auto"/>
        </w:rPr>
      </w:pPr>
      <w:r>
        <w:rPr>
          <w:rFonts w:ascii="Arial" w:cs="Arial" w:eastAsia="Arial" w:hAnsi="Arial"/>
          <w:sz w:val="16"/>
          <w:szCs w:val="16"/>
          <w:b w:val="1"/>
          <w:bCs w:val="1"/>
          <w:color w:val="auto"/>
        </w:rPr>
        <w:t>We are a leading provider of hospitality services, including catering and food service, lodging, housekeeping and maintenance of accommodations facilities that we or our customers own.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MARKETS</w:t>
      </w:r>
    </w:p>
    <w:p>
      <w:pPr>
        <w:spacing w:after="0" w:line="127" w:lineRule="exact"/>
        <w:rPr>
          <w:sz w:val="20"/>
          <w:szCs w:val="20"/>
          <w:color w:val="auto"/>
        </w:rPr>
      </w:pPr>
    </w:p>
    <w:p>
      <w:pPr>
        <w:ind w:left="20" w:right="80"/>
        <w:spacing w:after="0" w:line="269" w:lineRule="auto"/>
        <w:rPr>
          <w:sz w:val="20"/>
          <w:szCs w:val="20"/>
          <w:color w:val="auto"/>
        </w:rPr>
      </w:pPr>
      <w:r>
        <w:rPr>
          <w:rFonts w:ascii="Arial" w:cs="Arial" w:eastAsia="Arial" w:hAnsi="Arial"/>
          <w:sz w:val="16"/>
          <w:szCs w:val="16"/>
          <w:b w:val="1"/>
          <w:bCs w:val="1"/>
          <w:color w:val="auto"/>
        </w:rPr>
        <w:t>We serve natural resource producers in some of the world’s most active met coal, oil, LNG and iron ore producing regions in Australia and Canada.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GROSS PROFIT BY ACTIVITY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1645920" cy="1071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Global steel demand drives demand for met coal and iron ore, which are the primary commodities we serve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right="200"/>
        <w:spacing w:after="0" w:line="314" w:lineRule="auto"/>
        <w:rPr>
          <w:sz w:val="20"/>
          <w:szCs w:val="20"/>
          <w:color w:val="auto"/>
        </w:rPr>
      </w:pPr>
      <w:r>
        <w:rPr>
          <w:rFonts w:ascii="Arial" w:cs="Arial" w:eastAsia="Arial" w:hAnsi="Arial"/>
          <w:sz w:val="16"/>
          <w:szCs w:val="16"/>
          <w:b w:val="1"/>
          <w:bCs w:val="1"/>
          <w:color w:val="auto"/>
        </w:rPr>
        <w:t>Note: Gross Profit equals Revenues less Cost of Sales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629285</wp:posOffset>
            </wp:positionV>
            <wp:extent cx="39433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Where We Operate </w:t>
      </w:r>
      <w:r>
        <w:rPr>
          <w:rFonts w:ascii="Arial" w:cs="Arial" w:eastAsia="Arial" w:hAnsi="Arial"/>
          <w:sz w:val="17"/>
          <w:szCs w:val="17"/>
          <w:b w:val="1"/>
          <w:bCs w:val="1"/>
          <w:color w:val="006DB6"/>
        </w:rPr>
        <w:t>(as of 12/31/24)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-206375</wp:posOffset>
            </wp:positionV>
            <wp:extent cx="8890" cy="5237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2374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AUSTRALIA – 63% OF 2024 REVENUE</w:t>
      </w:r>
    </w:p>
    <w:p>
      <w:pPr>
        <w:spacing w:after="0" w:line="113"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8 owned villages with approximately</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9,000 rooms</w:t>
      </w:r>
    </w:p>
    <w:p>
      <w:pPr>
        <w:spacing w:after="0" w:line="70" w:lineRule="exact"/>
        <w:rPr>
          <w:sz w:val="20"/>
          <w:szCs w:val="20"/>
          <w:color w:val="auto"/>
        </w:rPr>
      </w:pPr>
    </w:p>
    <w:p>
      <w:pPr>
        <w:ind w:left="4220" w:right="80" w:hanging="193"/>
        <w:spacing w:after="0" w:line="260"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Operated 21 customer-owned villages</w:t>
      </w:r>
      <w:r>
        <w:rPr>
          <w:rFonts w:ascii="Arial" w:cs="Arial" w:eastAsia="Arial" w:hAnsi="Arial"/>
          <w:sz w:val="16"/>
          <w:szCs w:val="16"/>
          <w:color w:val="006DB6"/>
        </w:rPr>
        <w:t xml:space="preserve"> </w:t>
      </w:r>
      <w:r>
        <w:rPr>
          <w:rFonts w:ascii="Arial" w:cs="Arial" w:eastAsia="Arial" w:hAnsi="Arial"/>
          <w:sz w:val="16"/>
          <w:szCs w:val="16"/>
          <w:color w:val="000000"/>
        </w:rPr>
        <w:t>with approximately 17,000 rooms where Civeo provided hospitality services including housekeeping and catering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-391795</wp:posOffset>
            </wp:positionV>
            <wp:extent cx="1697355" cy="916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355" cy="916940"/>
                    </a:xfrm>
                    <a:prstGeom prst="rect">
                      <a:avLst/>
                    </a:prstGeom>
                    <a:noFill/>
                  </pic:spPr>
                </pic:pic>
              </a:graphicData>
            </a:graphic>
          </wp:anchor>
        </w:drawing>
      </w:r>
    </w:p>
    <w:p>
      <w:pPr>
        <w:spacing w:after="0" w:line="23" w:lineRule="exact"/>
        <w:rPr>
          <w:sz w:val="20"/>
          <w:szCs w:val="20"/>
          <w:color w:val="auto"/>
        </w:rPr>
      </w:pPr>
    </w:p>
    <w:p>
      <w:pPr>
        <w:ind w:left="4220" w:right="20" w:hanging="193"/>
        <w:spacing w:after="0" w:line="299"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drivers are met coal and iron ore</w:t>
      </w:r>
      <w:r>
        <w:rPr>
          <w:rFonts w:ascii="Arial" w:cs="Arial" w:eastAsia="Arial" w:hAnsi="Arial"/>
          <w:sz w:val="16"/>
          <w:szCs w:val="16"/>
          <w:color w:val="006DB6"/>
        </w:rPr>
        <w:t xml:space="preserve"> </w:t>
      </w:r>
      <w:r>
        <w:rPr>
          <w:rFonts w:ascii="Arial" w:cs="Arial" w:eastAsia="Arial" w:hAnsi="Arial"/>
          <w:sz w:val="16"/>
          <w:szCs w:val="16"/>
          <w:color w:val="000000"/>
        </w:rPr>
        <w:t>production and activity</w:t>
      </w:r>
    </w:p>
    <w:p>
      <w:pPr>
        <w:spacing w:after="0" w:line="1" w:lineRule="exact"/>
        <w:rPr>
          <w:sz w:val="20"/>
          <w:szCs w:val="20"/>
          <w:color w:val="auto"/>
        </w:rPr>
      </w:pPr>
    </w:p>
    <w:p>
      <w:pPr>
        <w:ind w:left="4220" w:right="40" w:hanging="193"/>
        <w:spacing w:after="0" w:line="299"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Growing presence in Western and South</w:t>
      </w:r>
      <w:r>
        <w:rPr>
          <w:rFonts w:ascii="Arial" w:cs="Arial" w:eastAsia="Arial" w:hAnsi="Arial"/>
          <w:sz w:val="16"/>
          <w:szCs w:val="16"/>
          <w:color w:val="006DB6"/>
        </w:rPr>
        <w:t xml:space="preserve"> </w:t>
      </w:r>
      <w:r>
        <w:rPr>
          <w:rFonts w:ascii="Arial" w:cs="Arial" w:eastAsia="Arial" w:hAnsi="Arial"/>
          <w:sz w:val="16"/>
          <w:szCs w:val="16"/>
          <w:color w:val="000000"/>
        </w:rPr>
        <w:t>Australia managing customer assets</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Also serve gold, lithium, copper and LNG</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projects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CANADA – 37% OF 2024 REVENUE</w:t>
      </w:r>
    </w:p>
    <w:p>
      <w:pPr>
        <w:spacing w:after="0" w:line="113" w:lineRule="exact"/>
        <w:rPr>
          <w:sz w:val="20"/>
          <w:szCs w:val="20"/>
          <w:color w:val="auto"/>
        </w:rPr>
      </w:pPr>
    </w:p>
    <w:p>
      <w:pPr>
        <w:ind w:left="4220" w:right="34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15 lodges with approximately 17,000</w:t>
      </w:r>
      <w:r>
        <w:rPr>
          <w:rFonts w:ascii="Arial" w:cs="Arial" w:eastAsia="Arial" w:hAnsi="Arial"/>
          <w:sz w:val="16"/>
          <w:szCs w:val="16"/>
          <w:color w:val="006DB6"/>
        </w:rPr>
        <w:t xml:space="preserve"> </w:t>
      </w:r>
      <w:r>
        <w:rPr>
          <w:rFonts w:ascii="Arial" w:cs="Arial" w:eastAsia="Arial" w:hAnsi="Arial"/>
          <w:sz w:val="16"/>
          <w:szCs w:val="16"/>
          <w:color w:val="000000"/>
        </w:rPr>
        <w:t>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2091690" cy="1028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1690" cy="1028700"/>
                    </a:xfrm>
                    <a:prstGeom prst="rect">
                      <a:avLst/>
                    </a:prstGeom>
                    <a:noFill/>
                  </pic:spPr>
                </pic:pic>
              </a:graphicData>
            </a:graphic>
          </wp:anchor>
        </w:drawing>
      </w:r>
    </w:p>
    <w:p>
      <w:pPr>
        <w:spacing w:after="0" w:line="1" w:lineRule="exact"/>
        <w:rPr>
          <w:sz w:val="20"/>
          <w:szCs w:val="20"/>
          <w:color w:val="auto"/>
        </w:rPr>
      </w:pPr>
    </w:p>
    <w:p>
      <w:pPr>
        <w:ind w:left="422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 is oil sands production and</w:t>
      </w:r>
      <w:r>
        <w:rPr>
          <w:rFonts w:ascii="Arial" w:cs="Arial" w:eastAsia="Arial" w:hAnsi="Arial"/>
          <w:sz w:val="16"/>
          <w:szCs w:val="16"/>
          <w:color w:val="006DB6"/>
        </w:rPr>
        <w:t xml:space="preserve"> </w:t>
      </w:r>
      <w:r>
        <w:rPr>
          <w:rFonts w:ascii="Arial" w:cs="Arial" w:eastAsia="Arial" w:hAnsi="Arial"/>
          <w:sz w:val="16"/>
          <w:szCs w:val="16"/>
          <w:color w:val="000000"/>
        </w:rPr>
        <w:t>activity</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Exposure to Canadian LNG development</w:t>
      </w:r>
    </w:p>
    <w:p>
      <w:pPr>
        <w:spacing w:after="0" w:line="2036" w:lineRule="exact"/>
        <w:rPr>
          <w:sz w:val="20"/>
          <w:szCs w:val="20"/>
          <w:color w:val="auto"/>
        </w:rPr>
      </w:pPr>
    </w:p>
    <w:p>
      <w:pPr>
        <w:sectPr>
          <w:pgSz w:w="11900" w:h="16838" w:orient="portrait"/>
          <w:cols w:equalWidth="0" w:num="2">
            <w:col w:w="3360" w:space="640"/>
            <w:col w:w="7160"/>
          </w:cols>
          <w:pgMar w:left="320" w:top="23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2024 Performance Highlights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2024 was a hallmark year for Civeo as it marked our 10-year anniversary as an independent company since our spin-off in 2014, and over that time our business has undergone significant change. Today, having significantly improved our capital structure, we are a diversified company providing catering and facility management services at both owned and customer-owned assets. This balanced portfolio lets us capitalize on tailwinds and mitigate headwinds.</w:t>
      </w:r>
    </w:p>
    <w:p>
      <w:pPr>
        <w:spacing w:after="0" w:line="7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2024, Australia was certainly the highlight as the division achieved many major milestones, most impressive of which were 23% growth in revenue and delivering 81% occupancy in its Civeo-owned villages. Our Canadian business continued to face headwinds in the oil sands region, compounded by economic and political uncertainty. For the past decade, the underlying economics for our oil sands customers to deploy capital in the region have been challenging. Now, in addition, our customers are facing increased investor pressure for capital and operating cost discipline. As a result, headcount requirements, and therefore our occupancy in the Alberta oil sands region have declined.</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we reflect upon the decade since our spin-off in 2014, its remarkable to observe the significant changes. Ten years ago, Civeo was much more of an asset-focused development company focusing capital deployment on internal manufacturing and installation of new lodges and villages. At the time of our spin, Civeo had $775 million in debt and our revenue was approximately 70% tied to Canadian oil sands, most of which was supporting our customers’ construction activity. Today, we view ourselves as a hospitality company providing catering and facility management services to our clients at both accommodation assets that we own as well as assets owned by our customers. We have an improved debt-profile, strong balance sheet, our revenue mix is more weighted to steel-making commodities in Australia and the vast majority of our guests are responsible for ongoing operations and maintenance, rather than construction projects.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also successfully completed a number of significant financial and operational objectives. In particular, during 2024 we achieved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98627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5"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Generated $84 million of cash flows provided by operating activities during the year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Returned 64%, or $44 million, of the Company's 2024 free cash flow to shareholders through share repurchases (totaling 7.7% of shares outstanding during 2024)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6350</wp:posOffset>
            </wp:positionV>
            <wp:extent cx="698627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360" w:space="280"/>
            <w:col w:w="5600"/>
          </w:cols>
          <w:pgMar w:left="320" w:top="125" w:right="339" w:bottom="1440" w:gutter="0" w:footer="0" w:header="0"/>
          <w:type w:val="continuous"/>
        </w:sectPr>
      </w:pPr>
    </w:p>
    <w:p>
      <w:pPr>
        <w:ind w:left="20"/>
        <w:spacing w:after="0" w:line="260" w:lineRule="auto"/>
        <w:rPr>
          <w:sz w:val="20"/>
          <w:szCs w:val="20"/>
          <w:color w:val="auto"/>
        </w:rPr>
      </w:pPr>
      <w:r>
        <w:rPr>
          <w:rFonts w:ascii="Arial" w:cs="Arial" w:eastAsia="Arial" w:hAnsi="Arial"/>
          <w:sz w:val="16"/>
          <w:szCs w:val="16"/>
          <w:color w:val="auto"/>
        </w:rPr>
        <w:t>Maintained a low net leverage ratio of 0.5x at December 31, 2024, down from 0.6x at December 31, 2023 and 3.0x at December 31, 2019 to allow for opportunistic capital deployment in the years to come</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Arial" w:cs="Arial" w:eastAsia="Arial" w:hAnsi="Arial"/>
          <w:sz w:val="16"/>
          <w:szCs w:val="16"/>
          <w:color w:val="auto"/>
        </w:rPr>
        <w:t>Following successful amendment, extension and upsizing of our credit agreement in 2024, Civeo ended the year with $202.2 million in liquidity at December 31, 2024, up from $136.4 million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127635</wp:posOffset>
            </wp:positionV>
            <wp:extent cx="698627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Arial" w:cs="Arial" w:eastAsia="Arial" w:hAnsi="Arial"/>
          <w:sz w:val="16"/>
          <w:szCs w:val="16"/>
          <w:color w:val="auto"/>
        </w:rPr>
        <w:t>Subsequent to year-end 2024, announced acquisition of four villages for approximately $67 million in the Australian Bowen Basin</w:t>
      </w:r>
    </w:p>
    <w:p>
      <w:pPr>
        <w:spacing w:after="0" w:line="584" w:lineRule="exact"/>
        <w:rPr>
          <w:sz w:val="20"/>
          <w:szCs w:val="20"/>
          <w:color w:val="auto"/>
        </w:rPr>
      </w:pPr>
    </w:p>
    <w:p>
      <w:pPr>
        <w:sectPr>
          <w:pgSz w:w="11900" w:h="16838" w:orient="portrait"/>
          <w:cols w:equalWidth="0" w:num="3">
            <w:col w:w="3360" w:space="220"/>
            <w:col w:w="3960" w:space="300"/>
            <w:col w:w="3400"/>
          </w:cols>
          <w:pgMar w:left="320" w:top="125"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690054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0545" cy="342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Generated 59% of Civeo’s revenue and 70% of Civeo’s gross profit was derived from</w:t>
            </w:r>
          </w:p>
        </w:tc>
        <w:tc>
          <w:tcPr>
            <w:tcW w:w="2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Secured a 6-year integrated services contract award in</w:t>
            </w: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customers exposed to steel-making commodities, highlighting our continued</w:t>
            </w:r>
          </w:p>
        </w:tc>
        <w:tc>
          <w:tcPr>
            <w:tcW w:w="200" w:type="dxa"/>
            <w:vAlign w:val="bottom"/>
          </w:tcPr>
          <w:p>
            <w:pPr>
              <w:spacing w:after="0"/>
              <w:rPr>
                <w:sz w:val="16"/>
                <w:szCs w:val="16"/>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Australia with a total contract value of approximately A$1.4</w:t>
            </w:r>
          </w:p>
        </w:tc>
        <w:tc>
          <w:tcPr>
            <w:tcW w:w="0" w:type="dxa"/>
            <w:vAlign w:val="bottom"/>
          </w:tcPr>
          <w:p>
            <w:pPr>
              <w:spacing w:after="0"/>
              <w:rPr>
                <w:sz w:val="1"/>
                <w:szCs w:val="1"/>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6"/>
                <w:szCs w:val="16"/>
                <w:color w:val="auto"/>
              </w:rPr>
              <w:t>diversification away from legacy oil sands markets</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62"/>
        </w:trPr>
        <w:tc>
          <w:tcPr>
            <w:tcW w:w="6240" w:type="dxa"/>
            <w:vAlign w:val="bottom"/>
            <w:gridSpan w:val="2"/>
            <w:shd w:val="clear" w:color="auto" w:fill="E8EEF7"/>
          </w:tcPr>
          <w:p>
            <w:pPr>
              <w:spacing w:after="0"/>
              <w:rPr>
                <w:sz w:val="5"/>
                <w:szCs w:val="5"/>
                <w:color w:val="auto"/>
              </w:rPr>
            </w:pPr>
          </w:p>
        </w:tc>
        <w:tc>
          <w:tcPr>
            <w:tcW w:w="200" w:type="dxa"/>
            <w:vAlign w:val="bottom"/>
          </w:tcPr>
          <w:p>
            <w:pPr>
              <w:spacing w:after="0"/>
              <w:rPr>
                <w:sz w:val="5"/>
                <w:szCs w:val="5"/>
                <w:color w:val="auto"/>
              </w:rPr>
            </w:pPr>
          </w:p>
        </w:tc>
        <w:tc>
          <w:tcPr>
            <w:tcW w:w="4440" w:type="dxa"/>
            <w:vAlign w:val="bottom"/>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Delivered strong safety performance across all regions, resulting in a 2024 Global</w:t>
            </w:r>
          </w:p>
        </w:tc>
        <w:tc>
          <w:tcPr>
            <w:tcW w:w="20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Increased Australian revenues by 23% in 2024</w:t>
            </w: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TRIR of 0.28, considerably better than Civeo's 2023 Global TRIR of 0.45, almost four</w:t>
            </w:r>
          </w:p>
        </w:tc>
        <w:tc>
          <w:tcPr>
            <w:tcW w:w="2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6"/>
                <w:szCs w:val="16"/>
                <w:color w:val="auto"/>
              </w:rPr>
              <w:t>times better than the industry average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4400" w:type="dxa"/>
            <w:vAlign w:val="bottom"/>
            <w:shd w:val="clear" w:color="auto" w:fill="E8EEF7"/>
          </w:tcPr>
          <w:p>
            <w:pPr>
              <w:spacing w:after="0"/>
              <w:rPr>
                <w:sz w:val="5"/>
                <w:szCs w:val="5"/>
                <w:color w:val="auto"/>
              </w:rPr>
            </w:pPr>
          </w:p>
        </w:tc>
        <w:tc>
          <w:tcPr>
            <w:tcW w:w="1840" w:type="dxa"/>
            <w:vAlign w:val="bottom"/>
            <w:shd w:val="clear" w:color="auto" w:fill="E8EEF7"/>
          </w:tcPr>
          <w:p>
            <w:pPr>
              <w:spacing w:after="0"/>
              <w:rPr>
                <w:sz w:val="5"/>
                <w:szCs w:val="5"/>
                <w:color w:val="auto"/>
              </w:rPr>
            </w:pPr>
          </w:p>
        </w:tc>
        <w:tc>
          <w:tcPr>
            <w:tcW w:w="200" w:type="dxa"/>
            <w:vAlign w:val="bottom"/>
          </w:tcPr>
          <w:p>
            <w:pPr>
              <w:spacing w:after="0"/>
              <w:rPr>
                <w:sz w:val="5"/>
                <w:szCs w:val="5"/>
                <w:color w:val="auto"/>
              </w:rPr>
            </w:pPr>
          </w:p>
        </w:tc>
        <w:tc>
          <w:tcPr>
            <w:tcW w:w="4440" w:type="dxa"/>
            <w:vAlign w:val="bottom"/>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4400" w:type="dxa"/>
            <w:vAlign w:val="bottom"/>
          </w:tcPr>
          <w:p>
            <w:pPr>
              <w:ind w:left="1540"/>
              <w:spacing w:after="0"/>
              <w:rPr>
                <w:sz w:val="20"/>
                <w:szCs w:val="20"/>
                <w:color w:val="auto"/>
              </w:rPr>
            </w:pPr>
            <w:r>
              <w:rPr>
                <w:rFonts w:ascii="Arial" w:cs="Arial" w:eastAsia="Arial" w:hAnsi="Arial"/>
                <w:sz w:val="16"/>
                <w:szCs w:val="16"/>
                <w:b w:val="1"/>
                <w:bCs w:val="1"/>
                <w:color w:val="auto"/>
              </w:rPr>
              <w:t>TOTAL RECORDABLE</w:t>
            </w:r>
          </w:p>
        </w:tc>
        <w:tc>
          <w:tcPr>
            <w:tcW w:w="1840" w:type="dxa"/>
            <w:vAlign w:val="bottom"/>
          </w:tcPr>
          <w:p>
            <w:pPr>
              <w:jc w:val="center"/>
              <w:ind w:left="659"/>
              <w:spacing w:after="0"/>
              <w:rPr>
                <w:sz w:val="20"/>
                <w:szCs w:val="20"/>
                <w:color w:val="auto"/>
              </w:rPr>
            </w:pPr>
            <w:r>
              <w:rPr>
                <w:rFonts w:ascii="Arial" w:cs="Arial" w:eastAsia="Arial" w:hAnsi="Arial"/>
                <w:sz w:val="16"/>
                <w:szCs w:val="16"/>
                <w:b w:val="1"/>
                <w:bCs w:val="1"/>
                <w:color w:val="auto"/>
                <w:w w:val="99"/>
              </w:rPr>
              <w:t>AICP EBITDA</w:t>
            </w:r>
          </w:p>
        </w:tc>
        <w:tc>
          <w:tcPr>
            <w:tcW w:w="200" w:type="dxa"/>
            <w:vAlign w:val="bottom"/>
          </w:tcPr>
          <w:p>
            <w:pPr>
              <w:spacing w:after="0"/>
              <w:rPr>
                <w:sz w:val="24"/>
                <w:szCs w:val="24"/>
                <w:color w:val="auto"/>
              </w:rPr>
            </w:pPr>
          </w:p>
        </w:tc>
        <w:tc>
          <w:tcPr>
            <w:tcW w:w="4440" w:type="dxa"/>
            <w:vAlign w:val="bottom"/>
            <w:vMerge w:val="restart"/>
          </w:tcPr>
          <w:p>
            <w:pPr>
              <w:ind w:left="1580"/>
              <w:spacing w:after="0"/>
              <w:rPr>
                <w:sz w:val="20"/>
                <w:szCs w:val="20"/>
                <w:color w:val="auto"/>
              </w:rPr>
            </w:pPr>
            <w:r>
              <w:rPr>
                <w:rFonts w:ascii="Arial" w:cs="Arial" w:eastAsia="Arial" w:hAnsi="Arial"/>
                <w:sz w:val="16"/>
                <w:szCs w:val="16"/>
                <w:b w:val="1"/>
                <w:bCs w:val="1"/>
                <w:color w:val="auto"/>
              </w:rPr>
              <w:t>NET LEVERAGE RATIO</w:t>
            </w:r>
          </w:p>
        </w:tc>
        <w:tc>
          <w:tcPr>
            <w:tcW w:w="0" w:type="dxa"/>
            <w:vAlign w:val="bottom"/>
          </w:tcPr>
          <w:p>
            <w:pPr>
              <w:spacing w:after="0"/>
              <w:rPr>
                <w:sz w:val="1"/>
                <w:szCs w:val="1"/>
                <w:color w:val="auto"/>
              </w:rPr>
            </w:pPr>
          </w:p>
        </w:tc>
      </w:tr>
      <w:tr>
        <w:trPr>
          <w:trHeight w:val="115"/>
        </w:trPr>
        <w:tc>
          <w:tcPr>
            <w:tcW w:w="4400" w:type="dxa"/>
            <w:vAlign w:val="bottom"/>
            <w:vMerge w:val="restart"/>
          </w:tcPr>
          <w:p>
            <w:pPr>
              <w:ind w:left="1780"/>
              <w:spacing w:after="0"/>
              <w:rPr>
                <w:sz w:val="20"/>
                <w:szCs w:val="20"/>
                <w:color w:val="auto"/>
              </w:rPr>
            </w:pPr>
            <w:r>
              <w:rPr>
                <w:rFonts w:ascii="Arial" w:cs="Arial" w:eastAsia="Arial" w:hAnsi="Arial"/>
                <w:sz w:val="16"/>
                <w:szCs w:val="16"/>
                <w:b w:val="1"/>
                <w:bCs w:val="1"/>
                <w:color w:val="auto"/>
              </w:rPr>
              <w:t>INCIDENT RATE</w:t>
            </w:r>
          </w:p>
        </w:tc>
        <w:tc>
          <w:tcPr>
            <w:tcW w:w="1840" w:type="dxa"/>
            <w:vAlign w:val="bottom"/>
            <w:vMerge w:val="restart"/>
          </w:tcPr>
          <w:p>
            <w:pPr>
              <w:jc w:val="center"/>
              <w:ind w:left="659"/>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9"/>
                <w:szCs w:val="9"/>
                <w:color w:val="auto"/>
              </w:rPr>
            </w:pPr>
          </w:p>
        </w:tc>
        <w:tc>
          <w:tcPr>
            <w:tcW w:w="4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55880</wp:posOffset>
            </wp:positionV>
            <wp:extent cx="5700395" cy="1688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Note: AICP EBITDA and net leverage ratio are non-GAAP financial measures. Please see Appendix A for the definition and a reconciliation of each measure to the most directly comparable measures of financial performance calculated under GAAP.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Matters and Recommendations</w:t>
      </w:r>
    </w:p>
    <w:p>
      <w:pPr>
        <w:spacing w:after="0" w:line="36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Below is a summary of the proposals on which you are being asked to vote. Please review the complete information regarding these proposals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916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Election of Directors</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each of the three Class II director nominees.                             </w:t>
      </w:r>
      <w:r>
        <w:rPr>
          <w:sz w:val="1"/>
          <w:szCs w:val="1"/>
          <w:color w:val="auto"/>
        </w:rPr>
        <w:drawing>
          <wp:inline distT="0" distB="0" distL="0" distR="0">
            <wp:extent cx="43180" cy="514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8</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our board of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706F6F"/>
              </w:rPr>
              <w:t>Director</w:t>
            </w:r>
          </w:p>
        </w:tc>
        <w:tc>
          <w:tcPr>
            <w:tcW w:w="160" w:type="dxa"/>
            <w:vAlign w:val="bottom"/>
            <w:tcBorders>
              <w:bottom w:val="single" w:sz="8" w:color="006DB6"/>
            </w:tcBorders>
          </w:tcPr>
          <w:p>
            <w:pPr>
              <w:spacing w:after="0"/>
              <w:rPr>
                <w:sz w:val="19"/>
                <w:szCs w:val="19"/>
                <w:color w:val="auto"/>
              </w:rPr>
            </w:pPr>
          </w:p>
        </w:tc>
        <w:tc>
          <w:tcPr>
            <w:tcW w:w="360" w:type="dxa"/>
            <w:vAlign w:val="bottom"/>
            <w:tcBorders>
              <w:bottom w:val="single" w:sz="8" w:color="006DB6"/>
            </w:tcBorders>
          </w:tcPr>
          <w:p>
            <w:pPr>
              <w:spacing w:after="0"/>
              <w:rPr>
                <w:sz w:val="19"/>
                <w:szCs w:val="19"/>
                <w:color w:val="auto"/>
              </w:rPr>
            </w:pPr>
          </w:p>
        </w:tc>
        <w:tc>
          <w:tcPr>
            <w:tcW w:w="1760" w:type="dxa"/>
            <w:vAlign w:val="bottom"/>
            <w:tcBorders>
              <w:bottom w:val="single" w:sz="8" w:color="006DB6"/>
            </w:tcBorders>
            <w:gridSpan w:val="2"/>
          </w:tcPr>
          <w:p>
            <w:pPr>
              <w:ind w:left="60"/>
              <w:spacing w:after="0"/>
              <w:rPr>
                <w:sz w:val="20"/>
                <w:szCs w:val="20"/>
                <w:color w:val="auto"/>
              </w:rPr>
            </w:pPr>
            <w:r>
              <w:rPr>
                <w:rFonts w:ascii="Arial" w:cs="Arial" w:eastAsia="Arial" w:hAnsi="Arial"/>
                <w:sz w:val="14"/>
                <w:szCs w:val="14"/>
                <w:b w:val="1"/>
                <w:bCs w:val="1"/>
                <w:color w:val="706F6F"/>
              </w:rPr>
              <w:t>Committee Membership</w:t>
            </w:r>
          </w:p>
        </w:tc>
        <w:tc>
          <w:tcPr>
            <w:tcW w:w="52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706F6F"/>
              </w:rPr>
              <w:t>Name and Primary Occupation</w:t>
            </w:r>
          </w:p>
        </w:tc>
        <w:tc>
          <w:tcPr>
            <w:tcW w:w="7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706F6F"/>
              </w:rPr>
              <w:t>Age</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706F6F"/>
              </w:rPr>
              <w:t>Since</w:t>
            </w:r>
          </w:p>
        </w:tc>
        <w:tc>
          <w:tcPr>
            <w:tcW w:w="360" w:type="dxa"/>
            <w:vAlign w:val="bottom"/>
          </w:tcPr>
          <w:p>
            <w:pPr>
              <w:ind w:left="100"/>
              <w:spacing w:after="0"/>
              <w:rPr>
                <w:sz w:val="20"/>
                <w:szCs w:val="20"/>
                <w:color w:val="auto"/>
              </w:rPr>
            </w:pPr>
            <w:r>
              <w:rPr>
                <w:rFonts w:ascii="Arial" w:cs="Arial" w:eastAsia="Arial" w:hAnsi="Arial"/>
                <w:sz w:val="14"/>
                <w:szCs w:val="14"/>
                <w:b w:val="1"/>
                <w:bCs w:val="1"/>
                <w:color w:val="706F6F"/>
              </w:rPr>
              <w:t>AC</w:t>
            </w:r>
          </w:p>
        </w:tc>
        <w:tc>
          <w:tcPr>
            <w:tcW w:w="780" w:type="dxa"/>
            <w:vAlign w:val="bottom"/>
          </w:tcPr>
          <w:p>
            <w:pPr>
              <w:ind w:left="400"/>
              <w:spacing w:after="0"/>
              <w:rPr>
                <w:sz w:val="20"/>
                <w:szCs w:val="20"/>
                <w:color w:val="auto"/>
              </w:rPr>
            </w:pPr>
            <w:r>
              <w:rPr>
                <w:rFonts w:ascii="Arial" w:cs="Arial" w:eastAsia="Arial" w:hAnsi="Arial"/>
                <w:sz w:val="14"/>
                <w:szCs w:val="14"/>
                <w:b w:val="1"/>
                <w:bCs w:val="1"/>
                <w:color w:val="706F6F"/>
              </w:rPr>
              <w:t>CC</w:t>
            </w:r>
          </w:p>
        </w:tc>
        <w:tc>
          <w:tcPr>
            <w:tcW w:w="980" w:type="dxa"/>
            <w:vAlign w:val="bottom"/>
          </w:tcPr>
          <w:p>
            <w:pPr>
              <w:ind w:left="180"/>
              <w:spacing w:after="0"/>
              <w:rPr>
                <w:sz w:val="20"/>
                <w:szCs w:val="20"/>
                <w:color w:val="auto"/>
              </w:rPr>
            </w:pPr>
            <w:r>
              <w:rPr>
                <w:rFonts w:ascii="Arial" w:cs="Arial" w:eastAsia="Arial" w:hAnsi="Arial"/>
                <w:sz w:val="14"/>
                <w:szCs w:val="14"/>
                <w:b w:val="1"/>
                <w:bCs w:val="1"/>
                <w:color w:val="706F6F"/>
              </w:rPr>
              <w:t>ESGNC</w:t>
            </w:r>
          </w:p>
        </w:tc>
        <w:tc>
          <w:tcPr>
            <w:tcW w:w="520" w:type="dxa"/>
            <w:vAlign w:val="bottom"/>
          </w:tcPr>
          <w:p>
            <w:pPr>
              <w:ind w:left="60"/>
              <w:spacing w:after="0"/>
              <w:rPr>
                <w:sz w:val="20"/>
                <w:szCs w:val="20"/>
                <w:color w:val="auto"/>
              </w:rPr>
            </w:pPr>
            <w:r>
              <w:rPr>
                <w:rFonts w:ascii="Arial" w:cs="Arial" w:eastAsia="Arial" w:hAnsi="Arial"/>
                <w:sz w:val="14"/>
                <w:szCs w:val="14"/>
                <w:b w:val="1"/>
                <w:bCs w:val="1"/>
                <w:color w:val="706F6F"/>
              </w:rPr>
              <w:t>FIC</w:t>
            </w:r>
          </w:p>
        </w:tc>
        <w:tc>
          <w:tcPr>
            <w:tcW w:w="0" w:type="dxa"/>
            <w:vAlign w:val="bottom"/>
          </w:tcPr>
          <w:p>
            <w:pPr>
              <w:spacing w:after="0"/>
              <w:rPr>
                <w:sz w:val="1"/>
                <w:szCs w:val="1"/>
                <w:color w:val="auto"/>
              </w:rPr>
            </w:pPr>
          </w:p>
        </w:tc>
      </w:tr>
      <w:tr>
        <w:trPr>
          <w:trHeight w:val="24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II Directors Whose Terms Expire at the 2025 Annual General Meeting of Shareholders</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Richard A. Navarre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64</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00" w:type="dxa"/>
            <w:vAlign w:val="bottom"/>
            <w:shd w:val="clear" w:color="auto" w:fill="CCEEFF"/>
          </w:tcPr>
          <w:p>
            <w:pPr>
              <w:spacing w:after="0"/>
              <w:rPr>
                <w:sz w:val="9"/>
                <w:szCs w:val="9"/>
                <w:color w:val="auto"/>
              </w:rPr>
            </w:pPr>
          </w:p>
        </w:tc>
        <w:tc>
          <w:tcPr>
            <w:tcW w:w="622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00" w:type="dxa"/>
            <w:vAlign w:val="bottom"/>
            <w:tcBorders>
              <w:bottom w:val="single" w:sz="8" w:color="CCEEFF"/>
            </w:tcBorders>
            <w:shd w:val="clear" w:color="auto" w:fill="CCEEFF"/>
          </w:tcPr>
          <w:p>
            <w:pPr>
              <w:spacing w:after="0"/>
              <w:rPr>
                <w:sz w:val="23"/>
                <w:szCs w:val="23"/>
                <w:color w:val="auto"/>
              </w:rPr>
            </w:pPr>
          </w:p>
        </w:tc>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Former President and Chief Executive Officer, Covia Corporation</w:t>
            </w: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00" w:type="dxa"/>
            <w:vAlign w:val="bottom"/>
            <w:tcBorders>
              <w:top w:val="single" w:sz="8" w:color="auto"/>
            </w:tcBorders>
            <w:shd w:val="clear" w:color="auto" w:fill="CCEEFF"/>
          </w:tcPr>
          <w:p>
            <w:pPr>
              <w:spacing w:after="0"/>
              <w:rPr>
                <w:sz w:val="24"/>
                <w:szCs w:val="24"/>
                <w:color w:val="auto"/>
              </w:rPr>
            </w:pPr>
          </w:p>
        </w:tc>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color w:val="706F6F"/>
              </w:rPr>
              <w:t>Independent</w:t>
            </w:r>
          </w:p>
        </w:tc>
        <w:tc>
          <w:tcPr>
            <w:tcW w:w="420" w:type="dxa"/>
            <w:vAlign w:val="bottom"/>
            <w:tcBorders>
              <w:top w:val="single" w:sz="8" w:color="auto"/>
            </w:tcBorders>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69</w:t>
            </w:r>
          </w:p>
        </w:tc>
        <w:tc>
          <w:tcPr>
            <w:tcW w:w="3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Chief Executive Officer, Swan Hills Synfuels LP</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69</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Interim President and Chief Executive Officer, Healthcare Realty Trust</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III Directors Whose Terms Expire at the 2026 Annual General Meeting of Shareholders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Civeo Corporation</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Jay K. Grewal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65</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Manitoba Hydro</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Timothy O. Wall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Kitimat LNG Upstream Operations</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340" w:type="dxa"/>
            <w:vAlign w:val="bottom"/>
            <w:tcBorders>
              <w:bottom w:val="single" w:sz="8" w:color="auto"/>
            </w:tcBorders>
            <w:gridSpan w:val="3"/>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 Directors Whose Terms Expire at the 2027 Annual General Meeting of Shareholders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 Ronald Blankenship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Verde Realty</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Michael Montelongo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69</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GRC Advisory Services LLC</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Charles Szalkowski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76</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Partner and General Counsel, Baker Botts L.L.P.</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AC</w:t>
            </w:r>
          </w:p>
        </w:tc>
        <w:tc>
          <w:tcPr>
            <w:tcW w:w="6220" w:type="dxa"/>
            <w:vAlign w:val="bottom"/>
          </w:tcPr>
          <w:p>
            <w:pPr>
              <w:ind w:left="180"/>
              <w:spacing w:after="0"/>
              <w:rPr>
                <w:sz w:val="20"/>
                <w:szCs w:val="20"/>
                <w:color w:val="auto"/>
              </w:rPr>
            </w:pPr>
            <w:r>
              <w:rPr>
                <w:rFonts w:ascii="Arial" w:cs="Arial" w:eastAsia="Arial" w:hAnsi="Arial"/>
                <w:sz w:val="14"/>
                <w:szCs w:val="14"/>
                <w:color w:val="auto"/>
              </w:rPr>
              <w:t>Audit Committee</w:t>
            </w:r>
          </w:p>
        </w:tc>
        <w:tc>
          <w:tcPr>
            <w:tcW w:w="4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Chair</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CC</w:t>
            </w:r>
          </w:p>
        </w:tc>
        <w:tc>
          <w:tcPr>
            <w:tcW w:w="6220" w:type="dxa"/>
            <w:vAlign w:val="bottom"/>
          </w:tcPr>
          <w:p>
            <w:pPr>
              <w:ind w:left="180"/>
              <w:spacing w:after="0"/>
              <w:rPr>
                <w:sz w:val="20"/>
                <w:szCs w:val="20"/>
                <w:color w:val="auto"/>
              </w:rPr>
            </w:pPr>
            <w:r>
              <w:rPr>
                <w:rFonts w:ascii="Arial" w:cs="Arial" w:eastAsia="Arial" w:hAnsi="Arial"/>
                <w:sz w:val="14"/>
                <w:szCs w:val="14"/>
                <w:color w:val="auto"/>
              </w:rPr>
              <w:t>Compensation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Member</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ESGNC</w:t>
            </w:r>
          </w:p>
        </w:tc>
        <w:tc>
          <w:tcPr>
            <w:tcW w:w="6220" w:type="dxa"/>
            <w:vAlign w:val="bottom"/>
          </w:tcPr>
          <w:p>
            <w:pPr>
              <w:ind w:left="180"/>
              <w:spacing w:after="0"/>
              <w:rPr>
                <w:sz w:val="20"/>
                <w:szCs w:val="20"/>
                <w:color w:val="auto"/>
              </w:rPr>
            </w:pPr>
            <w:r>
              <w:rPr>
                <w:rFonts w:ascii="Arial" w:cs="Arial" w:eastAsia="Arial" w:hAnsi="Arial"/>
                <w:sz w:val="14"/>
                <w:szCs w:val="14"/>
                <w:color w:val="auto"/>
              </w:rPr>
              <w:t>Environmental, Social, Governance and Nominating Committee</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F</w:t>
            </w:r>
          </w:p>
        </w:tc>
        <w:tc>
          <w:tcPr>
            <w:tcW w:w="1260" w:type="dxa"/>
            <w:vAlign w:val="bottom"/>
            <w:gridSpan w:val="3"/>
          </w:tcPr>
          <w:p>
            <w:pPr>
              <w:spacing w:after="0"/>
              <w:rPr>
                <w:sz w:val="20"/>
                <w:szCs w:val="20"/>
                <w:color w:val="auto"/>
              </w:rPr>
            </w:pPr>
            <w:r>
              <w:rPr>
                <w:rFonts w:ascii="Arial" w:cs="Arial" w:eastAsia="Arial" w:hAnsi="Arial"/>
                <w:sz w:val="14"/>
                <w:szCs w:val="14"/>
                <w:color w:val="auto"/>
              </w:rPr>
              <w:t>Financial Expert</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FIC</w:t>
            </w:r>
          </w:p>
        </w:tc>
        <w:tc>
          <w:tcPr>
            <w:tcW w:w="6220" w:type="dxa"/>
            <w:vAlign w:val="bottom"/>
          </w:tcPr>
          <w:p>
            <w:pPr>
              <w:ind w:left="180"/>
              <w:spacing w:after="0"/>
              <w:rPr>
                <w:sz w:val="20"/>
                <w:szCs w:val="20"/>
                <w:color w:val="auto"/>
              </w:rPr>
            </w:pPr>
            <w:r>
              <w:rPr>
                <w:rFonts w:ascii="Arial" w:cs="Arial" w:eastAsia="Arial" w:hAnsi="Arial"/>
                <w:sz w:val="14"/>
                <w:szCs w:val="14"/>
                <w:color w:val="auto"/>
              </w:rPr>
              <w:t>Finance and Investment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Chair of the Board</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-4712970</wp:posOffset>
            </wp:positionV>
            <wp:extent cx="32575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-4730115</wp:posOffset>
            </wp:positionV>
            <wp:extent cx="12890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-4601845</wp:posOffset>
            </wp:positionV>
            <wp:extent cx="10287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-4267200</wp:posOffset>
            </wp:positionV>
            <wp:extent cx="32575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-4156075</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-4156075</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-3872865</wp:posOffset>
            </wp:positionV>
            <wp:extent cx="32575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-3761105</wp:posOffset>
            </wp:positionV>
            <wp:extent cx="1028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-3761105</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-3324225</wp:posOffset>
            </wp:positionV>
            <wp:extent cx="325755"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-2929890</wp:posOffset>
            </wp:positionV>
            <wp:extent cx="325755"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-2818765</wp:posOffset>
            </wp:positionV>
            <wp:extent cx="10287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-2818765</wp:posOffset>
            </wp:positionV>
            <wp:extent cx="10287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-2535555</wp:posOffset>
            </wp:positionV>
            <wp:extent cx="32575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-2424430</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-2424430</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-1986915</wp:posOffset>
            </wp:positionV>
            <wp:extent cx="32575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-1875790</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-1875790</wp:posOffset>
            </wp:positionV>
            <wp:extent cx="1028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-1592580</wp:posOffset>
            </wp:positionV>
            <wp:extent cx="32575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-1481455</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-1481455</wp:posOffset>
            </wp:positionV>
            <wp:extent cx="10287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-1198245</wp:posOffset>
            </wp:positionV>
            <wp:extent cx="325755"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-1087120</wp:posOffset>
            </wp:positionV>
            <wp:extent cx="10287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-1087120</wp:posOffset>
            </wp:positionV>
            <wp:extent cx="10287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-735330</wp:posOffset>
            </wp:positionV>
            <wp:extent cx="10287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-538480</wp:posOffset>
            </wp:positionV>
            <wp:extent cx="10287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-161290</wp:posOffset>
            </wp:positionV>
            <wp:extent cx="12890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189865</wp:posOffset>
            </wp:positionV>
            <wp:extent cx="394335"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50165</wp:posOffset>
            </wp:positionV>
            <wp:extent cx="8890" cy="1979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979930"/>
                    </a:xfrm>
                    <a:prstGeom prst="rect">
                      <a:avLst/>
                    </a:prstGeom>
                    <a:noFill/>
                  </pic:spPr>
                </pic:pic>
              </a:graphicData>
            </a:graphic>
          </wp:anchor>
        </w:drawing>
      </w:r>
    </w:p>
    <w:p>
      <w:pPr>
        <w:spacing w:after="0" w:line="72" w:lineRule="exact"/>
        <w:rPr>
          <w:sz w:val="20"/>
          <w:szCs w:val="20"/>
          <w:color w:val="auto"/>
        </w:rPr>
      </w:pPr>
    </w:p>
    <w:p>
      <w:pPr>
        <w:ind w:left="20"/>
        <w:spacing w:after="0"/>
        <w:tabs>
          <w:tab w:leader="none" w:pos="2720" w:val="left"/>
        </w:tabs>
        <w:rPr>
          <w:sz w:val="20"/>
          <w:szCs w:val="20"/>
          <w:color w:val="auto"/>
        </w:rPr>
      </w:pPr>
      <w:r>
        <w:rPr>
          <w:rFonts w:ascii="Arial" w:cs="Arial" w:eastAsia="Arial" w:hAnsi="Arial"/>
          <w:sz w:val="16"/>
          <w:szCs w:val="16"/>
          <w:b w:val="1"/>
          <w:bCs w:val="1"/>
          <w:color w:val="auto"/>
        </w:rPr>
        <w:t>INDEPENDENCE</w:t>
      </w:r>
      <w:r>
        <w:rPr>
          <w:sz w:val="20"/>
          <w:szCs w:val="20"/>
          <w:color w:val="auto"/>
        </w:rPr>
        <w:tab/>
      </w:r>
      <w:r>
        <w:rPr>
          <w:rFonts w:ascii="Arial" w:cs="Arial" w:eastAsia="Arial" w:hAnsi="Arial"/>
          <w:sz w:val="16"/>
          <w:szCs w:val="16"/>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149225</wp:posOffset>
            </wp:positionV>
            <wp:extent cx="960120" cy="1148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0120" cy="114871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80645</wp:posOffset>
            </wp:positionV>
            <wp:extent cx="274320"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4320" cy="111760"/>
                    </a:xfrm>
                    <a:prstGeom prst="rect">
                      <a:avLst/>
                    </a:prstGeom>
                    <a:noFill/>
                  </pic:spPr>
                </pic:pic>
              </a:graphicData>
            </a:graphic>
          </wp:anchor>
        </w:drawing>
      </w:r>
    </w:p>
    <w:p>
      <w:pPr>
        <w:spacing w:after="0" w:line="350"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 xml:space="preserve">0-5 years: </w:t>
      </w:r>
      <w:r>
        <w:rPr>
          <w:rFonts w:ascii="Arial" w:cs="Arial" w:eastAsia="Arial" w:hAnsi="Arial"/>
          <w:sz w:val="16"/>
          <w:szCs w:val="16"/>
          <w:b w:val="1"/>
          <w:bCs w:val="1"/>
          <w:color w:val="FFC03C"/>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89535</wp:posOffset>
            </wp:positionV>
            <wp:extent cx="111442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4425" cy="120015"/>
                    </a:xfrm>
                    <a:prstGeom prst="rect">
                      <a:avLst/>
                    </a:prstGeom>
                    <a:noFill/>
                  </pic:spPr>
                </pic:pic>
              </a:graphicData>
            </a:graphic>
          </wp:anchor>
        </w:drawing>
      </w:r>
    </w:p>
    <w:p>
      <w:pPr>
        <w:spacing w:after="0" w:line="377" w:lineRule="exact"/>
        <w:rPr>
          <w:sz w:val="20"/>
          <w:szCs w:val="20"/>
          <w:color w:val="auto"/>
        </w:rPr>
      </w:pPr>
    </w:p>
    <w:p>
      <w:pPr>
        <w:jc w:val="center"/>
        <w:ind w:left="2660"/>
        <w:spacing w:after="0"/>
        <w:rPr>
          <w:sz w:val="20"/>
          <w:szCs w:val="20"/>
          <w:color w:val="auto"/>
        </w:rPr>
      </w:pPr>
      <w:r>
        <w:rPr>
          <w:rFonts w:ascii="Arial" w:cs="Arial" w:eastAsia="Arial" w:hAnsi="Arial"/>
          <w:sz w:val="16"/>
          <w:szCs w:val="16"/>
          <w:color w:val="auto"/>
        </w:rPr>
        <w:t xml:space="preserve">5-10 years: </w:t>
      </w:r>
      <w:r>
        <w:rPr>
          <w:rFonts w:ascii="Arial" w:cs="Arial" w:eastAsia="Arial" w:hAnsi="Arial"/>
          <w:sz w:val="16"/>
          <w:szCs w:val="16"/>
          <w:b w:val="1"/>
          <w:bCs w:val="1"/>
          <w:color w:val="006DB6"/>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hanging="134"/>
        <w:spacing w:after="0"/>
        <w:tabs>
          <w:tab w:leader="none" w:pos="160" w:val="left"/>
        </w:tabs>
        <w:numPr>
          <w:ilvl w:val="0"/>
          <w:numId w:val="6"/>
        </w:numPr>
        <w:rPr>
          <w:rFonts w:ascii="Arial" w:cs="Arial" w:eastAsia="Arial" w:hAnsi="Arial"/>
          <w:sz w:val="16"/>
          <w:szCs w:val="16"/>
          <w:b w:val="1"/>
          <w:bCs w:val="1"/>
          <w:color w:val="FFC03C"/>
        </w:rPr>
      </w:pPr>
      <w:r>
        <w:rPr>
          <w:rFonts w:ascii="Arial" w:cs="Arial" w:eastAsia="Arial" w:hAnsi="Arial"/>
          <w:sz w:val="16"/>
          <w:szCs w:val="16"/>
          <w:color w:val="auto"/>
        </w:rPr>
        <w:t>Independent</w:t>
      </w:r>
    </w:p>
    <w:p>
      <w:pPr>
        <w:spacing w:after="0" w:line="18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Average Director Tenure:</w:t>
      </w:r>
    </w:p>
    <w:p>
      <w:pPr>
        <w:spacing w:after="0" w:line="21"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706F6F"/>
        </w:rPr>
        <w:t>8.2 years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114935</wp:posOffset>
            </wp:positionV>
            <wp:extent cx="539750" cy="539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114935</wp:posOffset>
            </wp:positionV>
            <wp:extent cx="539750" cy="539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20"/>
        <w:spacing w:after="0"/>
        <w:tabs>
          <w:tab w:leader="none" w:pos="2860" w:val="left"/>
        </w:tabs>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Executive</w:t>
      </w:r>
      <w:r>
        <w:rPr>
          <w:sz w:val="20"/>
          <w:szCs w:val="20"/>
          <w:color w:val="auto"/>
        </w:rPr>
        <w:tab/>
      </w:r>
      <w:r>
        <w:rPr>
          <w:rFonts w:ascii="Arial" w:cs="Arial" w:eastAsia="Arial" w:hAnsi="Arial"/>
          <w:sz w:val="16"/>
          <w:szCs w:val="16"/>
          <w:color w:val="FFC03C"/>
        </w:rPr>
        <w:t xml:space="preserve">7 </w:t>
      </w:r>
      <w:r>
        <w:rPr>
          <w:rFonts w:ascii="Arial" w:cs="Arial" w:eastAsia="Arial" w:hAnsi="Arial"/>
          <w:sz w:val="16"/>
          <w:szCs w:val="16"/>
          <w:color w:val="006DB6"/>
        </w:rPr>
        <w:t>Accommodations,</w:t>
      </w:r>
    </w:p>
    <w:p>
      <w:pPr>
        <w:ind w:left="1040"/>
        <w:spacing w:after="0"/>
        <w:tabs>
          <w:tab w:leader="none" w:pos="2980" w:val="left"/>
        </w:tabs>
        <w:rPr>
          <w:sz w:val="20"/>
          <w:szCs w:val="20"/>
          <w:color w:val="auto"/>
        </w:rPr>
      </w:pPr>
      <w:r>
        <w:rPr>
          <w:rFonts w:ascii="Arial" w:cs="Arial" w:eastAsia="Arial" w:hAnsi="Arial"/>
          <w:sz w:val="16"/>
          <w:szCs w:val="16"/>
          <w:color w:val="006DB6"/>
        </w:rPr>
        <w:t>Leadership</w:t>
      </w:r>
      <w:r>
        <w:rPr>
          <w:sz w:val="20"/>
          <w:szCs w:val="20"/>
          <w:color w:val="auto"/>
        </w:rPr>
        <w:tab/>
      </w:r>
      <w:r>
        <w:rPr>
          <w:rFonts w:ascii="Arial" w:cs="Arial" w:eastAsia="Arial" w:hAnsi="Arial"/>
          <w:sz w:val="16"/>
          <w:szCs w:val="16"/>
          <w:color w:val="006DB6"/>
        </w:rPr>
        <w:t>Real Estate and</w:t>
      </w:r>
    </w:p>
    <w:p>
      <w:pPr>
        <w:ind w:left="3220"/>
        <w:spacing w:after="0"/>
        <w:rPr>
          <w:sz w:val="20"/>
          <w:szCs w:val="20"/>
          <w:color w:val="auto"/>
        </w:rPr>
      </w:pPr>
      <w:r>
        <w:rPr>
          <w:rFonts w:ascii="Arial" w:cs="Arial" w:eastAsia="Arial" w:hAnsi="Arial"/>
          <w:sz w:val="16"/>
          <w:szCs w:val="16"/>
          <w:color w:val="006DB6"/>
        </w:rPr>
        <w:t>Hospitality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87630</wp:posOffset>
            </wp:positionV>
            <wp:extent cx="539750" cy="539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87630</wp:posOffset>
            </wp:positionV>
            <wp:extent cx="539750" cy="539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Financial</w:t>
            </w:r>
          </w:p>
        </w:tc>
        <w:tc>
          <w:tcPr>
            <w:tcW w:w="1660" w:type="dxa"/>
            <w:vAlign w:val="bottom"/>
          </w:tcPr>
          <w:p>
            <w:pPr>
              <w:jc w:val="center"/>
              <w:ind w:left="559"/>
              <w:spacing w:after="0"/>
              <w:rPr>
                <w:sz w:val="20"/>
                <w:szCs w:val="20"/>
                <w:color w:val="auto"/>
              </w:rPr>
            </w:pPr>
            <w:r>
              <w:rPr>
                <w:rFonts w:ascii="Arial" w:cs="Arial" w:eastAsia="Arial" w:hAnsi="Arial"/>
                <w:sz w:val="16"/>
                <w:szCs w:val="16"/>
                <w:color w:val="FFC03C"/>
              </w:rPr>
              <w:t xml:space="preserve">8 </w:t>
            </w:r>
            <w:r>
              <w:rPr>
                <w:rFonts w:ascii="Arial" w:cs="Arial" w:eastAsia="Arial" w:hAnsi="Arial"/>
                <w:sz w:val="16"/>
                <w:szCs w:val="16"/>
                <w:color w:val="006DB6"/>
              </w:rPr>
              <w:t>International</w:t>
            </w:r>
          </w:p>
        </w:tc>
      </w:tr>
      <w:tr>
        <w:trPr>
          <w:trHeight w:val="215"/>
        </w:trPr>
        <w:tc>
          <w:tcPr>
            <w:tcW w:w="1400" w:type="dxa"/>
            <w:vAlign w:val="bottom"/>
          </w:tcPr>
          <w:p>
            <w:pPr>
              <w:spacing w:after="0"/>
              <w:rPr>
                <w:sz w:val="18"/>
                <w:szCs w:val="18"/>
                <w:color w:val="auto"/>
              </w:rPr>
            </w:pPr>
          </w:p>
        </w:tc>
        <w:tc>
          <w:tcPr>
            <w:tcW w:w="1660" w:type="dxa"/>
            <w:vAlign w:val="bottom"/>
          </w:tcPr>
          <w:p>
            <w:pPr>
              <w:jc w:val="center"/>
              <w:ind w:left="539"/>
              <w:spacing w:after="0"/>
              <w:rPr>
                <w:sz w:val="20"/>
                <w:szCs w:val="20"/>
                <w:color w:val="auto"/>
              </w:rPr>
            </w:pPr>
            <w:r>
              <w:rPr>
                <w:rFonts w:ascii="Arial" w:cs="Arial" w:eastAsia="Arial" w:hAnsi="Arial"/>
                <w:sz w:val="16"/>
                <w:szCs w:val="16"/>
                <w:color w:val="006DB6"/>
              </w:rPr>
              <w:t>Operations</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612140</wp:posOffset>
            </wp:positionV>
            <wp:extent cx="8890" cy="1979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97993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612140</wp:posOffset>
            </wp:positionV>
            <wp:extent cx="8255" cy="1979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1580" w:type="dxa"/>
            <w:vAlign w:val="bottom"/>
          </w:tcPr>
          <w:p>
            <w:pPr>
              <w:spacing w:after="0"/>
              <w:rPr>
                <w:sz w:val="20"/>
                <w:szCs w:val="20"/>
                <w:color w:val="auto"/>
              </w:rPr>
            </w:pPr>
            <w:r>
              <w:rPr>
                <w:rFonts w:ascii="Arial" w:cs="Arial" w:eastAsia="Arial" w:hAnsi="Arial"/>
                <w:sz w:val="16"/>
                <w:szCs w:val="16"/>
                <w:b w:val="1"/>
                <w:bCs w:val="1"/>
                <w:color w:val="auto"/>
              </w:rPr>
              <w:t>AGE</w:t>
            </w:r>
          </w:p>
        </w:tc>
        <w:tc>
          <w:tcPr>
            <w:tcW w:w="2080" w:type="dxa"/>
            <w:vAlign w:val="bottom"/>
          </w:tcPr>
          <w:p>
            <w:pPr>
              <w:ind w:left="1220"/>
              <w:spacing w:after="0"/>
              <w:rPr>
                <w:sz w:val="20"/>
                <w:szCs w:val="20"/>
                <w:color w:val="auto"/>
              </w:rPr>
            </w:pPr>
            <w:r>
              <w:rPr>
                <w:rFonts w:ascii="Arial" w:cs="Arial" w:eastAsia="Arial" w:hAnsi="Arial"/>
                <w:sz w:val="16"/>
                <w:szCs w:val="16"/>
                <w:b w:val="1"/>
                <w:bCs w:val="1"/>
                <w:color w:val="auto"/>
                <w:w w:val="99"/>
              </w:rPr>
              <w:t>DIVERSITY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55880</wp:posOffset>
            </wp:positionV>
            <wp:extent cx="111125"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125095</wp:posOffset>
            </wp:positionV>
            <wp:extent cx="1260475" cy="1560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60475" cy="1560195"/>
                    </a:xfrm>
                    <a:prstGeom prst="rect">
                      <a:avLst/>
                    </a:prstGeom>
                    <a:noFill/>
                  </pic:spPr>
                </pic:pic>
              </a:graphicData>
            </a:graphic>
          </wp:anchor>
        </w:drawing>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&lt;60 years: </w:t>
      </w:r>
      <w:r>
        <w:rPr>
          <w:rFonts w:ascii="Arial" w:cs="Arial" w:eastAsia="Arial" w:hAnsi="Arial"/>
          <w:sz w:val="16"/>
          <w:szCs w:val="16"/>
          <w:b w:val="1"/>
          <w:bCs w:val="1"/>
          <w:color w:val="FFC03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89535</wp:posOffset>
            </wp:positionV>
            <wp:extent cx="102870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0" cy="1631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61-70 years: </w:t>
      </w:r>
      <w:r>
        <w:rPr>
          <w:rFonts w:ascii="Arial" w:cs="Arial" w:eastAsia="Arial" w:hAnsi="Arial"/>
          <w:sz w:val="16"/>
          <w:szCs w:val="16"/>
          <w:b w:val="1"/>
          <w:bCs w:val="1"/>
          <w:color w:val="706F6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89535</wp:posOffset>
            </wp:positionV>
            <wp:extent cx="27432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111760"/>
                    </a:xfrm>
                    <a:prstGeom prst="rect">
                      <a:avLst/>
                    </a:prstGeom>
                    <a:noFill/>
                  </pic:spPr>
                </pic:pic>
              </a:graphicData>
            </a:graphic>
          </wp:anchor>
        </w:drawing>
      </w:r>
    </w:p>
    <w:p>
      <w:pPr>
        <w:spacing w:after="0" w:line="36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&gt;70 years: </w:t>
      </w:r>
      <w:r>
        <w:rPr>
          <w:rFonts w:ascii="Arial" w:cs="Arial" w:eastAsia="Arial" w:hAnsi="Arial"/>
          <w:sz w:val="16"/>
          <w:szCs w:val="16"/>
          <w:b w:val="1"/>
          <w:bCs w:val="1"/>
          <w:color w:val="ABABAB"/>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Average Age: </w:t>
      </w:r>
      <w:r>
        <w:rPr>
          <w:rFonts w:ascii="Arial" w:cs="Arial" w:eastAsia="Arial" w:hAnsi="Arial"/>
          <w:sz w:val="16"/>
          <w:szCs w:val="16"/>
          <w:b w:val="1"/>
          <w:bCs w:val="1"/>
          <w:color w:val="706F6F"/>
        </w:rPr>
        <w:t>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457835</wp:posOffset>
            </wp:positionV>
            <wp:extent cx="539750" cy="539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457835</wp:posOffset>
            </wp:positionV>
            <wp:extent cx="539750" cy="539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440690</wp:posOffset>
            </wp:positionV>
            <wp:extent cx="574040" cy="574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00" w:type="dxa"/>
            <w:vAlign w:val="bottom"/>
          </w:tcPr>
          <w:p>
            <w:pPr>
              <w:jc w:val="center"/>
              <w:ind w:right="279"/>
              <w:spacing w:after="0"/>
              <w:rPr>
                <w:sz w:val="20"/>
                <w:szCs w:val="20"/>
                <w:color w:val="auto"/>
              </w:rPr>
            </w:pPr>
            <w:r>
              <w:rPr>
                <w:rFonts w:ascii="Arial" w:cs="Arial" w:eastAsia="Arial" w:hAnsi="Arial"/>
                <w:sz w:val="16"/>
                <w:szCs w:val="16"/>
                <w:color w:val="FFC03C"/>
              </w:rPr>
              <w:t xml:space="preserve">4 </w:t>
            </w:r>
            <w:r>
              <w:rPr>
                <w:rFonts w:ascii="Arial" w:cs="Arial" w:eastAsia="Arial" w:hAnsi="Arial"/>
                <w:sz w:val="16"/>
                <w:szCs w:val="16"/>
                <w:color w:val="006DB6"/>
              </w:rPr>
              <w:t>Experience in Industry</w:t>
            </w:r>
          </w:p>
        </w:tc>
        <w:tc>
          <w:tcPr>
            <w:tcW w:w="1960" w:type="dxa"/>
            <w:vAlign w:val="bottom"/>
          </w:tcPr>
          <w:p>
            <w:pPr>
              <w:jc w:val="center"/>
              <w:ind w:left="39"/>
              <w:spacing w:after="0"/>
              <w:rPr>
                <w:sz w:val="20"/>
                <w:szCs w:val="20"/>
                <w:color w:val="auto"/>
              </w:rPr>
            </w:pPr>
            <w:r>
              <w:rPr>
                <w:rFonts w:ascii="Arial" w:cs="Arial" w:eastAsia="Arial" w:hAnsi="Arial"/>
                <w:sz w:val="16"/>
                <w:szCs w:val="16"/>
                <w:color w:val="FFC03C"/>
              </w:rPr>
              <w:t xml:space="preserve">7 </w:t>
            </w:r>
            <w:r>
              <w:rPr>
                <w:rFonts w:ascii="Arial" w:cs="Arial" w:eastAsia="Arial" w:hAnsi="Arial"/>
                <w:sz w:val="16"/>
                <w:szCs w:val="16"/>
                <w:color w:val="006DB6"/>
              </w:rPr>
              <w:t>Public Company</w:t>
            </w:r>
          </w:p>
        </w:tc>
        <w:tc>
          <w:tcPr>
            <w:tcW w:w="1720" w:type="dxa"/>
            <w:vAlign w:val="bottom"/>
          </w:tcPr>
          <w:p>
            <w:pPr>
              <w:jc w:val="center"/>
              <w:ind w:left="179"/>
              <w:spacing w:after="0"/>
              <w:rPr>
                <w:sz w:val="20"/>
                <w:szCs w:val="20"/>
                <w:color w:val="auto"/>
              </w:rPr>
            </w:pPr>
            <w:r>
              <w:rPr>
                <w:rFonts w:ascii="Arial" w:cs="Arial" w:eastAsia="Arial" w:hAnsi="Arial"/>
                <w:sz w:val="16"/>
                <w:szCs w:val="16"/>
                <w:color w:val="FFC03C"/>
              </w:rPr>
              <w:t xml:space="preserve">6 </w:t>
            </w:r>
            <w:r>
              <w:rPr>
                <w:rFonts w:ascii="Arial" w:cs="Arial" w:eastAsia="Arial" w:hAnsi="Arial"/>
                <w:sz w:val="16"/>
                <w:szCs w:val="16"/>
                <w:color w:val="006DB6"/>
              </w:rPr>
              <w:t>Cybersecurity &amp; IT</w:t>
            </w:r>
          </w:p>
        </w:tc>
      </w:tr>
      <w:tr>
        <w:trPr>
          <w:trHeight w:val="229"/>
        </w:trPr>
        <w:tc>
          <w:tcPr>
            <w:tcW w:w="2100" w:type="dxa"/>
            <w:vAlign w:val="bottom"/>
          </w:tcPr>
          <w:p>
            <w:pPr>
              <w:jc w:val="center"/>
              <w:ind w:right="279"/>
              <w:spacing w:after="0"/>
              <w:rPr>
                <w:sz w:val="20"/>
                <w:szCs w:val="20"/>
                <w:color w:val="auto"/>
              </w:rPr>
            </w:pPr>
            <w:r>
              <w:rPr>
                <w:rFonts w:ascii="Arial" w:cs="Arial" w:eastAsia="Arial" w:hAnsi="Arial"/>
                <w:sz w:val="16"/>
                <w:szCs w:val="16"/>
                <w:color w:val="006DB6"/>
              </w:rPr>
              <w:t>of Primary Customers</w:t>
            </w:r>
          </w:p>
        </w:tc>
        <w:tc>
          <w:tcPr>
            <w:tcW w:w="1960" w:type="dxa"/>
            <w:vAlign w:val="bottom"/>
          </w:tcPr>
          <w:p>
            <w:pPr>
              <w:jc w:val="center"/>
              <w:ind w:left="39"/>
              <w:spacing w:after="0"/>
              <w:rPr>
                <w:sz w:val="20"/>
                <w:szCs w:val="20"/>
                <w:color w:val="auto"/>
              </w:rPr>
            </w:pPr>
            <w:r>
              <w:rPr>
                <w:rFonts w:ascii="Arial" w:cs="Arial" w:eastAsia="Arial" w:hAnsi="Arial"/>
                <w:sz w:val="16"/>
                <w:szCs w:val="16"/>
                <w:color w:val="006DB6"/>
              </w:rPr>
              <w:t>CEO or C-Suite</w:t>
            </w:r>
          </w:p>
        </w:tc>
        <w:tc>
          <w:tcPr>
            <w:tcW w:w="1720" w:type="dxa"/>
            <w:vAlign w:val="bottom"/>
          </w:tcPr>
          <w:p>
            <w:pPr>
              <w:jc w:val="center"/>
              <w:ind w:left="179"/>
              <w:spacing w:after="0"/>
              <w:rPr>
                <w:sz w:val="20"/>
                <w:szCs w:val="20"/>
                <w:color w:val="auto"/>
              </w:rPr>
            </w:pPr>
            <w:r>
              <w:rPr>
                <w:rFonts w:ascii="Arial" w:cs="Arial" w:eastAsia="Arial" w:hAnsi="Arial"/>
                <w:sz w:val="16"/>
                <w:szCs w:val="16"/>
                <w:color w:val="006DB6"/>
              </w:rPr>
              <w:t>Experience</w:t>
            </w:r>
          </w:p>
        </w:tc>
      </w:tr>
      <w:tr>
        <w:trPr>
          <w:trHeight w:val="215"/>
        </w:trPr>
        <w:tc>
          <w:tcPr>
            <w:tcW w:w="2100" w:type="dxa"/>
            <w:vAlign w:val="bottom"/>
          </w:tcPr>
          <w:p>
            <w:pPr>
              <w:spacing w:after="0"/>
              <w:rPr>
                <w:sz w:val="18"/>
                <w:szCs w:val="18"/>
                <w:color w:val="auto"/>
              </w:rPr>
            </w:pPr>
          </w:p>
        </w:tc>
        <w:tc>
          <w:tcPr>
            <w:tcW w:w="1960" w:type="dxa"/>
            <w:vAlign w:val="bottom"/>
          </w:tcPr>
          <w:p>
            <w:pPr>
              <w:jc w:val="center"/>
              <w:ind w:left="19"/>
              <w:spacing w:after="0"/>
              <w:rPr>
                <w:sz w:val="20"/>
                <w:szCs w:val="20"/>
                <w:color w:val="auto"/>
              </w:rPr>
            </w:pPr>
            <w:r>
              <w:rPr>
                <w:rFonts w:ascii="Arial" w:cs="Arial" w:eastAsia="Arial" w:hAnsi="Arial"/>
                <w:sz w:val="16"/>
                <w:szCs w:val="16"/>
                <w:color w:val="006DB6"/>
              </w:rPr>
              <w:t>Experience</w:t>
            </w: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44450</wp:posOffset>
            </wp:positionV>
            <wp:extent cx="539750" cy="539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44450</wp:posOffset>
            </wp:positionV>
            <wp:extent cx="539750" cy="539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tabs>
          <w:tab w:leader="none" w:pos="2480" w:val="left"/>
        </w:tabs>
        <w:rPr>
          <w:sz w:val="20"/>
          <w:szCs w:val="20"/>
          <w:color w:val="auto"/>
        </w:rPr>
      </w:pPr>
      <w:r>
        <w:rPr>
          <w:rFonts w:ascii="Arial" w:cs="Arial" w:eastAsia="Arial" w:hAnsi="Arial"/>
          <w:sz w:val="16"/>
          <w:szCs w:val="16"/>
          <w:color w:val="FFC03C"/>
        </w:rPr>
        <w:t xml:space="preserve">5 </w:t>
      </w:r>
      <w:r>
        <w:rPr>
          <w:rFonts w:ascii="Arial" w:cs="Arial" w:eastAsia="Arial" w:hAnsi="Arial"/>
          <w:sz w:val="16"/>
          <w:szCs w:val="16"/>
          <w:color w:val="006DB6"/>
        </w:rPr>
        <w:t>Health Safety &amp;</w:t>
      </w:r>
      <w:r>
        <w:rPr>
          <w:sz w:val="20"/>
          <w:szCs w:val="20"/>
          <w:color w:val="auto"/>
        </w:rPr>
        <w:tab/>
      </w:r>
      <w:r>
        <w:rPr>
          <w:rFonts w:ascii="Arial" w:cs="Arial" w:eastAsia="Arial" w:hAnsi="Arial"/>
          <w:sz w:val="16"/>
          <w:szCs w:val="16"/>
          <w:color w:val="FFC03C"/>
        </w:rPr>
        <w:t xml:space="preserve">9 </w:t>
      </w:r>
      <w:r>
        <w:rPr>
          <w:rFonts w:ascii="Arial" w:cs="Arial" w:eastAsia="Arial" w:hAnsi="Arial"/>
          <w:sz w:val="16"/>
          <w:szCs w:val="16"/>
          <w:color w:val="006DB6"/>
        </w:rPr>
        <w:t>Public Company</w:t>
      </w:r>
    </w:p>
    <w:p>
      <w:pPr>
        <w:spacing w:after="0" w:line="8" w:lineRule="exact"/>
        <w:rPr>
          <w:sz w:val="20"/>
          <w:szCs w:val="20"/>
          <w:color w:val="auto"/>
        </w:rPr>
      </w:pPr>
    </w:p>
    <w:p>
      <w:pPr>
        <w:spacing w:after="0"/>
        <w:tabs>
          <w:tab w:leader="none" w:pos="2420" w:val="left"/>
        </w:tabs>
        <w:rPr>
          <w:sz w:val="20"/>
          <w:szCs w:val="20"/>
          <w:color w:val="auto"/>
        </w:rPr>
      </w:pPr>
      <w:r>
        <w:rPr>
          <w:rFonts w:ascii="Arial" w:cs="Arial" w:eastAsia="Arial" w:hAnsi="Arial"/>
          <w:sz w:val="16"/>
          <w:szCs w:val="16"/>
          <w:color w:val="006DB6"/>
        </w:rPr>
        <w:t>Environment Experience</w:t>
      </w:r>
      <w:r>
        <w:rPr>
          <w:sz w:val="20"/>
          <w:szCs w:val="20"/>
          <w:color w:val="auto"/>
        </w:rPr>
        <w:tab/>
      </w:r>
      <w:r>
        <w:rPr>
          <w:rFonts w:ascii="Arial" w:cs="Arial" w:eastAsia="Arial" w:hAnsi="Arial"/>
          <w:sz w:val="16"/>
          <w:szCs w:val="16"/>
          <w:color w:val="006DB6"/>
        </w:rPr>
        <w:t>Director Experience</w:t>
      </w:r>
    </w:p>
    <w:p>
      <w:pPr>
        <w:spacing w:after="0" w:line="215" w:lineRule="exact"/>
        <w:rPr>
          <w:sz w:val="20"/>
          <w:szCs w:val="20"/>
          <w:color w:val="auto"/>
        </w:rPr>
      </w:pPr>
    </w:p>
    <w:p>
      <w:pPr>
        <w:sectPr>
          <w:pgSz w:w="11900" w:h="16838" w:orient="portrait"/>
          <w:cols w:equalWidth="0" w:num="2">
            <w:col w:w="4560" w:space="420"/>
            <w:col w:w="6260"/>
          </w:cols>
          <w:pgMar w:left="320" w:top="125"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2905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905760"/>
                    </a:xfrm>
                    <a:prstGeom prst="rect">
                      <a:avLst/>
                    </a:prstGeom>
                    <a:noFill/>
                  </pic:spPr>
                </pic:pic>
              </a:graphicData>
            </a:graphic>
          </wp:anchor>
        </w:drawing>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4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w:t>
      </w:r>
    </w:p>
    <w:p>
      <w:pPr>
        <w:spacing w:after="0" w:line="73"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603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Commenced declassification of board of directions in 2024, with classified board to be phased out by 2027</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73" w:lineRule="exact"/>
        <w:rPr>
          <w:sz w:val="20"/>
          <w:szCs w:val="20"/>
          <w:color w:val="auto"/>
        </w:rPr>
      </w:pPr>
    </w:p>
    <w:p>
      <w:pPr>
        <w:ind w:left="420" w:right="240" w:hanging="203"/>
        <w:spacing w:after="0"/>
        <w:rPr>
          <w:sz w:val="20"/>
          <w:szCs w:val="20"/>
          <w:color w:val="auto"/>
        </w:rPr>
      </w:pPr>
      <w:r>
        <w:rPr>
          <w:sz w:val="1"/>
          <w:szCs w:val="1"/>
          <w:color w:val="auto"/>
        </w:rPr>
        <w:drawing>
          <wp:inline distT="0" distB="0" distL="0" distR="0">
            <wp:extent cx="68580" cy="596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composed of independent directors</w:t>
      </w:r>
    </w:p>
    <w:p>
      <w:pPr>
        <w:spacing w:after="0" w:line="86" w:lineRule="exact"/>
        <w:rPr>
          <w:sz w:val="20"/>
          <w:szCs w:val="20"/>
          <w:color w:val="auto"/>
        </w:rPr>
      </w:pPr>
    </w:p>
    <w:p>
      <w:pPr>
        <w:ind w:left="420" w:right="160" w:hanging="203"/>
        <w:spacing w:after="0"/>
        <w:rPr>
          <w:sz w:val="20"/>
          <w:szCs w:val="20"/>
          <w:color w:val="auto"/>
        </w:rPr>
      </w:pPr>
      <w:r>
        <w:rPr>
          <w:sz w:val="1"/>
          <w:szCs w:val="1"/>
          <w:color w:val="auto"/>
        </w:rPr>
        <w:drawing>
          <wp:inline distT="0" distB="0" distL="0" distR="0">
            <wp:extent cx="68580" cy="5969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5969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73" w:lineRule="exact"/>
        <w:rPr>
          <w:sz w:val="20"/>
          <w:szCs w:val="20"/>
          <w:color w:val="auto"/>
        </w:rPr>
      </w:pPr>
    </w:p>
    <w:p>
      <w:pPr>
        <w:ind w:left="420" w:right="540" w:hanging="203"/>
        <w:spacing w:after="0"/>
        <w:rPr>
          <w:sz w:val="20"/>
          <w:szCs w:val="20"/>
          <w:color w:val="auto"/>
        </w:rPr>
      </w:pPr>
      <w:r>
        <w:rPr>
          <w:sz w:val="1"/>
          <w:szCs w:val="1"/>
          <w:color w:val="auto"/>
        </w:rPr>
        <w:drawing>
          <wp:inline distT="0" distB="0" distL="0" distR="0">
            <wp:extent cx="68580" cy="5969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440" w:hanging="203"/>
        <w:spacing w:after="0"/>
        <w:rPr>
          <w:sz w:val="20"/>
          <w:szCs w:val="20"/>
          <w:color w:val="auto"/>
        </w:rPr>
      </w:pPr>
      <w:r>
        <w:rPr>
          <w:sz w:val="1"/>
          <w:szCs w:val="1"/>
          <w:color w:val="auto"/>
        </w:rPr>
        <w:drawing>
          <wp:inline distT="0" distB="0" distL="0" distR="0">
            <wp:extent cx="68580" cy="5969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Oversight of environmental, social and governance ("ESG") matters directly assigned to the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145"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603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short-sale trading transactions by executive officers or directors</w:t>
      </w:r>
    </w:p>
    <w:p>
      <w:pPr>
        <w:spacing w:after="0" w:line="55" w:lineRule="exact"/>
        <w:rPr>
          <w:sz w:val="20"/>
          <w:szCs w:val="20"/>
          <w:color w:val="auto"/>
        </w:rPr>
      </w:pPr>
    </w:p>
    <w:p>
      <w:pPr>
        <w:ind w:left="220" w:right="320" w:hanging="203"/>
        <w:spacing w:after="0"/>
        <w:rPr>
          <w:sz w:val="20"/>
          <w:szCs w:val="20"/>
          <w:color w:val="auto"/>
        </w:rPr>
      </w:pPr>
      <w:r>
        <w:rPr>
          <w:sz w:val="1"/>
          <w:szCs w:val="1"/>
          <w:color w:val="auto"/>
        </w:rPr>
        <w:drawing>
          <wp:inline distT="0" distB="0" distL="0" distR="0">
            <wp:extent cx="68580" cy="5969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applicable to executive officers and directors</w:t>
      </w:r>
    </w:p>
    <w:p>
      <w:pPr>
        <w:spacing w:after="0" w:line="55" w:lineRule="exact"/>
        <w:rPr>
          <w:sz w:val="20"/>
          <w:szCs w:val="20"/>
          <w:color w:val="auto"/>
        </w:rPr>
      </w:pPr>
    </w:p>
    <w:p>
      <w:pPr>
        <w:ind w:left="220" w:right="660" w:hanging="203"/>
        <w:spacing w:after="0"/>
        <w:rPr>
          <w:sz w:val="20"/>
          <w:szCs w:val="20"/>
          <w:color w:val="auto"/>
        </w:rPr>
      </w:pPr>
      <w:r>
        <w:rPr>
          <w:sz w:val="1"/>
          <w:szCs w:val="1"/>
          <w:color w:val="auto"/>
        </w:rPr>
        <w:drawing>
          <wp:inline distT="0" distB="0" distL="0" distR="0">
            <wp:extent cx="68580" cy="603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55" w:lineRule="exact"/>
        <w:rPr>
          <w:sz w:val="20"/>
          <w:szCs w:val="20"/>
          <w:color w:val="auto"/>
        </w:rPr>
      </w:pPr>
    </w:p>
    <w:p>
      <w:pPr>
        <w:ind w:left="220" w:right="600" w:hanging="203"/>
        <w:spacing w:after="0"/>
        <w:rPr>
          <w:sz w:val="20"/>
          <w:szCs w:val="20"/>
          <w:color w:val="auto"/>
        </w:rPr>
      </w:pPr>
      <w:r>
        <w:rPr>
          <w:sz w:val="1"/>
          <w:szCs w:val="1"/>
          <w:color w:val="auto"/>
        </w:rPr>
        <w:drawing>
          <wp:inline distT="0" distB="0" distL="0" distR="0">
            <wp:extent cx="68580" cy="603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86" w:lineRule="exact"/>
        <w:rPr>
          <w:sz w:val="20"/>
          <w:szCs w:val="20"/>
          <w:color w:val="auto"/>
        </w:rPr>
      </w:pPr>
    </w:p>
    <w:p>
      <w:pPr>
        <w:ind w:left="220" w:right="340" w:hanging="203"/>
        <w:spacing w:after="0"/>
        <w:rPr>
          <w:sz w:val="20"/>
          <w:szCs w:val="20"/>
          <w:color w:val="auto"/>
        </w:rPr>
      </w:pPr>
      <w:r>
        <w:rPr>
          <w:sz w:val="1"/>
          <w:szCs w:val="1"/>
          <w:color w:val="auto"/>
        </w:rPr>
        <w:drawing>
          <wp:inline distT="0" distB="0" distL="0" distR="0">
            <wp:extent cx="68580" cy="5969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1576" w:lineRule="exact"/>
        <w:rPr>
          <w:sz w:val="20"/>
          <w:szCs w:val="20"/>
          <w:color w:val="auto"/>
        </w:rPr>
      </w:pPr>
    </w:p>
    <w:p>
      <w:pPr>
        <w:sectPr>
          <w:pgSz w:w="11900" w:h="16838" w:orient="portrait"/>
          <w:cols w:equalWidth="0" w:num="2">
            <w:col w:w="5640" w:space="380"/>
            <w:col w:w="5220"/>
          </w:cols>
          <w:pgMar w:left="320" w:top="125" w:right="339" w:bottom="1440" w:gutter="0" w:footer="0" w:header="0"/>
          <w:type w:val="continuous"/>
        </w:sectPr>
      </w:pPr>
    </w:p>
    <w:p>
      <w:pPr>
        <w:spacing w:after="0" w:line="333" w:lineRule="exact"/>
        <w:rPr>
          <w:sz w:val="20"/>
          <w:szCs w:val="20"/>
          <w:color w:val="auto"/>
        </w:rPr>
      </w:pPr>
    </w:p>
    <w:p>
      <w:pPr>
        <w:ind w:left="9260"/>
        <w:spacing w:after="0"/>
        <w:tabs>
          <w:tab w:leader="none" w:pos="1112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Responsibility at Civeo</w:t>
      </w:r>
    </w:p>
    <w:p>
      <w:pPr>
        <w:spacing w:after="0" w:line="1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243"/>
        </w:trPr>
        <w:tc>
          <w:tcPr>
            <w:tcW w:w="1280" w:type="dxa"/>
            <w:vAlign w:val="bottom"/>
          </w:tcPr>
          <w:p>
            <w:pPr>
              <w:spacing w:after="0"/>
              <w:rPr>
                <w:sz w:val="20"/>
                <w:szCs w:val="20"/>
                <w:color w:val="auto"/>
              </w:rPr>
            </w:pPr>
            <w:r>
              <w:rPr>
                <w:rFonts w:ascii="Arial" w:cs="Arial" w:eastAsia="Arial" w:hAnsi="Arial"/>
                <w:sz w:val="16"/>
                <w:szCs w:val="16"/>
                <w:b w:val="1"/>
                <w:bCs w:val="1"/>
                <w:color w:val="006DB6"/>
              </w:rPr>
              <w:t>OUR PEOPLE</w:t>
            </w: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040" w:type="dxa"/>
            <w:vAlign w:val="bottom"/>
          </w:tcPr>
          <w:p>
            <w:pPr>
              <w:ind w:left="40"/>
              <w:spacing w:after="0"/>
              <w:rPr>
                <w:sz w:val="20"/>
                <w:szCs w:val="20"/>
                <w:color w:val="auto"/>
              </w:rPr>
            </w:pPr>
            <w:r>
              <w:rPr>
                <w:rFonts w:ascii="Arial" w:cs="Arial" w:eastAsia="Arial" w:hAnsi="Arial"/>
                <w:sz w:val="16"/>
                <w:szCs w:val="16"/>
                <w:color w:val="auto"/>
              </w:rPr>
              <w:t>In 2024, we maintained 5% Indigenous employment in Canada despite challenging market conditions that resulted in reduced</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tcPr>
          <w:p>
            <w:pPr>
              <w:ind w:left="80"/>
              <w:spacing w:after="0"/>
              <w:rPr>
                <w:sz w:val="20"/>
                <w:szCs w:val="20"/>
                <w:color w:val="auto"/>
              </w:rPr>
            </w:pPr>
            <w:r>
              <w:rPr>
                <w:rFonts w:ascii="Arial" w:cs="Arial" w:eastAsia="Arial" w:hAnsi="Arial"/>
                <w:sz w:val="16"/>
                <w:szCs w:val="16"/>
                <w:color w:val="auto"/>
              </w:rPr>
              <w:t>hiring in the region. Approximately 6% of our total new hires in Canada identified as an Indigenous background during 2024.</w:t>
            </w:r>
          </w:p>
        </w:tc>
      </w:tr>
      <w:tr>
        <w:trPr>
          <w:trHeight w:val="270"/>
        </w:trPr>
        <w:tc>
          <w:tcPr>
            <w:tcW w:w="1280" w:type="dxa"/>
            <w:vAlign w:val="bottom"/>
          </w:tcPr>
          <w:p>
            <w:pPr>
              <w:spacing w:after="0"/>
              <w:rPr>
                <w:sz w:val="23"/>
                <w:szCs w:val="23"/>
                <w:color w:val="auto"/>
              </w:rPr>
            </w:pPr>
          </w:p>
        </w:tc>
        <w:tc>
          <w:tcPr>
            <w:tcW w:w="9380" w:type="dxa"/>
            <w:vAlign w:val="bottom"/>
            <w:gridSpan w:val="2"/>
          </w:tcPr>
          <w:p>
            <w:pPr>
              <w:ind w:left="2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Launched global leadership academy to develop field level leadership.</w:t>
            </w:r>
          </w:p>
        </w:tc>
      </w:tr>
      <w:tr>
        <w:trPr>
          <w:trHeight w:val="244"/>
        </w:trPr>
        <w:tc>
          <w:tcPr>
            <w:tcW w:w="128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040" w:type="dxa"/>
            <w:vAlign w:val="bottom"/>
          </w:tcPr>
          <w:p>
            <w:pPr>
              <w:ind w:left="40"/>
              <w:spacing w:after="0"/>
              <w:rPr>
                <w:sz w:val="20"/>
                <w:szCs w:val="20"/>
                <w:color w:val="auto"/>
              </w:rPr>
            </w:pPr>
            <w:r>
              <w:rPr>
                <w:rFonts w:ascii="Arial" w:cs="Arial" w:eastAsia="Arial" w:hAnsi="Arial"/>
                <w:sz w:val="16"/>
                <w:szCs w:val="16"/>
                <w:color w:val="auto"/>
              </w:rPr>
              <w:t>We have a program to facilitate mentoring relationships between experienced leaders in Civeo and employees who are at the</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tcPr>
          <w:p>
            <w:pPr>
              <w:ind w:left="80"/>
              <w:spacing w:after="0"/>
              <w:rPr>
                <w:sz w:val="20"/>
                <w:szCs w:val="20"/>
                <w:color w:val="auto"/>
              </w:rPr>
            </w:pPr>
            <w:r>
              <w:rPr>
                <w:rFonts w:ascii="Arial" w:cs="Arial" w:eastAsia="Arial" w:hAnsi="Arial"/>
                <w:sz w:val="16"/>
                <w:szCs w:val="16"/>
                <w:color w:val="auto"/>
              </w:rPr>
              <w:t>early stages of their careers.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-606425</wp:posOffset>
            </wp:positionV>
            <wp:extent cx="565785" cy="377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 cy="377190"/>
                    </a:xfrm>
                    <a:prstGeom prst="rect">
                      <a:avLst/>
                    </a:prstGeom>
                    <a:noFill/>
                  </pic:spPr>
                </pic:pic>
              </a:graphicData>
            </a:graphic>
          </wp:anchor>
        </w:drawing>
      </w:r>
    </w:p>
    <w:p>
      <w:pPr>
        <w:spacing w:after="0" w:line="3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32"/>
          <w:szCs w:val="32"/>
          <w:b w:val="1"/>
          <w:bCs w:val="1"/>
          <w:color w:val="006DB6"/>
          <w:vertAlign w:val="superscript"/>
        </w:rPr>
        <w:t>SAFETY</w:t>
      </w:r>
      <w:r>
        <w:rPr>
          <w:sz w:val="20"/>
          <w:szCs w:val="20"/>
          <w:color w:val="auto"/>
        </w:rPr>
        <w:tab/>
      </w:r>
      <w:r>
        <w:rPr>
          <w:rFonts w:ascii="Arial" w:cs="Arial" w:eastAsia="Arial" w:hAnsi="Arial"/>
          <w:sz w:val="16"/>
          <w:szCs w:val="16"/>
          <w:color w:val="006DB6"/>
        </w:rPr>
        <w:t xml:space="preserve">• </w:t>
      </w:r>
      <w:r>
        <w:rPr>
          <w:rFonts w:ascii="Arial" w:cs="Arial" w:eastAsia="Arial" w:hAnsi="Arial"/>
          <w:sz w:val="16"/>
          <w:szCs w:val="16"/>
          <w:color w:val="000000"/>
        </w:rPr>
        <w:t>Our safety culture is driven by our leaders, in conjunction with active employee engagement - we follow our long 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15875</wp:posOffset>
            </wp:positionV>
            <wp:extent cx="480060" cy="368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0060" cy="368935"/>
                    </a:xfrm>
                    <a:prstGeom prst="rect">
                      <a:avLst/>
                    </a:prstGeom>
                    <a:noFill/>
                  </pic:spPr>
                </pic:pic>
              </a:graphicData>
            </a:graphic>
          </wp:anchor>
        </w:drawing>
      </w:r>
    </w:p>
    <w:p>
      <w:pPr>
        <w:spacing w:after="0" w:line="34" w:lineRule="exact"/>
        <w:rPr>
          <w:sz w:val="20"/>
          <w:szCs w:val="20"/>
          <w:color w:val="auto"/>
        </w:rPr>
      </w:pPr>
    </w:p>
    <w:p>
      <w:pPr>
        <w:ind w:left="2140" w:right="100"/>
        <w:spacing w:after="0" w:line="283" w:lineRule="auto"/>
        <w:rPr>
          <w:sz w:val="20"/>
          <w:szCs w:val="20"/>
          <w:color w:val="auto"/>
        </w:rPr>
      </w:pPr>
      <w:r>
        <w:rPr>
          <w:rFonts w:ascii="Arial" w:cs="Arial" w:eastAsia="Arial" w:hAnsi="Arial"/>
          <w:sz w:val="16"/>
          <w:szCs w:val="16"/>
          <w:color w:val="auto"/>
        </w:rPr>
        <w:t>of "Making Zero Count" while focusing on effective leadership, worker competency and promoting a safety culture throughout the entire organization.</w:t>
      </w:r>
    </w:p>
    <w:p>
      <w:pPr>
        <w:spacing w:after="0" w:line="9" w:lineRule="exact"/>
        <w:rPr>
          <w:sz w:val="20"/>
          <w:szCs w:val="20"/>
          <w:color w:val="auto"/>
        </w:rPr>
      </w:pPr>
    </w:p>
    <w:p>
      <w:pPr>
        <w:ind w:left="2140" w:right="160" w:hanging="197"/>
        <w:spacing w:after="0" w:line="299" w:lineRule="auto"/>
        <w:tabs>
          <w:tab w:leader="none" w:pos="211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Our global Total Recordable Incident Rate of 0.28 is significantly lower than the U.S. Worker's Camp industry average of 1.1, almost four times better than industry average.</w:t>
      </w: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Three consecutive years without a lost time incident in North America.</w:t>
      </w:r>
    </w:p>
    <w:p>
      <w:pPr>
        <w:spacing w:after="0" w:line="86" w:lineRule="exact"/>
        <w:rPr>
          <w:rFonts w:ascii="Arial" w:cs="Arial" w:eastAsia="Arial" w:hAnsi="Arial"/>
          <w:sz w:val="16"/>
          <w:szCs w:val="16"/>
          <w:color w:val="006DB6"/>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We have introduced additional driver safety controls, including in-vehicle monitoring systems in our vehicle fleet.</w:t>
      </w:r>
    </w:p>
    <w:p>
      <w:pPr>
        <w:spacing w:after="0" w:line="86" w:lineRule="exact"/>
        <w:rPr>
          <w:rFonts w:ascii="Arial" w:cs="Arial" w:eastAsia="Arial" w:hAnsi="Arial"/>
          <w:sz w:val="16"/>
          <w:szCs w:val="16"/>
          <w:color w:val="006DB6"/>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Introduced a Journey Management Tool with online hazard assessment and automated check-ins.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COMMUNITY</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360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7" w:right="140" w:hanging="197"/>
        <w:spacing w:after="0" w:line="286"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Since 2013, we have supported more than 27 schools across New South Wales, Queensland and Western Australia with our School Mates grants.</w:t>
      </w:r>
    </w:p>
    <w:p>
      <w:pPr>
        <w:spacing w:after="0" w:line="20" w:lineRule="exact"/>
        <w:rPr>
          <w:rFonts w:ascii="Arial" w:cs="Arial" w:eastAsia="Arial" w:hAnsi="Arial"/>
          <w:sz w:val="16"/>
          <w:szCs w:val="16"/>
          <w:color w:val="006DB6"/>
        </w:rPr>
      </w:pPr>
    </w:p>
    <w:p>
      <w:pPr>
        <w:ind w:left="157" w:hanging="157"/>
        <w:spacing w:after="0"/>
        <w:tabs>
          <w:tab w:leader="none" w:pos="15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Donated land for the construction of the Kitimat Dementia House Project.</w:t>
      </w:r>
    </w:p>
    <w:p>
      <w:pPr>
        <w:spacing w:after="0" w:line="86" w:lineRule="exact"/>
        <w:rPr>
          <w:rFonts w:ascii="Arial" w:cs="Arial" w:eastAsia="Arial" w:hAnsi="Arial"/>
          <w:sz w:val="16"/>
          <w:szCs w:val="16"/>
          <w:color w:val="006DB6"/>
        </w:rPr>
      </w:pPr>
    </w:p>
    <w:p>
      <w:pPr>
        <w:ind w:left="157" w:hanging="157"/>
        <w:spacing w:after="0"/>
        <w:tabs>
          <w:tab w:leader="none" w:pos="15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Worked to house firefighters in Australia and Canada.</w:t>
      </w:r>
    </w:p>
    <w:p>
      <w:pPr>
        <w:spacing w:after="0" w:line="72" w:lineRule="exact"/>
        <w:rPr>
          <w:rFonts w:ascii="Arial" w:cs="Arial" w:eastAsia="Arial" w:hAnsi="Arial"/>
          <w:sz w:val="16"/>
          <w:szCs w:val="16"/>
          <w:color w:val="006DB6"/>
        </w:rPr>
      </w:pPr>
    </w:p>
    <w:p>
      <w:pPr>
        <w:ind w:left="197" w:right="80" w:hanging="197"/>
        <w:spacing w:after="0" w:line="299"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Established a Community Investment Committee to discuss and implement impactful activities. Volunteered over 125 hours in 2024 compared to 54 in 2023.</w:t>
      </w:r>
    </w:p>
    <w:p>
      <w:pPr>
        <w:ind w:left="157" w:hanging="157"/>
        <w:spacing w:after="0"/>
        <w:tabs>
          <w:tab w:leader="none" w:pos="15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 xml:space="preserve">Australia Business Association </w:t>
      </w:r>
      <w:r>
        <w:rPr>
          <w:rFonts w:ascii="Arial" w:cs="Arial" w:eastAsia="Arial" w:hAnsi="Arial"/>
          <w:sz w:val="16"/>
          <w:szCs w:val="16"/>
          <w:i w:val="1"/>
          <w:iCs w:val="1"/>
          <w:color w:val="auto"/>
        </w:rPr>
        <w:t>100 Business Innovation and Community Contribution</w:t>
      </w:r>
      <w:r>
        <w:rPr>
          <w:rFonts w:ascii="Arial" w:cs="Arial" w:eastAsia="Arial" w:hAnsi="Arial"/>
          <w:sz w:val="16"/>
          <w:szCs w:val="16"/>
          <w:color w:val="auto"/>
        </w:rPr>
        <w:t xml:space="preserve"> winner.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114935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343"/>
            <w:col w:w="9237"/>
          </w:cols>
          <w:pgMar w:left="320" w:top="233" w:right="399" w:bottom="1440" w:gutter="0" w:footer="0" w:header="0"/>
          <w:type w:val="continuous"/>
        </w:sectPr>
      </w:pPr>
    </w:p>
    <w:p>
      <w:pPr>
        <w:spacing w:after="0" w:line="48"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INDIGENOUS</w:t>
      </w:r>
    </w:p>
    <w:p>
      <w:pPr>
        <w:spacing w:after="0" w:line="35"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531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97" w:hanging="197"/>
        <w:spacing w:after="0" w:line="286"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In 2024, we purchased more than C$31.3 million in goods and services from the Indigenous business community, representing 16% of our total Canadian local spending.</w:t>
      </w:r>
    </w:p>
    <w:p>
      <w:pPr>
        <w:spacing w:after="0" w:line="20" w:lineRule="exact"/>
        <w:rPr>
          <w:rFonts w:ascii="Arial" w:cs="Arial" w:eastAsia="Arial" w:hAnsi="Arial"/>
          <w:sz w:val="16"/>
          <w:szCs w:val="16"/>
          <w:color w:val="006DB6"/>
        </w:rPr>
      </w:pPr>
    </w:p>
    <w:p>
      <w:pPr>
        <w:ind w:left="197" w:right="120" w:hanging="197"/>
        <w:spacing w:after="0" w:line="286"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We spent approximately A$15.3 million with Indigenous-owned and operated companies in Australia in 2024, a 24% increase from 2023.</w:t>
      </w:r>
    </w:p>
    <w:p>
      <w:pPr>
        <w:spacing w:after="0" w:line="20" w:lineRule="exact"/>
        <w:rPr>
          <w:rFonts w:ascii="Arial" w:cs="Arial" w:eastAsia="Arial" w:hAnsi="Arial"/>
          <w:sz w:val="16"/>
          <w:szCs w:val="16"/>
          <w:color w:val="006DB6"/>
        </w:rPr>
      </w:pPr>
    </w:p>
    <w:p>
      <w:pPr>
        <w:ind w:left="197" w:right="140" w:hanging="197"/>
        <w:spacing w:after="0" w:line="286"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Received the Eagle award for our commitment to contributing positive impacts and long-term benefits for the members of the Fort McMurray First 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73660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1540" w:space="403"/>
            <w:col w:w="9237"/>
          </w:cols>
          <w:pgMar w:left="320" w:top="233" w:right="399" w:bottom="1440" w:gutter="0" w:footer="0" w:header="0"/>
          <w:type w:val="continuous"/>
        </w:sectPr>
      </w:pPr>
    </w:p>
    <w:p>
      <w:pPr>
        <w:jc w:val="center"/>
        <w:ind w:left="260"/>
        <w:spacing w:after="0"/>
        <w:rPr>
          <w:sz w:val="20"/>
          <w:szCs w:val="20"/>
          <w:color w:val="auto"/>
        </w:rPr>
      </w:pPr>
      <w:r>
        <w:rPr>
          <w:rFonts w:ascii="Arial" w:cs="Arial" w:eastAsia="Arial" w:hAnsi="Arial"/>
          <w:sz w:val="16"/>
          <w:szCs w:val="16"/>
          <w:b w:val="1"/>
          <w:bCs w:val="1"/>
          <w:color w:val="006DB6"/>
        </w:rPr>
        <w:t>ENVIRONMENTAL</w:t>
      </w:r>
    </w:p>
    <w:p>
      <w:pPr>
        <w:spacing w:after="0" w:line="35"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006DB6"/>
        </w:rPr>
        <w:t>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505460" cy="488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546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7" w:right="20" w:hanging="197"/>
        <w:spacing w:after="0"/>
        <w:tabs>
          <w:tab w:leader="none" w:pos="16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We have expanded Containers for Change, now in both Australia and Canada, where empty eligible drink containers can be returned for a refund helping reduce the amount of plastic waste. The refunded money goes directly to local organizations and charities.</w:t>
      </w:r>
    </w:p>
    <w:p>
      <w:pPr>
        <w:spacing w:after="0" w:line="55"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Dewatering infrastructure at wastewater plants in both Canada and Australia.</w:t>
      </w:r>
    </w:p>
    <w:p>
      <w:pPr>
        <w:spacing w:after="0" w:line="72"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Working to eliminate single-use paper bags for guest lunches in Canada.</w:t>
      </w:r>
    </w:p>
    <w:p>
      <w:pPr>
        <w:spacing w:after="0" w:line="72"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Single-use plastics have been completely eliminated from use in 16 of our owned and/or operated villages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106680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283"/>
            <w:col w:w="9237"/>
          </w:cols>
          <w:pgMar w:left="320" w:top="233" w:right="399" w:bottom="1440" w:gutter="0" w:footer="0" w:header="0"/>
          <w:type w:val="continuous"/>
        </w:sectPr>
      </w:pP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006DB6"/>
              </w:rPr>
              <w:t>SHAREHOLDER</w:t>
            </w:r>
          </w:p>
        </w:tc>
        <w:tc>
          <w:tcPr>
            <w:tcW w:w="9400" w:type="dxa"/>
            <w:vAlign w:val="bottom"/>
            <w:vMerge w:val="restart"/>
          </w:tcPr>
          <w:p>
            <w:pPr>
              <w:ind w:left="1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2024, we met with shareholders representing over 53% of our outstanding shares regarding the Company's operations,</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006DB6"/>
              </w:rPr>
              <w:t>ENGAGEMENT</w:t>
            </w: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420" w:type="dxa"/>
            <w:vAlign w:val="bottom"/>
            <w:vMerge w:val="continue"/>
          </w:tcPr>
          <w:p>
            <w:pPr>
              <w:spacing w:after="0"/>
              <w:rPr>
                <w:sz w:val="13"/>
                <w:szCs w:val="13"/>
                <w:color w:val="auto"/>
              </w:rPr>
            </w:pPr>
          </w:p>
        </w:tc>
        <w:tc>
          <w:tcPr>
            <w:tcW w:w="9400" w:type="dxa"/>
            <w:vAlign w:val="bottom"/>
            <w:vMerge w:val="restart"/>
          </w:tcPr>
          <w:p>
            <w:pPr>
              <w:ind w:left="380"/>
              <w:spacing w:after="0"/>
              <w:rPr>
                <w:sz w:val="20"/>
                <w:szCs w:val="20"/>
                <w:color w:val="auto"/>
              </w:rPr>
            </w:pPr>
            <w:r>
              <w:rPr>
                <w:rFonts w:ascii="Arial" w:cs="Arial" w:eastAsia="Arial" w:hAnsi="Arial"/>
                <w:sz w:val="16"/>
                <w:szCs w:val="16"/>
                <w:color w:val="auto"/>
              </w:rPr>
              <w:t>financial results, strategy and executive compensation matters.</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5"/>
                <w:szCs w:val="5"/>
                <w:color w:val="auto"/>
              </w:rPr>
            </w:pP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-49530</wp:posOffset>
            </wp:positionV>
            <wp:extent cx="480060"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3600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807085</wp:posOffset>
            </wp:positionV>
            <wp:extent cx="394335"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916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30</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Program Components</w:t>
      </w:r>
    </w:p>
    <w:p>
      <w:pPr>
        <w:spacing w:after="0" w:line="14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0628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Base</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Annual Incentive Compensation</w:t>
            </w:r>
          </w:p>
        </w:tc>
        <w:tc>
          <w:tcPr>
            <w:tcW w:w="3740" w:type="dxa"/>
            <w:vAlign w:val="bottom"/>
          </w:tcPr>
          <w:p>
            <w:pPr>
              <w:ind w:left="160"/>
              <w:spacing w:after="0"/>
              <w:rPr>
                <w:sz w:val="20"/>
                <w:szCs w:val="20"/>
                <w:color w:val="auto"/>
              </w:rPr>
            </w:pPr>
            <w:r>
              <w:rPr>
                <w:rFonts w:ascii="Arial" w:cs="Arial" w:eastAsia="Arial" w:hAnsi="Arial"/>
                <w:sz w:val="14"/>
                <w:szCs w:val="14"/>
                <w:color w:val="FFC03C"/>
              </w:rPr>
              <w:t>Long-Term</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Salary</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Plan ("AICP")</w:t>
            </w:r>
          </w:p>
        </w:tc>
        <w:tc>
          <w:tcPr>
            <w:tcW w:w="3740" w:type="dxa"/>
            <w:vAlign w:val="bottom"/>
          </w:tcPr>
          <w:p>
            <w:pPr>
              <w:ind w:left="160"/>
              <w:spacing w:after="0"/>
              <w:rPr>
                <w:sz w:val="20"/>
                <w:szCs w:val="20"/>
                <w:color w:val="auto"/>
              </w:rPr>
            </w:pPr>
            <w:r>
              <w:rPr>
                <w:rFonts w:ascii="Arial" w:cs="Arial" w:eastAsia="Arial" w:hAnsi="Arial"/>
                <w:sz w:val="14"/>
                <w:szCs w:val="14"/>
                <w:color w:val="FFC03C"/>
              </w:rPr>
              <w:t>Incentive Plan ("LTIP")</w:t>
            </w:r>
          </w:p>
        </w:tc>
      </w:tr>
      <w:tr>
        <w:trPr>
          <w:trHeight w:val="123"/>
        </w:trPr>
        <w:tc>
          <w:tcPr>
            <w:tcW w:w="36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303"/>
        </w:trPr>
        <w:tc>
          <w:tcPr>
            <w:tcW w:w="3660" w:type="dxa"/>
            <w:vAlign w:val="bottom"/>
          </w:tcPr>
          <w:p>
            <w:pPr>
              <w:ind w:left="20"/>
              <w:spacing w:after="0"/>
              <w:rPr>
                <w:sz w:val="20"/>
                <w:szCs w:val="20"/>
                <w:color w:val="auto"/>
              </w:rPr>
            </w:pPr>
            <w:r>
              <w:rPr>
                <w:rFonts w:ascii="Arial" w:cs="Arial" w:eastAsia="Arial" w:hAnsi="Arial"/>
                <w:sz w:val="16"/>
                <w:szCs w:val="16"/>
                <w:color w:val="auto"/>
              </w:rPr>
              <w:t>Base salary recognizes the job being performed,</w:t>
            </w:r>
          </w:p>
        </w:tc>
        <w:tc>
          <w:tcPr>
            <w:tcW w:w="3800" w:type="dxa"/>
            <w:vAlign w:val="bottom"/>
          </w:tcPr>
          <w:p>
            <w:pPr>
              <w:ind w:left="140"/>
              <w:spacing w:after="0"/>
              <w:rPr>
                <w:sz w:val="20"/>
                <w:szCs w:val="20"/>
                <w:color w:val="auto"/>
              </w:rPr>
            </w:pPr>
            <w:r>
              <w:rPr>
                <w:rFonts w:ascii="Arial" w:cs="Arial" w:eastAsia="Arial" w:hAnsi="Arial"/>
                <w:sz w:val="16"/>
                <w:szCs w:val="16"/>
                <w:color w:val="auto"/>
              </w:rPr>
              <w:t>The key objectives of Civeo’s AICP are to reward</w:t>
            </w:r>
          </w:p>
        </w:tc>
        <w:tc>
          <w:tcPr>
            <w:tcW w:w="3740" w:type="dxa"/>
            <w:vAlign w:val="bottom"/>
          </w:tcPr>
          <w:p>
            <w:pPr>
              <w:ind w:left="160"/>
              <w:spacing w:after="0"/>
              <w:rPr>
                <w:sz w:val="20"/>
                <w:szCs w:val="20"/>
                <w:color w:val="auto"/>
              </w:rPr>
            </w:pPr>
            <w:r>
              <w:rPr>
                <w:rFonts w:ascii="Arial" w:cs="Arial" w:eastAsia="Arial" w:hAnsi="Arial"/>
                <w:sz w:val="16"/>
                <w:szCs w:val="16"/>
                <w:color w:val="auto"/>
              </w:rPr>
              <w:t>Civeo’s LTIP, established under the Equity</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seniority and tenure and the value of</w:t>
            </w:r>
          </w:p>
        </w:tc>
        <w:tc>
          <w:tcPr>
            <w:tcW w:w="3800" w:type="dxa"/>
            <w:vAlign w:val="bottom"/>
          </w:tcPr>
          <w:p>
            <w:pPr>
              <w:ind w:left="140"/>
              <w:spacing w:after="0"/>
              <w:rPr>
                <w:sz w:val="20"/>
                <w:szCs w:val="20"/>
                <w:color w:val="auto"/>
              </w:rPr>
            </w:pPr>
            <w:r>
              <w:rPr>
                <w:rFonts w:ascii="Arial" w:cs="Arial" w:eastAsia="Arial" w:hAnsi="Arial"/>
                <w:sz w:val="16"/>
                <w:szCs w:val="16"/>
                <w:color w:val="auto"/>
              </w:rPr>
              <w:t>the achievement of defined annual financial and</w:t>
            </w:r>
          </w:p>
        </w:tc>
        <w:tc>
          <w:tcPr>
            <w:tcW w:w="3740" w:type="dxa"/>
            <w:vAlign w:val="bottom"/>
          </w:tcPr>
          <w:p>
            <w:pPr>
              <w:ind w:left="160"/>
              <w:spacing w:after="0"/>
              <w:rPr>
                <w:sz w:val="20"/>
                <w:szCs w:val="20"/>
                <w:color w:val="auto"/>
              </w:rPr>
            </w:pPr>
            <w:r>
              <w:rPr>
                <w:rFonts w:ascii="Arial" w:cs="Arial" w:eastAsia="Arial" w:hAnsi="Arial"/>
                <w:sz w:val="16"/>
                <w:szCs w:val="16"/>
                <w:color w:val="auto"/>
              </w:rPr>
              <w:t>Participation Plan ("EPP"), provides an additional</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that job in the competitive market. Base salary</w:t>
            </w:r>
          </w:p>
        </w:tc>
        <w:tc>
          <w:tcPr>
            <w:tcW w:w="3800" w:type="dxa"/>
            <w:vAlign w:val="bottom"/>
          </w:tcPr>
          <w:p>
            <w:pPr>
              <w:ind w:left="140"/>
              <w:spacing w:after="0"/>
              <w:rPr>
                <w:sz w:val="20"/>
                <w:szCs w:val="20"/>
                <w:color w:val="auto"/>
              </w:rPr>
            </w:pPr>
            <w:r>
              <w:rPr>
                <w:rFonts w:ascii="Arial" w:cs="Arial" w:eastAsia="Arial" w:hAnsi="Arial"/>
                <w:sz w:val="16"/>
                <w:szCs w:val="16"/>
                <w:color w:val="auto"/>
              </w:rPr>
              <w:t>safety objectives and to incentivize employee</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to executives to grow shareholder value</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must be sufficient to attract and retain the</w:t>
            </w:r>
          </w:p>
        </w:tc>
        <w:tc>
          <w:tcPr>
            <w:tcW w:w="3800" w:type="dxa"/>
            <w:vAlign w:val="bottom"/>
          </w:tcPr>
          <w:p>
            <w:pPr>
              <w:ind w:left="140"/>
              <w:spacing w:after="0"/>
              <w:rPr>
                <w:sz w:val="20"/>
                <w:szCs w:val="20"/>
                <w:color w:val="auto"/>
              </w:rPr>
            </w:pPr>
            <w:r>
              <w:rPr>
                <w:rFonts w:ascii="Arial" w:cs="Arial" w:eastAsia="Arial" w:hAnsi="Arial"/>
                <w:sz w:val="16"/>
                <w:szCs w:val="16"/>
                <w:color w:val="auto"/>
              </w:rPr>
              <w:t>activities that will continually improve Civeo, both</w:t>
            </w:r>
          </w:p>
        </w:tc>
        <w:tc>
          <w:tcPr>
            <w:tcW w:w="3740" w:type="dxa"/>
            <w:vAlign w:val="bottom"/>
          </w:tcPr>
          <w:p>
            <w:pPr>
              <w:ind w:left="160"/>
              <w:spacing w:after="0"/>
              <w:rPr>
                <w:sz w:val="20"/>
                <w:szCs w:val="20"/>
                <w:color w:val="auto"/>
              </w:rPr>
            </w:pPr>
            <w:r>
              <w:rPr>
                <w:rFonts w:ascii="Arial" w:cs="Arial" w:eastAsia="Arial" w:hAnsi="Arial"/>
                <w:sz w:val="16"/>
                <w:szCs w:val="16"/>
                <w:color w:val="auto"/>
              </w:rPr>
              <w:t>through ownership of Civeo common shares or</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talent necessary for our success and</w:t>
            </w:r>
          </w:p>
        </w:tc>
        <w:tc>
          <w:tcPr>
            <w:tcW w:w="3800" w:type="dxa"/>
            <w:vAlign w:val="bottom"/>
          </w:tcPr>
          <w:p>
            <w:pPr>
              <w:ind w:left="140"/>
              <w:spacing w:after="0"/>
              <w:rPr>
                <w:sz w:val="20"/>
                <w:szCs w:val="20"/>
                <w:color w:val="auto"/>
              </w:rPr>
            </w:pPr>
            <w:r>
              <w:rPr>
                <w:rFonts w:ascii="Arial" w:cs="Arial" w:eastAsia="Arial" w:hAnsi="Arial"/>
                <w:sz w:val="16"/>
                <w:szCs w:val="16"/>
                <w:color w:val="auto"/>
              </w:rPr>
              <w:t>on a business unit and company-wide basis.</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awards directly linked to Civeo’s share</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provides a fixed element of compensation to</w:t>
            </w:r>
          </w:p>
        </w:tc>
        <w:tc>
          <w:tcPr>
            <w:tcW w:w="3800" w:type="dxa"/>
            <w:vAlign w:val="bottom"/>
          </w:tcPr>
          <w:p>
            <w:pPr>
              <w:spacing w:after="0"/>
              <w:rPr>
                <w:sz w:val="17"/>
                <w:szCs w:val="17"/>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price and supports our efforts to attract and retain</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avoid fluctuations in compensation that could</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highly qualified executives to grow and develop</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distract our executives from the performance of</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Civeo in our competitive and cyclical industry.</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their responsibilities.</w:t>
            </w:r>
          </w:p>
        </w:tc>
        <w:tc>
          <w:tcPr>
            <w:tcW w:w="38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7"/>
        </w:trPr>
        <w:tc>
          <w:tcPr>
            <w:tcW w:w="36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139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3</w:t>
      </w:r>
    </w:p>
    <w:p>
      <w:pPr>
        <w:spacing w:after="0" w:line="62" w:lineRule="exact"/>
        <w:rPr>
          <w:sz w:val="20"/>
          <w:szCs w:val="20"/>
          <w:color w:val="auto"/>
        </w:rPr>
      </w:pPr>
    </w:p>
    <w:p>
      <w:pPr>
        <w:ind w:left="20" w:right="660"/>
        <w:spacing w:after="0" w:line="332" w:lineRule="auto"/>
        <w:rPr>
          <w:sz w:val="20"/>
          <w:szCs w:val="20"/>
          <w:color w:val="auto"/>
        </w:rPr>
      </w:pPr>
      <w:r>
        <w:rPr>
          <w:rFonts w:ascii="Arial" w:cs="Arial" w:eastAsia="Arial" w:hAnsi="Arial"/>
          <w:sz w:val="25"/>
          <w:szCs w:val="25"/>
          <w:b w:val="1"/>
          <w:bCs w:val="1"/>
          <w:color w:val="006DB6"/>
        </w:rPr>
        <w:t>Ratification of Ernst &amp; Young LLP as Civeo’s Independent Registered Public Accounting Firm</w:t>
      </w:r>
    </w:p>
    <w:p>
      <w:pPr>
        <w:spacing w:after="0" w:line="17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60</w:t>
      </w:r>
    </w:p>
    <w:p>
      <w:pPr>
        <w:spacing w:after="0" w:line="200" w:lineRule="exact"/>
        <w:rPr>
          <w:sz w:val="20"/>
          <w:szCs w:val="20"/>
          <w:color w:val="auto"/>
        </w:rPr>
      </w:pPr>
    </w:p>
    <w:p>
      <w:pPr>
        <w:spacing w:after="0" w:line="33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Audit Committee of our board of directors has determined that the accounting firm of Ernst &amp; Young ("E&amp;Y") is independent from the Company and once again selected E&amp;Y as the Company’s independent auditors for the year ending December 31, 2025. E&amp;Y has conducted the examination of the Company’s financial statements since the year ended December 31, 2010.</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Independent Registered Public Accounting Firm’s Fees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2024 and 2023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2023</w:t>
            </w:r>
          </w:p>
        </w:tc>
      </w:tr>
      <w:tr>
        <w:trPr>
          <w:trHeight w:val="176"/>
        </w:trPr>
        <w:tc>
          <w:tcPr>
            <w:tcW w:w="9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3"/>
        </w:trPr>
        <w:tc>
          <w:tcPr>
            <w:tcW w:w="9360" w:type="dxa"/>
            <w:vAlign w:val="bottom"/>
            <w:tcBorders>
              <w:bottom w:val="single" w:sz="8" w:color="006DB6"/>
            </w:tcBorders>
          </w:tcPr>
          <w:p>
            <w:pPr>
              <w:spacing w:after="0"/>
              <w:rPr>
                <w:sz w:val="2"/>
                <w:szCs w:val="2"/>
                <w:color w:val="auto"/>
              </w:rPr>
            </w:pPr>
          </w:p>
        </w:tc>
        <w:tc>
          <w:tcPr>
            <w:tcW w:w="120" w:type="dxa"/>
            <w:vAlign w:val="bottom"/>
            <w:tcBorders>
              <w:bottom w:val="single" w:sz="8" w:color="006DB6"/>
            </w:tcBorders>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c>
          <w:tcPr>
            <w:tcW w:w="220" w:type="dxa"/>
            <w:vAlign w:val="bottom"/>
            <w:tcBorders>
              <w:bottom w:val="single" w:sz="8" w:color="006DB6"/>
            </w:tcBorders>
          </w:tcPr>
          <w:p>
            <w:pPr>
              <w:spacing w:after="0"/>
              <w:rPr>
                <w:sz w:val="2"/>
                <w:szCs w:val="2"/>
                <w:color w:val="auto"/>
              </w:rPr>
            </w:pPr>
          </w:p>
        </w:tc>
        <w:tc>
          <w:tcPr>
            <w:tcW w:w="600" w:type="dxa"/>
            <w:vAlign w:val="bottom"/>
            <w:tcBorders>
              <w:bottom w:val="single" w:sz="8" w:color="006DB6"/>
            </w:tcBorders>
          </w:tcPr>
          <w:p>
            <w:pPr>
              <w:spacing w:after="0"/>
              <w:rPr>
                <w:sz w:val="2"/>
                <w:szCs w:val="2"/>
                <w:color w:val="auto"/>
              </w:rPr>
            </w:pPr>
          </w:p>
        </w:tc>
      </w:tr>
      <w:tr>
        <w:trPr>
          <w:trHeight w:val="237"/>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1,928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1,874</w:t>
            </w:r>
          </w:p>
        </w:tc>
      </w:tr>
      <w:tr>
        <w:trPr>
          <w:trHeight w:val="236"/>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236"/>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w:t>
            </w:r>
          </w:p>
        </w:tc>
      </w:tr>
      <w:tr>
        <w:trPr>
          <w:trHeight w:val="239"/>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b w:val="1"/>
                <w:bCs w:val="1"/>
                <w:color w:val="auto"/>
              </w:rPr>
              <w:t>1,933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45"/>
          <w:szCs w:val="4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1</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Three directors have been nominated for election at the annual general meeting to serve as Class II members of Civeo’s board of directors. Based on the recommendation of our Environmental, Social, Governance and Nominating Committee, Civeo’s board of directors has nominated Richard A. Navarre, Martin A. Lambert and Constance B. Moore for election to the three expiring Class II positions on the board of directors currently held by them, to hold office for a one-year term expiring at the annual general meeting of shareholders in 2026,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Richard A. Navarre, Martin A. Lambert and Constance B. Moore are each “independent,” as that term is defined by the applicable New York Stock Exchange ("NYSE") listing standards. See “Board of Directors Structure—Director Independence” for a discussion of director independence determinations. See “Director Biographies” for a brief biography of all directors, including the director nominees.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Each of the nominees is a current member of the Civeo board of directors. Each of the nominees has consented to being named as a nominee in this proxy statement and to continue serving as director if re-elected at the annual general meeting. Although the board of directors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676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310" w:lineRule="exact"/>
        <w:rPr>
          <w:sz w:val="20"/>
          <w:szCs w:val="20"/>
          <w:color w:val="auto"/>
        </w:rPr>
      </w:pPr>
    </w:p>
    <w:p>
      <w:pPr>
        <w:ind w:left="160" w:right="520"/>
        <w:spacing w:after="0" w:line="275"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284480</wp:posOffset>
            </wp:positionV>
            <wp:extent cx="394335"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12" w:name="page13"/>
    <w:bookmarkEnd w:id="12"/>
    <w:p>
      <w:pPr>
        <w:ind w:left="9480"/>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Directors—Skills and Experience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Qualifications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When identifying our directors appointed to our board of directors, the following are considered:</w:t>
      </w:r>
    </w:p>
    <w:p>
      <w:pPr>
        <w:spacing w:after="0" w:line="11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reputation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qualifications as an independent, disinterested, non-employee or outside director;</w:t>
      </w:r>
    </w:p>
    <w:p>
      <w:pPr>
        <w:spacing w:after="0" w:line="86" w:lineRule="exact"/>
        <w:rPr>
          <w:rFonts w:ascii="Arial" w:cs="Arial" w:eastAsia="Arial" w:hAnsi="Arial"/>
          <w:sz w:val="16"/>
          <w:szCs w:val="16"/>
          <w:color w:val="006DB6"/>
        </w:rPr>
      </w:pPr>
    </w:p>
    <w:p>
      <w:pPr>
        <w:ind w:left="200" w:right="120" w:hanging="192"/>
        <w:spacing w:after="0" w:line="286" w:lineRule="auto"/>
        <w:tabs>
          <w:tab w:leader="none" w:pos="17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number of other public companies for which the person serves as a director and the availability of the person’s time and commitment to Civeo;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knowledge of the major geographic areas in which we operate or another area of our operational environment.</w:t>
      </w:r>
    </w:p>
    <w:p>
      <w:pPr>
        <w:spacing w:after="0" w:line="73" w:lineRule="exact"/>
        <w:rPr>
          <w:sz w:val="20"/>
          <w:szCs w:val="20"/>
          <w:color w:val="auto"/>
        </w:rPr>
      </w:pPr>
    </w:p>
    <w:p>
      <w:pPr>
        <w:jc w:val="both"/>
        <w:ind w:right="2160"/>
        <w:spacing w:after="0" w:line="256" w:lineRule="auto"/>
        <w:rPr>
          <w:sz w:val="20"/>
          <w:szCs w:val="20"/>
          <w:color w:val="auto"/>
        </w:rPr>
      </w:pPr>
      <w:r>
        <w:rPr>
          <w:rFonts w:ascii="Arial" w:cs="Arial" w:eastAsia="Arial" w:hAnsi="Arial"/>
          <w:sz w:val="16"/>
          <w:szCs w:val="16"/>
          <w:color w:val="auto"/>
        </w:rPr>
        <w:t>Other factors considered include the diversity of the board of directors, including the optimal enhancement of the current mix of educational backgrounds, business industry experience and knowledge of different geographic markets, services and products.</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Further, in considering nominees for director, the Environmental, Social, Governance and Nominating Committee considers diversity of viewpoints, expertise and experience. 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the breadth and variety of business experience of each of our directors and director nominees identified in the following table make each of them well qualified to serve on our board of directors. Additional details on each director's attributes, qualifications, experiences and skills are set forth in their individual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61595</wp:posOffset>
            </wp:positionV>
            <wp:extent cx="8890" cy="231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61595</wp:posOffset>
            </wp:positionV>
            <wp:extent cx="8255" cy="2311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61595</wp:posOffset>
            </wp:positionV>
            <wp:extent cx="8255"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61595</wp:posOffset>
            </wp:positionV>
            <wp:extent cx="8255" cy="2311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61595</wp:posOffset>
            </wp:positionV>
            <wp:extent cx="8255" cy="2311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61595</wp:posOffset>
            </wp:positionV>
            <wp:extent cx="8255" cy="2311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61595</wp:posOffset>
            </wp:positionV>
            <wp:extent cx="8255" cy="2311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61595</wp:posOffset>
            </wp:positionV>
            <wp:extent cx="8255" cy="231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23114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tcBorders>
              <w:right w:val="single" w:sz="8" w:color="006DB6"/>
            </w:tcBorders>
          </w:tcPr>
          <w:p>
            <w:pPr>
              <w:spacing w:after="0"/>
              <w:rPr>
                <w:sz w:val="13"/>
                <w:szCs w:val="13"/>
                <w:color w:val="auto"/>
              </w:rPr>
            </w:pP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8"/>
              </w:rPr>
              <w:t>Richard A.</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C. Ronald</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Bradley J.</w:t>
            </w:r>
          </w:p>
        </w:tc>
        <w:tc>
          <w:tcPr>
            <w:tcW w:w="1060" w:type="dxa"/>
            <w:vAlign w:val="bottom"/>
            <w:tcBorders>
              <w:right w:val="single" w:sz="8" w:color="006DB6"/>
            </w:tcBorders>
            <w:vMerge w:val="restart"/>
            <w:shd w:val="clear" w:color="auto" w:fill="006DB6"/>
          </w:tcPr>
          <w:p>
            <w:pPr>
              <w:ind w:left="100"/>
              <w:spacing w:after="0"/>
              <w:rPr>
                <w:sz w:val="20"/>
                <w:szCs w:val="20"/>
                <w:color w:val="auto"/>
              </w:rPr>
            </w:pPr>
            <w:r>
              <w:rPr>
                <w:rFonts w:ascii="Arial" w:cs="Arial" w:eastAsia="Arial" w:hAnsi="Arial"/>
                <w:sz w:val="13"/>
                <w:szCs w:val="13"/>
                <w:b w:val="1"/>
                <w:bCs w:val="1"/>
                <w:color w:val="FFFFFF"/>
              </w:rPr>
              <w:t>Jay K. Grewal</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Martin A.</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Constance B.</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Charles</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4"/>
              </w:rPr>
              <w:t>Timothy O.</w:t>
            </w:r>
          </w:p>
        </w:tc>
        <w:tc>
          <w:tcPr>
            <w:tcW w:w="0" w:type="dxa"/>
            <w:vAlign w:val="bottom"/>
          </w:tcPr>
          <w:p>
            <w:pPr>
              <w:spacing w:after="0"/>
              <w:rPr>
                <w:sz w:val="1"/>
                <w:szCs w:val="1"/>
                <w:color w:val="auto"/>
              </w:rPr>
            </w:pPr>
          </w:p>
        </w:tc>
      </w:tr>
      <w:tr>
        <w:trPr>
          <w:trHeight w:val="91"/>
        </w:trPr>
        <w:tc>
          <w:tcPr>
            <w:tcW w:w="1800" w:type="dxa"/>
            <w:vAlign w:val="bottom"/>
            <w:tcBorders>
              <w:right w:val="single" w:sz="8" w:color="006DB6"/>
            </w:tcBorders>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Navarre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Blankenship</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Dodson</w:t>
            </w:r>
          </w:p>
        </w:tc>
        <w:tc>
          <w:tcPr>
            <w:tcW w:w="1060" w:type="dxa"/>
            <w:vAlign w:val="bottom"/>
            <w:tcBorders>
              <w:right w:val="single" w:sz="8" w:color="006DB6"/>
            </w:tcBorders>
            <w:vMerge w:val="continue"/>
            <w:shd w:val="clear" w:color="auto" w:fill="006DB6"/>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Lambert</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Montelongo</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Moore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Szalkowski</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89"/>
              </w:rPr>
              <w:t>Wall</w:t>
            </w:r>
          </w:p>
        </w:tc>
        <w:tc>
          <w:tcPr>
            <w:tcW w:w="0" w:type="dxa"/>
            <w:vAlign w:val="bottom"/>
          </w:tcPr>
          <w:p>
            <w:pPr>
              <w:spacing w:after="0"/>
              <w:rPr>
                <w:sz w:val="1"/>
                <w:szCs w:val="1"/>
                <w:color w:val="auto"/>
              </w:rPr>
            </w:pPr>
          </w:p>
        </w:tc>
      </w:tr>
      <w:tr>
        <w:trPr>
          <w:trHeight w:val="103"/>
        </w:trPr>
        <w:tc>
          <w:tcPr>
            <w:tcW w:w="1800" w:type="dxa"/>
            <w:vAlign w:val="bottom"/>
            <w:tcBorders>
              <w:right w:val="single" w:sz="8" w:color="006DB6"/>
            </w:tcBorders>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800" w:type="dxa"/>
            <w:vAlign w:val="bottom"/>
            <w:tcBorders>
              <w:top w:val="single" w:sz="8" w:color="006DB6"/>
              <w:right w:val="single" w:sz="8" w:color="auto"/>
            </w:tcBorders>
          </w:tcPr>
          <w:p>
            <w:pPr>
              <w:ind w:left="580"/>
              <w:spacing w:after="0"/>
              <w:rPr>
                <w:sz w:val="20"/>
                <w:szCs w:val="20"/>
                <w:color w:val="auto"/>
              </w:rPr>
            </w:pPr>
            <w:r>
              <w:rPr>
                <w:rFonts w:ascii="Arial" w:cs="Arial" w:eastAsia="Arial" w:hAnsi="Arial"/>
                <w:sz w:val="13"/>
                <w:szCs w:val="13"/>
                <w:color w:val="auto"/>
              </w:rPr>
              <w:t>Executive</w:t>
            </w: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Leadership</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Financial</w:t>
            </w:r>
          </w:p>
        </w:tc>
        <w:tc>
          <w:tcPr>
            <w:tcW w:w="104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Accommodations, Real</w:t>
            </w:r>
          </w:p>
        </w:tc>
        <w:tc>
          <w:tcPr>
            <w:tcW w:w="1040" w:type="dxa"/>
            <w:vAlign w:val="bottom"/>
            <w:tcBorders>
              <w:right w:val="single" w:sz="8" w:color="auto"/>
            </w:tcBorders>
            <w:shd w:val="clear" w:color="auto" w:fill="E8EEF7"/>
          </w:tcPr>
          <w:p>
            <w:pPr>
              <w:spacing w:after="0"/>
              <w:rPr>
                <w:sz w:val="21"/>
                <w:szCs w:val="21"/>
                <w:color w:val="auto"/>
              </w:rPr>
            </w:pPr>
          </w:p>
        </w:tc>
        <w:tc>
          <w:tcPr>
            <w:tcW w:w="104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Estate and Hospitality</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International</w:t>
            </w:r>
          </w:p>
        </w:tc>
        <w:tc>
          <w:tcPr>
            <w:tcW w:w="104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Operations</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 in</w:t>
            </w:r>
          </w:p>
        </w:tc>
        <w:tc>
          <w:tcPr>
            <w:tcW w:w="104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shd w:val="clear" w:color="auto" w:fill="E8EEF7"/>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Industry of Primary</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Customers</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Health Safety &amp;</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Environment</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CEO or C-Suite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Director Experience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Cybersecurity/IT</w:t>
            </w:r>
          </w:p>
        </w:tc>
        <w:tc>
          <w:tcPr>
            <w:tcW w:w="104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shd w:val="clear" w:color="auto" w:fill="E8EEF7"/>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shd w:val="clear" w:color="auto" w:fill="E8EEF7"/>
          </w:tcPr>
          <w:p>
            <w:pPr>
              <w:spacing w:after="0"/>
              <w:rPr>
                <w:sz w:val="8"/>
                <w:szCs w:val="8"/>
                <w:color w:val="auto"/>
              </w:rPr>
            </w:pPr>
          </w:p>
        </w:tc>
        <w:tc>
          <w:tcPr>
            <w:tcW w:w="1060" w:type="dxa"/>
            <w:vAlign w:val="bottom"/>
            <w:tcBorders>
              <w:bottom w:val="single" w:sz="8" w:color="auto"/>
              <w:right w:val="single" w:sz="8" w:color="auto"/>
            </w:tcBorders>
            <w:shd w:val="clear" w:color="auto" w:fill="E8EEF7"/>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shd w:val="clear" w:color="auto" w:fill="E8EEF7"/>
          </w:tcPr>
          <w:p>
            <w:pPr>
              <w:spacing w:after="0"/>
              <w:rPr>
                <w:sz w:val="8"/>
                <w:szCs w:val="8"/>
                <w:color w:val="auto"/>
              </w:rPr>
            </w:pPr>
          </w:p>
        </w:tc>
        <w:tc>
          <w:tcPr>
            <w:tcW w:w="1060" w:type="dxa"/>
            <w:vAlign w:val="bottom"/>
            <w:tcBorders>
              <w:bottom w:val="single" w:sz="8" w:color="auto"/>
              <w:right w:val="single" w:sz="8" w:color="auto"/>
            </w:tcBorders>
            <w:shd w:val="clear" w:color="auto" w:fill="E8EEF7"/>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shd w:val="clear" w:color="auto" w:fill="E8EEF7"/>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-2974340</wp:posOffset>
            </wp:positionV>
            <wp:extent cx="257175" cy="248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-2957195</wp:posOffset>
            </wp:positionV>
            <wp:extent cx="20574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-2957195</wp:posOffset>
            </wp:positionV>
            <wp:extent cx="20574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-2957195</wp:posOffset>
            </wp:positionV>
            <wp:extent cx="20574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-2957195</wp:posOffset>
            </wp:positionV>
            <wp:extent cx="20574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-2957195</wp:posOffset>
            </wp:positionV>
            <wp:extent cx="20574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-2957195</wp:posOffset>
            </wp:positionV>
            <wp:extent cx="20574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-2957195</wp:posOffset>
            </wp:positionV>
            <wp:extent cx="20574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-2957195</wp:posOffset>
            </wp:positionV>
            <wp:extent cx="20574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-2957195</wp:posOffset>
            </wp:positionV>
            <wp:extent cx="20574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-2639695</wp:posOffset>
            </wp:positionV>
            <wp:extent cx="257175"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-2614295</wp:posOffset>
            </wp:positionV>
            <wp:extent cx="20574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-2614295</wp:posOffset>
            </wp:positionV>
            <wp:extent cx="20574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-2614295</wp:posOffset>
            </wp:positionV>
            <wp:extent cx="20574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-2614295</wp:posOffset>
            </wp:positionV>
            <wp:extent cx="20574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-2614295</wp:posOffset>
            </wp:positionV>
            <wp:extent cx="20574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-2614295</wp:posOffset>
            </wp:positionV>
            <wp:extent cx="20574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-2614295</wp:posOffset>
            </wp:positionV>
            <wp:extent cx="20574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-2614295</wp:posOffset>
            </wp:positionV>
            <wp:extent cx="20574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-2614295</wp:posOffset>
            </wp:positionV>
            <wp:extent cx="20574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-2296795</wp:posOffset>
            </wp:positionV>
            <wp:extent cx="257175"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-2271395</wp:posOffset>
            </wp:positionV>
            <wp:extent cx="20574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-2271395</wp:posOffset>
            </wp:positionV>
            <wp:extent cx="20574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-2271395</wp:posOffset>
            </wp:positionV>
            <wp:extent cx="20574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-2271395</wp:posOffset>
            </wp:positionV>
            <wp:extent cx="20574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-2271395</wp:posOffset>
            </wp:positionV>
            <wp:extent cx="20574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-2271395</wp:posOffset>
            </wp:positionV>
            <wp:extent cx="20574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-2271395</wp:posOffset>
            </wp:positionV>
            <wp:extent cx="20574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-1971040</wp:posOffset>
            </wp:positionV>
            <wp:extent cx="25717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-1936750</wp:posOffset>
            </wp:positionV>
            <wp:extent cx="20574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-1936750</wp:posOffset>
            </wp:positionV>
            <wp:extent cx="20574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-1936750</wp:posOffset>
            </wp:positionV>
            <wp:extent cx="20574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-1936750</wp:posOffset>
            </wp:positionV>
            <wp:extent cx="20574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-1936750</wp:posOffset>
            </wp:positionV>
            <wp:extent cx="20574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-1936750</wp:posOffset>
            </wp:positionV>
            <wp:extent cx="20574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-1936750</wp:posOffset>
            </wp:positionV>
            <wp:extent cx="20574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-1936750</wp:posOffset>
            </wp:positionV>
            <wp:extent cx="20574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-1645285</wp:posOffset>
            </wp:positionV>
            <wp:extent cx="25717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-1610995</wp:posOffset>
            </wp:positionV>
            <wp:extent cx="20574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-1610995</wp:posOffset>
            </wp:positionV>
            <wp:extent cx="20574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-1610995</wp:posOffset>
            </wp:positionV>
            <wp:extent cx="20574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-1610995</wp:posOffset>
            </wp:positionV>
            <wp:extent cx="20574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-1302385</wp:posOffset>
            </wp:positionV>
            <wp:extent cx="257175" cy="2489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-1276985</wp:posOffset>
            </wp:positionV>
            <wp:extent cx="20574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-1276985</wp:posOffset>
            </wp:positionV>
            <wp:extent cx="20574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-1276985</wp:posOffset>
            </wp:positionV>
            <wp:extent cx="20574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-1276985</wp:posOffset>
            </wp:positionV>
            <wp:extent cx="20574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-1276985</wp:posOffset>
            </wp:positionV>
            <wp:extent cx="20574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-976630</wp:posOffset>
            </wp:positionV>
            <wp:extent cx="257175"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-942340</wp:posOffset>
            </wp:positionV>
            <wp:extent cx="20574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-942340</wp:posOffset>
            </wp:positionV>
            <wp:extent cx="20574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-942340</wp:posOffset>
            </wp:positionV>
            <wp:extent cx="20574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-942340</wp:posOffset>
            </wp:positionV>
            <wp:extent cx="20574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-942340</wp:posOffset>
            </wp:positionV>
            <wp:extent cx="20574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-942340</wp:posOffset>
            </wp:positionV>
            <wp:extent cx="20574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-942340</wp:posOffset>
            </wp:positionV>
            <wp:extent cx="20574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-642620</wp:posOffset>
            </wp:positionV>
            <wp:extent cx="257175"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-608330</wp:posOffset>
            </wp:positionV>
            <wp:extent cx="20574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-608330</wp:posOffset>
            </wp:positionV>
            <wp:extent cx="20574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-608330</wp:posOffset>
            </wp:positionV>
            <wp:extent cx="20574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-608330</wp:posOffset>
            </wp:positionV>
            <wp:extent cx="20574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-608330</wp:posOffset>
            </wp:positionV>
            <wp:extent cx="20574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-608330</wp:posOffset>
            </wp:positionV>
            <wp:extent cx="20574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-608330</wp:posOffset>
            </wp:positionV>
            <wp:extent cx="20574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-608330</wp:posOffset>
            </wp:positionV>
            <wp:extent cx="20574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-608330</wp:posOffset>
            </wp:positionV>
            <wp:extent cx="20574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-316865</wp:posOffset>
            </wp:positionV>
            <wp:extent cx="248285" cy="2489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-290830</wp:posOffset>
            </wp:positionV>
            <wp:extent cx="20574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-290830</wp:posOffset>
            </wp:positionV>
            <wp:extent cx="20574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-290830</wp:posOffset>
            </wp:positionV>
            <wp:extent cx="20574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-290830</wp:posOffset>
            </wp:positionV>
            <wp:extent cx="20574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-290830</wp:posOffset>
            </wp:positionV>
            <wp:extent cx="20574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-290830</wp:posOffset>
            </wp:positionV>
            <wp:extent cx="20574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574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Director Biographies - </w:t>
      </w:r>
      <w:r>
        <w:rPr>
          <w:rFonts w:ascii="Arial" w:cs="Arial" w:eastAsia="Arial" w:hAnsi="Arial"/>
          <w:sz w:val="25"/>
          <w:szCs w:val="25"/>
          <w:b w:val="1"/>
          <w:bCs w:val="1"/>
          <w:color w:val="FFC03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02740" cy="32658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02740" cy="3265805"/>
                    </a:xfrm>
                    <a:prstGeom prst="rect">
                      <a:avLst/>
                    </a:prstGeom>
                    <a:noFill/>
                  </pic:spPr>
                </pic:pic>
              </a:graphicData>
            </a:graphic>
          </wp:anchor>
        </w:drawing>
      </w: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5"/>
          <w:szCs w:val="25"/>
          <w:b w:val="1"/>
          <w:bCs w:val="1"/>
          <w:color w:val="006DB6"/>
        </w:rPr>
        <w:t>Richard A. Navarre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4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640"/>
        <w:spacing w:after="0" w:line="301" w:lineRule="auto"/>
        <w:rPr>
          <w:sz w:val="20"/>
          <w:szCs w:val="20"/>
          <w:color w:val="auto"/>
        </w:rPr>
      </w:pPr>
      <w:r>
        <w:rPr>
          <w:rFonts w:ascii="Arial" w:cs="Arial" w:eastAsia="Arial" w:hAnsi="Arial"/>
          <w:sz w:val="16"/>
          <w:szCs w:val="16"/>
          <w:i w:val="1"/>
          <w:iCs w:val="1"/>
          <w:color w:val="706F6F"/>
        </w:rPr>
        <w:t xml:space="preserve">Former President and Chief Executive Officer of Covia Corporation </w:t>
      </w:r>
      <w:r>
        <w:rPr>
          <w:rFonts w:ascii="Arial" w:cs="Arial" w:eastAsia="Arial" w:hAnsi="Arial"/>
          <w:sz w:val="16"/>
          <w:szCs w:val="16"/>
          <w:color w:val="706F6F"/>
        </w:rPr>
        <w:t>Independent Chairman of the Board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Mr. Navarre served as President and Chief Executive Officer of Covia Corporation, a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Board Chair and independent lead director, chair of the nominating, governance and personnel committee and compensation personnel committee member for Core Natural Resources (NYSE:CNR); and currently an independent director, chairman of the conflicts committee, member of the audit, compensation and nominating and governance committees for Natural Resource Partners LP (NYSE:NRP). He is a member of the Board of Advisors and the Hall of Fame of the College of Business and Analytics at Southern Illinois University-Carbondale.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Mr. Navarre is a Certified Public Accountant and received his B.S. in Accounting from Southern Illinois University-Carbondale.</w:t>
      </w:r>
    </w:p>
    <w:p>
      <w:pPr>
        <w:spacing w:after="0" w:line="5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believe that Mr. Navarre's over 40 years of diverse international business including Australia, operations, leadership and finance experience, which include extensive governance, financial, operating, strategic planning, public company and coal and energy industry experience,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290195</wp:posOffset>
            </wp:positionV>
            <wp:extent cx="7132320" cy="2434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2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Compensation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(Chair),</w:t>
      </w:r>
    </w:p>
    <w:p>
      <w:pPr>
        <w:spacing w:after="0" w:line="5" w:lineRule="exact"/>
        <w:rPr>
          <w:sz w:val="20"/>
          <w:szCs w:val="20"/>
          <w:color w:val="auto"/>
        </w:rPr>
      </w:pPr>
    </w:p>
    <w:p>
      <w:pPr>
        <w:ind w:left="280"/>
        <w:spacing w:after="0" w:line="293" w:lineRule="auto"/>
        <w:rPr>
          <w:sz w:val="20"/>
          <w:szCs w:val="20"/>
          <w:color w:val="auto"/>
        </w:rPr>
      </w:pPr>
      <w:r>
        <w:rPr>
          <w:rFonts w:ascii="Arial" w:cs="Arial" w:eastAsia="Arial" w:hAnsi="Arial"/>
          <w:sz w:val="16"/>
          <w:szCs w:val="16"/>
          <w:b w:val="1"/>
          <w:bCs w:val="1"/>
          <w:color w:val="auto"/>
        </w:rPr>
        <w:t>Finance and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459105</wp:posOffset>
            </wp:positionV>
            <wp:extent cx="394335" cy="197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Martin A. Lambert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Chief Executive Officer, Swan Hills Synfuels 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Lambert received his LLB degree from the University of Alberta.</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believe that Mr. Lambert's Canadian industry experience and deep knowledge of Canadian law, as well as being one of the original board members of Civeo from the Oil States board of directors,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139065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20"/>
          </w:cols>
          <w:pgMar w:left="320" w:top="125" w:right="37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602740" cy="3789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0274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7" w:lineRule="auto"/>
        <w:rPr>
          <w:sz w:val="20"/>
          <w:szCs w:val="20"/>
          <w:color w:val="auto"/>
        </w:rPr>
      </w:pPr>
      <w:r>
        <w:rPr>
          <w:rFonts w:ascii="Arial" w:cs="Arial" w:eastAsia="Arial" w:hAnsi="Arial"/>
          <w:sz w:val="16"/>
          <w:szCs w:val="16"/>
          <w:b w:val="1"/>
          <w:bCs w:val="1"/>
          <w:color w:val="auto"/>
        </w:rPr>
        <w:t>Audit Committee (Chair), Compensation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Constance B. Moore</w:t>
      </w:r>
    </w:p>
    <w:p>
      <w:pPr>
        <w:spacing w:after="0" w:line="130" w:lineRule="exact"/>
        <w:rPr>
          <w:sz w:val="20"/>
          <w:szCs w:val="20"/>
          <w:color w:val="auto"/>
        </w:rPr>
      </w:pPr>
    </w:p>
    <w:p>
      <w:pPr>
        <w:ind w:right="3460"/>
        <w:spacing w:after="0" w:line="301" w:lineRule="auto"/>
        <w:rPr>
          <w:sz w:val="20"/>
          <w:szCs w:val="20"/>
          <w:color w:val="auto"/>
        </w:rPr>
      </w:pPr>
      <w:r>
        <w:rPr>
          <w:rFonts w:ascii="Arial" w:cs="Arial" w:eastAsia="Arial" w:hAnsi="Arial"/>
          <w:sz w:val="16"/>
          <w:szCs w:val="16"/>
          <w:i w:val="1"/>
          <w:iCs w:val="1"/>
          <w:color w:val="706F6F"/>
        </w:rPr>
        <w:t xml:space="preserve">Interim President and Chief Executive Officer, Healthcare Realty Trust </w:t>
      </w:r>
      <w:r>
        <w:rPr>
          <w:rFonts w:ascii="Arial" w:cs="Arial" w:eastAsia="Arial" w:hAnsi="Arial"/>
          <w:sz w:val="16"/>
          <w:szCs w:val="16"/>
          <w:color w:val="706F6F"/>
        </w:rPr>
        <w:t>Independent Director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Ms. Moore has served as a director of TriPointe Homes (NYSE: TPH) since July 2014 and is currently the Chairman of the compensation committee as well as a member of its audit committee. She has served as a director of Healthcare Realty Trust (NYSE:HR) since March 2022 and has been Interim President and CEO since November 2024 and currently does not serve on any standing committees. She served as a director of Columbia Property Trust (NYSE: CXP), including as chair of its board of directors in 2021, from November 2017 until it was acquired in December 2021.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She served as a director of Bridge Housing Corp from 2014 to 2024. She served as a director of the Tower Board of San Jose University from 2007 to 2024. Currently, she is chair of the Fisher Center for Real Estate and Urban Economics Policy Advisory Board at UC Berkeley, an Emeritus Member of the board of the Haas School of Business Advisory Board at UC Berkeley and is a Governor and Lifetime Trustee of the Urban Land Institute (ULI).</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Ms. Moore holds an M.B.A. from the University of California, Berkeley, Haas School of Business, and a bachelor’s degree from San Jose State University.</w:t>
      </w:r>
    </w:p>
    <w:p>
      <w:pPr>
        <w:spacing w:after="0" w:line="5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believe that Ms. Moore's over 40 years of real estate experience, 20 of which were as a public company director, as well as her extensive experience and valuable insight in public company accounting and reporting issues,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125"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Continuing Directors - Terms Expires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2768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02740" cy="27686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Bradley J. Dodson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and Chief Executive Officer, Civeo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5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1602740" cy="3437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027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7" w:lineRule="auto"/>
        <w:rPr>
          <w:sz w:val="20"/>
          <w:szCs w:val="20"/>
          <w:color w:val="auto"/>
        </w:rPr>
      </w:pPr>
      <w:r>
        <w:rPr>
          <w:rFonts w:ascii="Arial" w:cs="Arial" w:eastAsia="Arial" w:hAnsi="Arial"/>
          <w:sz w:val="16"/>
          <w:szCs w:val="16"/>
          <w:b w:val="1"/>
          <w:bCs w:val="1"/>
          <w:color w:val="auto"/>
        </w:rPr>
        <w:t>Audit Committee, Finance and Investment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Jay K. Grewal</w:t>
      </w:r>
    </w:p>
    <w:p>
      <w:pPr>
        <w:spacing w:after="0" w:line="130" w:lineRule="exact"/>
        <w:rPr>
          <w:sz w:val="20"/>
          <w:szCs w:val="20"/>
          <w:color w:val="auto"/>
        </w:rPr>
      </w:pPr>
    </w:p>
    <w:p>
      <w:pPr>
        <w:ind w:right="3800"/>
        <w:spacing w:after="0" w:line="301" w:lineRule="auto"/>
        <w:rPr>
          <w:sz w:val="20"/>
          <w:szCs w:val="20"/>
          <w:color w:val="auto"/>
        </w:rPr>
      </w:pPr>
      <w:r>
        <w:rPr>
          <w:rFonts w:ascii="Arial" w:cs="Arial" w:eastAsia="Arial" w:hAnsi="Arial"/>
          <w:sz w:val="16"/>
          <w:szCs w:val="16"/>
          <w:i w:val="1"/>
          <w:iCs w:val="1"/>
          <w:color w:val="706F6F"/>
        </w:rPr>
        <w:t xml:space="preserve">Former President and Chief Executive Officer of Manitoba Hydro </w:t>
      </w:r>
      <w:r>
        <w:rPr>
          <w:rFonts w:ascii="Arial" w:cs="Arial" w:eastAsia="Arial" w:hAnsi="Arial"/>
          <w:sz w:val="16"/>
          <w:szCs w:val="16"/>
          <w:color w:val="706F6F"/>
        </w:rPr>
        <w:t>Independent Director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Grewal served as President and Chief Executive Officer of Manitoba Hydro, one of the largest integrated electric and natural gas utilities in Canada and a major USA exporter, from February 2019 to February 2024. Ms. Grewal joined Manitoba Hydro from the Northwest Territories Power Corporation where she held the position of President and CEO (2017 to 2019.) Before then, Ms. Grewal held a number of executive roles. She was Senior Vice President Strategy and Corporate Development Capstone Mining Corporation, a global copper mining company, (2011 to 2014), Senior Executive Resources and Managing Director British Columbia Accenture Inc. (2006 to 2010), CFO, Chief Compliance Officer and Director Business Development BC Hydro (2006 to 2010) and corporate finance and capital market roles with CIBC World Markets (1996 to 2000). Ms. Grewal has been an active participant at Federal levels in USA/Canada Energy Cybersecurity, including North American tabletop exercises and confidential cyber briefings. Ms. Grewal sat on a number of energy association boards including the Canadian Electricity Association where she was Chair, Edison Electric Institute, and the Canadian Gas Association. Ms. Grewal received the Outstanding Leader Award from Women in Infrastructure (2023) and recognized as a Woman of the Year, Chatelaine Magazine (2019).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Ms. Grewal earned both a B.A. (honors) from the University of British Columbia as well as a M.B.A, finance from the Richard Ivey School of Business, University of Western Ontario.</w:t>
      </w:r>
    </w:p>
    <w:p>
      <w:pPr>
        <w:spacing w:after="0" w:line="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believe that Ms. Grewal's over 25 years of leadership and corporate management experience, including at executive levels in the utility, resource, finance and consulting sectors,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284480</wp:posOffset>
            </wp:positionV>
            <wp:extent cx="7132320" cy="30429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042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2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Environmental, Social,</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Governance and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1433830</wp:posOffset>
            </wp:positionV>
            <wp:extent cx="394335"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Timothy O. Wall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Kitimat LNG Upstream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Mr. Wall has served as President and Chief Executive Officer of Cycle Petroleum, LLC, an energy advisory firm, since 2016 and was previously President of Apache Kitimat Limited, an LNG development division of Apache Canada Limited (a subsidiary of APA Corporation, an oil and gas exploration and production company), from 2013 to 2015. He served as President of Apache Canada Limited (a subsidiary of APA Corporation) from 2009 to 2013 and as Managing Director, Apache Energy Limited (a subsidiary of APA Corporation) in Western Australia from 2005 to 2009. From 2005 until 2015, Mr. Wall also served as a Corporate Officer and Regional Vice-President of APA Corporation. Prior thereto, Mr. Wall served in various positions within APA Corporation in the United States, P.R. China, and Scotland, U.K. from 1990 to 2005. Mr. Wall previously served as a director for several industry organizations, including the Canadian Association of Petroleum Producers (CAPP), the Australian Petroleum Production and Exploration Association (APPEA), and the Australian Mines and Metals Association (AMMA).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Wall received his B.S. in Petroleum Engineering from Texas A&amp;M University.</w:t>
      </w:r>
    </w:p>
    <w:p>
      <w:pPr>
        <w:spacing w:after="0" w:line="9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believe that Mr. Wall's vast energy knowledge in Australia and Canada, his experience working with First Nations partners and his understanding of Australia and Canadian rules and regulations, as well as his extensive continuing board education including cybersecurity oversight training,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135890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2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Continuing Directors - Terms Expires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3454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02740" cy="3454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Audit Committee,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1596390</wp:posOffset>
            </wp:positionV>
            <wp:extent cx="1602740" cy="32575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02740" cy="3257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 Ronald Blankenship</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Verde Realty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Blankenship served as President and Chief Executive Officer of Verde Realty, a real estate investment trust specializing in the ownership, acquisition and management of institutional-quality multifamily rental properties and industrial facilities, from January 2009 and Chairman of the Board from January 2012 until his retirement in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(Chairman), Berkshire Residential Investments, a private investment management company (Chairman), and Merit Hill, a privately owned and operated real estate company.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Blankenship is a Certified Public Accountant and a graduate of the University of Texas at Austin.</w:t>
      </w:r>
    </w:p>
    <w:p>
      <w:pPr>
        <w:spacing w:after="0" w:line="9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4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line="261" w:lineRule="auto"/>
        <w:rPr>
          <w:sz w:val="20"/>
          <w:szCs w:val="20"/>
          <w:color w:val="auto"/>
        </w:rPr>
      </w:pPr>
      <w:r>
        <w:rPr>
          <w:rFonts w:ascii="Arial" w:cs="Arial" w:eastAsia="Arial" w:hAnsi="Arial"/>
          <w:sz w:val="16"/>
          <w:szCs w:val="16"/>
          <w:b w:val="1"/>
          <w:bCs w:val="1"/>
          <w:color w:val="auto"/>
        </w:rPr>
        <w:t>Nominating Committee and Compensation Committee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Michael Montelongo</w:t>
      </w:r>
    </w:p>
    <w:p>
      <w:pPr>
        <w:spacing w:after="0" w:line="130" w:lineRule="exact"/>
        <w:rPr>
          <w:sz w:val="20"/>
          <w:szCs w:val="20"/>
          <w:color w:val="auto"/>
        </w:rPr>
      </w:pPr>
    </w:p>
    <w:p>
      <w:pPr>
        <w:ind w:right="3460"/>
        <w:spacing w:after="0" w:line="301" w:lineRule="auto"/>
        <w:rPr>
          <w:sz w:val="20"/>
          <w:szCs w:val="20"/>
          <w:color w:val="auto"/>
        </w:rPr>
      </w:pPr>
      <w:r>
        <w:rPr>
          <w:rFonts w:ascii="Arial" w:cs="Arial" w:eastAsia="Arial" w:hAnsi="Arial"/>
          <w:sz w:val="16"/>
          <w:szCs w:val="16"/>
          <w:i w:val="1"/>
          <w:iCs w:val="1"/>
          <w:color w:val="706F6F"/>
        </w:rPr>
        <w:t xml:space="preserve">President and Chief Executive Officer of GRC Advisory Services, LLC </w:t>
      </w:r>
      <w:r>
        <w:rPr>
          <w:rFonts w:ascii="Arial" w:cs="Arial" w:eastAsia="Arial" w:hAnsi="Arial"/>
          <w:sz w:val="16"/>
          <w:szCs w:val="16"/>
          <w:color w:val="706F6F"/>
        </w:rPr>
        <w:t>Independent Director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Mr. Montelongo has served as President and Chief Executive Officer of GRC Advisory Services, LLC, a board governance firm, since July 2016, and was previously Chief Administrative Officer and Senior Vice President, Public Policy and Corporate Affairs for Sodexo, Inc. (Euronext:SW), a facilities and hospitality outsourcing solutions enterprise, from January 2008 to July 2016, and before that was Chief Strategy Officer from March 2005 to January 2008. He is a former George W. Bush White House appointee serving as the 19th Assistant Secretary for Financial Management and Chief Financial Officer of the U.S. Air Force from August 2001 to March 2005. Mr. Montelongo is a lifetime member of the Council on Foreign Relations and was an executive with a global management consulting firm and a regional telecommunications company. He completed a career in the U.S. Army that included line and staff assignments, a Congressional Fellowship in the U.S. Senate and service as an assistant professor teaching economics and political science at West Point. Mr. Montelongo also serves as a Senior Lecturer of Business Administration on the Harvard Business School faculty and on the boards of Conduent Incorporated (NASDAQ: CNDT), a global IT business process outsourcing company where he chairs the audit committee, the privately-held Monarca, a multinational snack company, and the National Association of Corporate Directors (NACD).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Montelongo earned his B.S. from West Point and an M.B.A. from Harvard Business School.</w:t>
      </w:r>
    </w:p>
    <w:p>
      <w:pPr>
        <w:spacing w:after="0" w:line="9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believe that Mr. Montelongo's extensive background in corporate governance, as well as his experience in the hospitality industry and as a service operations professor,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104775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256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56349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76</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9" w:lineRule="auto"/>
        <w:rPr>
          <w:sz w:val="20"/>
          <w:szCs w:val="20"/>
          <w:color w:val="auto"/>
        </w:rPr>
      </w:pPr>
      <w:r>
        <w:rPr>
          <w:rFonts w:ascii="Arial" w:cs="Arial" w:eastAsia="Arial" w:hAnsi="Arial"/>
          <w:sz w:val="16"/>
          <w:szCs w:val="16"/>
          <w:b w:val="1"/>
          <w:bCs w:val="1"/>
          <w:color w:val="auto"/>
        </w:rPr>
        <w:t>Audit Committee, Environmental, Social, Governance and 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519430</wp:posOffset>
            </wp:positionV>
            <wp:extent cx="394335" cy="196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Charles Szalkowski</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Partner and General Counsel, Baker Botts L.L.P.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Mr. Szalkowski worked with the law firm of Baker Botts L.L.P. from 1975 until he retired as a partner and general counsel of the firm in December 2012. Since his retirement, Mr. Szalkowski has pursued his personal interests.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Szalkowski is an emeritus member of the Rice University Board of Trustees, where he had previously chaired the Board’s audit committee and served on the compensation committee. Over the years, he has served on the boards of several non-profit organizations and continues as a board member of an aviation museum.</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8"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Mr. Szalkowski became a Certified Public Accountant in 1971. He received his J.D. and M.B.A. degrees from Harvard University and his B.S. in Accounting and B.A. in economics and political science from Rice University.</w:t>
      </w:r>
    </w:p>
    <w:p>
      <w:pPr>
        <w:spacing w:after="0" w:line="6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150495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00"/>
          </w:cols>
          <w:pgMar w:left="320" w:top="125" w:right="39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r>
        <w:rPr>
          <w:rFonts w:ascii="Arial" w:cs="Arial" w:eastAsia="Arial" w:hAnsi="Arial"/>
          <w:sz w:val="32"/>
          <w:szCs w:val="32"/>
          <w:b w:val="1"/>
          <w:bCs w:val="1"/>
          <w:color w:val="0A2299"/>
        </w:rPr>
        <w:t>—</w:t>
      </w:r>
      <w:r>
        <w:rPr>
          <w:rFonts w:ascii="Arial" w:cs="Arial" w:eastAsia="Arial" w:hAnsi="Arial"/>
          <w:sz w:val="29"/>
          <w:szCs w:val="29"/>
          <w:b w:val="1"/>
          <w:bCs w:val="1"/>
          <w:color w:val="006DB6"/>
        </w:rPr>
        <w:t>Refreshment/Succession Planning</w:t>
      </w:r>
    </w:p>
    <w:p>
      <w:pPr>
        <w:spacing w:after="0" w:line="13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diversity of viewpoints, expertise and experience are taken into account.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spacing w:after="0" w:line="8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individuals with a diversity of viewpoints, expertise and experience to include in the pool of potential director candidates, from which it selects the most appropriate candidate taking into considerations the qualifications and skills addressed above in "Qualifications of Directors" and has provided this instruction to the third-party search firm that it uses to assist in the identification</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 potential director candidates.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154"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Candidate Search</w:t>
      </w:r>
    </w:p>
    <w:p>
      <w:pPr>
        <w:spacing w:after="0" w:line="123" w:lineRule="exact"/>
        <w:rPr>
          <w:sz w:val="20"/>
          <w:szCs w:val="20"/>
          <w:color w:val="auto"/>
        </w:rPr>
      </w:pPr>
    </w:p>
    <w:p>
      <w:pPr>
        <w:ind w:left="580" w:right="180" w:hanging="203"/>
        <w:spacing w:after="0" w:line="275" w:lineRule="auto"/>
        <w:tabs>
          <w:tab w:leader="none" w:pos="5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may seek referrals from other members of the board of directors, management, shareholders and other sources.</w:t>
      </w:r>
    </w:p>
    <w:p>
      <w:pPr>
        <w:spacing w:after="0" w:line="15" w:lineRule="exact"/>
        <w:rPr>
          <w:rFonts w:ascii="Arial" w:cs="Arial" w:eastAsia="Arial" w:hAnsi="Arial"/>
          <w:sz w:val="16"/>
          <w:szCs w:val="16"/>
          <w:color w:val="006DB6"/>
        </w:rPr>
      </w:pPr>
    </w:p>
    <w:p>
      <w:pPr>
        <w:ind w:left="580" w:right="140" w:hanging="203"/>
        <w:spacing w:after="0" w:line="275" w:lineRule="auto"/>
        <w:tabs>
          <w:tab w:leader="none" w:pos="5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also may, but need not, retain a professional search firm in order to identify, recruit and evaluate qualified candidates for the board of directors.</w:t>
      </w:r>
    </w:p>
    <w:p>
      <w:pPr>
        <w:spacing w:after="0" w:line="205"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Consideration of Diversity and Other Relevant Factors</w:t>
      </w:r>
    </w:p>
    <w:p>
      <w:pPr>
        <w:spacing w:after="0" w:line="191" w:lineRule="exact"/>
        <w:rPr>
          <w:sz w:val="20"/>
          <w:szCs w:val="20"/>
          <w:color w:val="auto"/>
        </w:rPr>
      </w:pPr>
    </w:p>
    <w:p>
      <w:pPr>
        <w:ind w:left="580" w:hanging="203"/>
        <w:spacing w:after="0" w:line="259" w:lineRule="auto"/>
        <w:tabs>
          <w:tab w:leader="none" w:pos="550" w:val="left"/>
        </w:tabs>
        <w:numPr>
          <w:ilvl w:val="0"/>
          <w:numId w:val="13"/>
        </w:numPr>
        <w:rPr>
          <w:rFonts w:ascii="Arial" w:cs="Arial" w:eastAsia="Arial" w:hAnsi="Arial"/>
          <w:sz w:val="16"/>
          <w:szCs w:val="16"/>
          <w:color w:val="006DB6"/>
        </w:rPr>
      </w:pPr>
      <w:r>
        <w:rPr>
          <w:rFonts w:ascii="Arial" w:cs="Arial" w:eastAsia="Arial" w:hAnsi="Arial"/>
          <w:sz w:val="16"/>
          <w:szCs w:val="16"/>
          <w:color w:val="auto"/>
        </w:rPr>
        <w:t>The board of directors and the Environmental, Social, Governance and Nominating Committee are committed to actively seeking new and diverse members whose expertise lend to the greater needs of the board of directors. In that regard, the Environmental, Social, Governance and Nominating Committee considers diversity of viewpoints, expertise and experience, as well as the factors identified above, in order to achieve an overall variety and mix of diversity among our directors. The effectiveness of this policy is assessed in connection with the board of directors’ annual evaluation.</w:t>
      </w:r>
    </w:p>
    <w:p>
      <w:pPr>
        <w:spacing w:after="0" w:line="320" w:lineRule="exact"/>
        <w:rPr>
          <w:sz w:val="20"/>
          <w:szCs w:val="20"/>
          <w:color w:val="auto"/>
        </w:rPr>
      </w:pPr>
    </w:p>
    <w:p>
      <w:pPr>
        <w:ind w:left="380" w:right="500"/>
        <w:spacing w:after="0" w:line="296" w:lineRule="auto"/>
        <w:rPr>
          <w:sz w:val="20"/>
          <w:szCs w:val="20"/>
          <w:color w:val="auto"/>
        </w:rPr>
      </w:pPr>
      <w:r>
        <w:rPr>
          <w:rFonts w:ascii="Arial" w:cs="Arial" w:eastAsia="Arial" w:hAnsi="Arial"/>
          <w:sz w:val="18"/>
          <w:szCs w:val="18"/>
          <w:b w:val="1"/>
          <w:bCs w:val="1"/>
          <w:color w:val="006DB6"/>
        </w:rPr>
        <w:t>Assessment of the Environmental, Social,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-268605</wp:posOffset>
            </wp:positionV>
            <wp:extent cx="1797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68" w:lineRule="exact"/>
        <w:rPr>
          <w:sz w:val="20"/>
          <w:szCs w:val="20"/>
          <w:color w:val="auto"/>
        </w:rPr>
      </w:pPr>
    </w:p>
    <w:p>
      <w:pPr>
        <w:ind w:left="580" w:right="200" w:hanging="203"/>
        <w:spacing w:after="0" w:line="286" w:lineRule="auto"/>
        <w:tabs>
          <w:tab w:leader="none" w:pos="550" w:val="left"/>
        </w:tabs>
        <w:numPr>
          <w:ilvl w:val="0"/>
          <w:numId w:val="14"/>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reviews the candidate’s experience, independence and understanding of the Company’s business.</w:t>
      </w:r>
    </w:p>
    <w:p>
      <w:pPr>
        <w:spacing w:after="0" w:line="291"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Interviews</w:t>
      </w:r>
    </w:p>
    <w:p>
      <w:pPr>
        <w:spacing w:after="0" w:line="96" w:lineRule="exact"/>
        <w:rPr>
          <w:sz w:val="20"/>
          <w:szCs w:val="20"/>
          <w:color w:val="auto"/>
        </w:rPr>
      </w:pPr>
    </w:p>
    <w:p>
      <w:pPr>
        <w:ind w:left="580" w:right="620" w:hanging="203"/>
        <w:spacing w:after="0" w:line="286" w:lineRule="auto"/>
        <w:tabs>
          <w:tab w:leader="none" w:pos="55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conducts an interview with each candidate.</w:t>
      </w:r>
    </w:p>
    <w:p>
      <w:pPr>
        <w:spacing w:after="0" w:line="20" w:lineRule="exact"/>
        <w:rPr>
          <w:rFonts w:ascii="Arial" w:cs="Arial" w:eastAsia="Arial" w:hAnsi="Arial"/>
          <w:sz w:val="16"/>
          <w:szCs w:val="16"/>
          <w:color w:val="006DB6"/>
        </w:rPr>
      </w:pPr>
    </w:p>
    <w:p>
      <w:pPr>
        <w:ind w:left="540" w:hanging="163"/>
        <w:spacing w:after="0"/>
        <w:tabs>
          <w:tab w:leader="none" w:pos="54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Further interviews are conducted with other directors as well as senior management.</w:t>
      </w:r>
    </w:p>
    <w:p>
      <w:pPr>
        <w:spacing w:after="0" w:line="127"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Recommendations</w:t>
      </w:r>
    </w:p>
    <w:p>
      <w:pPr>
        <w:spacing w:after="0" w:line="191" w:lineRule="exact"/>
        <w:rPr>
          <w:sz w:val="20"/>
          <w:szCs w:val="20"/>
          <w:color w:val="auto"/>
        </w:rPr>
      </w:pPr>
    </w:p>
    <w:p>
      <w:pPr>
        <w:jc w:val="both"/>
        <w:ind w:left="580" w:right="20" w:hanging="203"/>
        <w:spacing w:after="0" w:line="266" w:lineRule="auto"/>
        <w:tabs>
          <w:tab w:leader="none" w:pos="55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After the assessment and interview process, the Environmental, Social, Governance and Nominating Committee submits a recommendation of nominees to the board of directors, and the board of directors selects 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2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-158750</wp:posOffset>
            </wp:positionV>
            <wp:extent cx="968375" cy="4877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68375" cy="48774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were added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last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Jay K. Grewal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620"/>
        <w:spacing w:after="0"/>
        <w:rPr>
          <w:sz w:val="20"/>
          <w:szCs w:val="20"/>
          <w:color w:val="auto"/>
        </w:rPr>
      </w:pPr>
      <w:r>
        <w:rPr>
          <w:rFonts w:ascii="Arial" w:cs="Arial" w:eastAsia="Arial" w:hAnsi="Arial"/>
          <w:sz w:val="16"/>
          <w:szCs w:val="16"/>
          <w:color w:val="auto"/>
        </w:rPr>
        <w:t>Michael</w:t>
      </w:r>
    </w:p>
    <w:p>
      <w:pPr>
        <w:spacing w:after="0" w:line="21" w:lineRule="exact"/>
        <w:rPr>
          <w:sz w:val="20"/>
          <w:szCs w:val="20"/>
          <w:color w:val="auto"/>
        </w:rPr>
      </w:pPr>
    </w:p>
    <w:p>
      <w:pPr>
        <w:jc w:val="center"/>
        <w:ind w:right="2620"/>
        <w:spacing w:after="0"/>
        <w:rPr>
          <w:sz w:val="20"/>
          <w:szCs w:val="20"/>
          <w:color w:val="auto"/>
        </w:rPr>
      </w:pPr>
      <w:r>
        <w:rPr>
          <w:rFonts w:ascii="Arial" w:cs="Arial" w:eastAsia="Arial" w:hAnsi="Arial"/>
          <w:sz w:val="16"/>
          <w:szCs w:val="16"/>
          <w:color w:val="auto"/>
        </w:rPr>
        <w:t>Montelongo</w:t>
      </w:r>
    </w:p>
    <w:p>
      <w:pPr>
        <w:spacing w:after="0" w:line="4040" w:lineRule="exact"/>
        <w:rPr>
          <w:sz w:val="20"/>
          <w:szCs w:val="20"/>
          <w:color w:val="auto"/>
        </w:rPr>
      </w:pPr>
    </w:p>
    <w:p>
      <w:pPr>
        <w:sectPr>
          <w:pgSz w:w="11900" w:h="16838" w:orient="portrait"/>
          <w:cols w:equalWidth="0" w:num="2">
            <w:col w:w="6960" w:space="340"/>
            <w:col w:w="3940"/>
          </w:cols>
          <w:pgMar w:left="320" w:top="125" w:right="339" w:bottom="1440" w:gutter="0" w:footer="0" w:header="0"/>
          <w:type w:val="continuous"/>
        </w:sectPr>
      </w:pPr>
    </w:p>
    <w:p>
      <w:pPr>
        <w:spacing w:after="0" w:line="9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Corporate Secretary at Civeo Corporation, Three Allen Center, 333 Clay Street, Suite 4400,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ectPr>
          <w:pgSz w:w="11900" w:h="16838" w:orient="portrait"/>
          <w:cols w:equalWidth="0" w:num="1">
            <w:col w:w="11240"/>
          </w:cols>
          <w:pgMar w:left="320" w:top="125" w:right="339" w:bottom="1440" w:gutter="0" w:footer="0" w:header="0"/>
          <w:type w:val="continuous"/>
        </w:sectPr>
      </w:pPr>
    </w:p>
    <w:p>
      <w:pPr>
        <w:spacing w:after="0" w:line="336"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Civeo’s Corporate Governance Guidelines reflect our belief that directors should not be subject to term limits or age-based limits. While such limits could facilitate fresh ideas and viewpoints being consistently brought to the board of directors, we believe they are counterbalanced by the disadvantage of causing the loss of a director who over a period of time has developed insight into our strategies, operations and risks and continues to provide valuable contributions to board of directors deliberations. Civeo has been a separate public company since May 2014, and during that time, 16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professional time commitments, retirement or, in one case, a job opportunity in South Asia, or because particular shareholders who had proposed them as directors had changed their ownership positions in the Company. The board of directors regularly evaluates committee composition and whether to add new directors.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Director Resignation Policy</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9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Directors—Role and Responsibilities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Overview</w:t>
      </w:r>
    </w:p>
    <w:p>
      <w:pPr>
        <w:spacing w:after="0" w:line="146"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Oversight of Enterprise Risk</w:t>
      </w:r>
    </w:p>
    <w:p>
      <w:pPr>
        <w:spacing w:after="0" w:line="146"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board of directors and its committees utilize our Enterprise Risk Management process to assist in the oversight of our risks. Management and employees are responsible for day-to-day risk management, and management conducts an extensive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147320</wp:posOffset>
            </wp:positionV>
            <wp:extent cx="394335" cy="1968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manager is identified to manage the risk, monitor potential impact of the risk and execute initiatives to mitigate the risk. In addition, the oversight of each key risk is allocated to a board committee or the entire board for oversight and monitoring.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73291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6DB6"/>
        </w:rPr>
        <w:t>Board of Directors</w:t>
      </w:r>
    </w:p>
    <w:p>
      <w:pPr>
        <w:spacing w:after="0" w:line="248" w:lineRule="exact"/>
        <w:rPr>
          <w:sz w:val="20"/>
          <w:szCs w:val="20"/>
          <w:color w:val="auto"/>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Is primarily responsible for the oversight of strategy, capital allocation and risk.</w:t>
      </w:r>
    </w:p>
    <w:p>
      <w:pPr>
        <w:spacing w:after="0" w:line="30"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Delegates responsibility for monitoring certain risks to its standing committees.</w:t>
      </w:r>
    </w:p>
    <w:p>
      <w:pPr>
        <w:spacing w:after="0" w:line="8"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Maintains responsibility for oversight of safety and food safety risks.</w:t>
      </w:r>
    </w:p>
    <w:p>
      <w:pPr>
        <w:spacing w:after="0" w:line="5"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Receives regular reports from committees and management concerning identified risks and mitigation or management of such risks.</w:t>
      </w:r>
    </w:p>
    <w:p>
      <w:pPr>
        <w:spacing w:after="0" w:line="246" w:lineRule="exact"/>
        <w:rPr>
          <w:sz w:val="20"/>
          <w:szCs w:val="20"/>
          <w:color w:val="auto"/>
        </w:rPr>
      </w:pPr>
    </w:p>
    <w:tbl>
      <w:tblPr>
        <w:tblLayout w:type="fixed"/>
        <w:tblInd w:w="2200" w:type="dxa"/>
        <w:tblCellMar>
          <w:top w:w="0" w:type="dxa"/>
          <w:left w:w="0" w:type="dxa"/>
          <w:bottom w:w="0" w:type="dxa"/>
          <w:right w:w="0" w:type="dxa"/>
        </w:tblCellMar>
      </w:tblP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3940" w:type="dxa"/>
            <w:vAlign w:val="bottom"/>
          </w:tcPr>
          <w:p>
            <w:pPr>
              <w:ind w:left="1940"/>
              <w:spacing w:after="0"/>
              <w:rPr>
                <w:sz w:val="20"/>
                <w:szCs w:val="20"/>
                <w:color w:val="auto"/>
              </w:rPr>
            </w:pPr>
            <w:r>
              <w:rPr>
                <w:rFonts w:ascii="Arial" w:cs="Arial" w:eastAsia="Arial" w:hAnsi="Arial"/>
                <w:sz w:val="16"/>
                <w:szCs w:val="16"/>
                <w:b w:val="1"/>
                <w:bCs w:val="1"/>
                <w:color w:val="auto"/>
                <w:w w:val="99"/>
              </w:rPr>
              <w:t>Compensation Committee</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90" w:lineRule="exact"/>
        <w:rPr>
          <w:sz w:val="20"/>
          <w:szCs w:val="20"/>
          <w:color w:val="auto"/>
        </w:rPr>
      </w:pPr>
    </w:p>
    <w:p>
      <w:pPr>
        <w:ind w:left="460" w:hanging="168"/>
        <w:spacing w:after="0"/>
        <w:tabs>
          <w:tab w:leader="none" w:pos="46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700" w:right="140" w:hanging="193"/>
        <w:spacing w:after="0" w:line="265" w:lineRule="auto"/>
        <w:tabs>
          <w:tab w:leader="none" w:pos="698" w:val="left"/>
        </w:tabs>
        <w:numPr>
          <w:ilvl w:val="1"/>
          <w:numId w:val="18"/>
        </w:numPr>
        <w:rPr>
          <w:rFonts w:ascii="Arial" w:cs="Arial" w:eastAsia="Arial" w:hAnsi="Arial"/>
          <w:sz w:val="16"/>
          <w:szCs w:val="16"/>
          <w:color w:val="auto"/>
        </w:rPr>
      </w:pPr>
      <w:r>
        <w:rPr>
          <w:rFonts w:ascii="Arial" w:cs="Arial" w:eastAsia="Arial" w:hAnsi="Arial"/>
          <w:sz w:val="16"/>
          <w:szCs w:val="16"/>
          <w:color w:val="auto"/>
        </w:rPr>
        <w:t>Financial statements, financial reporting process and internal controls over financial reporting;</w:t>
      </w:r>
    </w:p>
    <w:p>
      <w:pPr>
        <w:spacing w:after="0" w:line="1"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Regulatory and accounting compliance;</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Litigation risks;</w:t>
      </w:r>
    </w:p>
    <w:p>
      <w:pPr>
        <w:spacing w:after="0" w:line="14"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Technology, cybersecurity risks and artificial intelligence; and</w:t>
      </w:r>
    </w:p>
    <w:p>
      <w:pPr>
        <w:spacing w:after="0" w:line="8"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Succession of accounting and finance personnel.</w:t>
      </w:r>
    </w:p>
    <w:p>
      <w:pPr>
        <w:spacing w:after="0" w:line="70" w:lineRule="exact"/>
        <w:rPr>
          <w:rFonts w:ascii="Arial" w:cs="Arial" w:eastAsia="Arial" w:hAnsi="Arial"/>
          <w:sz w:val="16"/>
          <w:szCs w:val="16"/>
          <w:color w:val="auto"/>
        </w:rPr>
      </w:pPr>
    </w:p>
    <w:p>
      <w:pPr>
        <w:ind w:left="480" w:right="20" w:hanging="188"/>
        <w:spacing w:after="0" w:line="286" w:lineRule="auto"/>
        <w:tabs>
          <w:tab w:leader="none" w:pos="45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the internal audit function, including an annual review of scope and duties.</w:t>
      </w:r>
    </w:p>
    <w:p>
      <w:pPr>
        <w:spacing w:after="0" w:line="20" w:lineRule="exact"/>
        <w:rPr>
          <w:rFonts w:ascii="Arial" w:cs="Arial" w:eastAsia="Arial" w:hAnsi="Arial"/>
          <w:sz w:val="16"/>
          <w:szCs w:val="16"/>
          <w:color w:val="006DB6"/>
        </w:rPr>
      </w:pPr>
    </w:p>
    <w:p>
      <w:pPr>
        <w:ind w:left="460" w:hanging="168"/>
        <w:spacing w:after="0"/>
        <w:tabs>
          <w:tab w:leader="none" w:pos="46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Reviews results of management's risk assessment.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Environmental, Social, Governance &amp; Nominating Committee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6" w:hanging="166"/>
        <w:spacing w:after="0"/>
        <w:tabs>
          <w:tab w:leader="none" w:pos="166"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406" w:hanging="192"/>
        <w:spacing w:after="0"/>
        <w:tabs>
          <w:tab w:leader="none" w:pos="40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Executive compensation; and</w:t>
      </w:r>
    </w:p>
    <w:p>
      <w:pPr>
        <w:spacing w:after="0" w:line="30" w:lineRule="exact"/>
        <w:rPr>
          <w:rFonts w:ascii="Arial" w:cs="Arial" w:eastAsia="Arial" w:hAnsi="Arial"/>
          <w:sz w:val="16"/>
          <w:szCs w:val="16"/>
          <w:color w:val="auto"/>
        </w:rPr>
      </w:pPr>
    </w:p>
    <w:p>
      <w:pPr>
        <w:ind w:left="406" w:hanging="192"/>
        <w:spacing w:after="0"/>
        <w:tabs>
          <w:tab w:leader="none" w:pos="406" w:val="left"/>
        </w:tabs>
        <w:numPr>
          <w:ilvl w:val="1"/>
          <w:numId w:val="19"/>
        </w:numPr>
        <w:rPr>
          <w:rFonts w:ascii="Arial" w:cs="Arial" w:eastAsia="Arial" w:hAnsi="Arial"/>
          <w:sz w:val="16"/>
          <w:szCs w:val="16"/>
          <w:color w:val="auto"/>
        </w:rPr>
      </w:pPr>
      <w:r>
        <w:rPr>
          <w:rFonts w:ascii="Arial" w:cs="Arial" w:eastAsia="Arial" w:hAnsi="Arial"/>
          <w:sz w:val="16"/>
          <w:szCs w:val="16"/>
          <w:color w:val="auto"/>
        </w:rPr>
        <w:t>Succession of key personnel.</w:t>
      </w:r>
    </w:p>
    <w:p>
      <w:pPr>
        <w:spacing w:after="0" w:line="60" w:lineRule="exact"/>
        <w:rPr>
          <w:rFonts w:ascii="Arial" w:cs="Arial" w:eastAsia="Arial" w:hAnsi="Arial"/>
          <w:sz w:val="16"/>
          <w:szCs w:val="16"/>
          <w:color w:val="auto"/>
        </w:rPr>
      </w:pPr>
    </w:p>
    <w:p>
      <w:pPr>
        <w:ind w:left="186" w:right="460" w:hanging="186"/>
        <w:spacing w:after="0" w:line="271" w:lineRule="auto"/>
        <w:tabs>
          <w:tab w:leader="none" w:pos="156"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Reviews our compensation policies to help ensure they do not encourage excessive or unnecessary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6"/>
        <w:spacing w:after="0"/>
        <w:rPr>
          <w:sz w:val="20"/>
          <w:szCs w:val="20"/>
          <w:color w:val="auto"/>
        </w:rPr>
      </w:pPr>
      <w:r>
        <w:rPr>
          <w:rFonts w:ascii="Arial" w:cs="Arial" w:eastAsia="Arial" w:hAnsi="Arial"/>
          <w:sz w:val="16"/>
          <w:szCs w:val="16"/>
          <w:b w:val="1"/>
          <w:bCs w:val="1"/>
          <w:color w:val="auto"/>
        </w:rPr>
        <w:t>Finance and Investment Committee</w:t>
      </w:r>
    </w:p>
    <w:p>
      <w:pPr>
        <w:spacing w:after="0" w:line="200" w:lineRule="exact"/>
        <w:rPr>
          <w:sz w:val="20"/>
          <w:szCs w:val="20"/>
          <w:color w:val="auto"/>
        </w:rPr>
      </w:pPr>
    </w:p>
    <w:p>
      <w:pPr>
        <w:sectPr>
          <w:pgSz w:w="11900" w:h="16838" w:orient="portrait"/>
          <w:cols w:equalWidth="0" w:num="2">
            <w:col w:w="5200" w:space="614"/>
            <w:col w:w="5426"/>
          </w:cols>
          <w:pgMar w:left="320" w:top="125" w:right="339" w:bottom="1440" w:gutter="0" w:footer="0" w:header="0"/>
          <w:type w:val="continuous"/>
        </w:sectPr>
      </w:pP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40" w:type="dxa"/>
            <w:vAlign w:val="bottom"/>
            <w:gridSpan w:val="2"/>
          </w:tcPr>
          <w:p>
            <w:pPr>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Oversees risks related to:</w:t>
            </w:r>
          </w:p>
        </w:tc>
        <w:tc>
          <w:tcPr>
            <w:tcW w:w="4120" w:type="dxa"/>
            <w:vAlign w:val="bottom"/>
            <w:gridSpan w:val="2"/>
          </w:tcPr>
          <w:p>
            <w:pPr>
              <w:ind w:left="3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Involved in risk considerations related to:</w:t>
            </w:r>
          </w:p>
        </w:tc>
      </w:tr>
      <w:tr>
        <w:trPr>
          <w:trHeight w:val="244"/>
        </w:trPr>
        <w:tc>
          <w:tcPr>
            <w:tcW w:w="420" w:type="dxa"/>
            <w:vAlign w:val="bottom"/>
          </w:tcPr>
          <w:p>
            <w:pPr>
              <w:ind w:left="280"/>
              <w:spacing w:after="0"/>
              <w:rPr>
                <w:sz w:val="20"/>
                <w:szCs w:val="20"/>
                <w:color w:val="auto"/>
              </w:rPr>
            </w:pPr>
            <w:r>
              <w:rPr>
                <w:rFonts w:ascii="Arial" w:cs="Arial" w:eastAsia="Arial" w:hAnsi="Arial"/>
                <w:sz w:val="16"/>
                <w:szCs w:val="16"/>
                <w:color w:val="006DB6"/>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Independence of board of directors and potential conflicts of</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Civeo's strategic objectives;</w:t>
            </w:r>
          </w:p>
        </w:tc>
      </w:tr>
      <w:tr>
        <w:trPr>
          <w:trHeight w:val="189"/>
        </w:trPr>
        <w:tc>
          <w:tcPr>
            <w:tcW w:w="42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interest;</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Capital allocation policies;</w:t>
            </w:r>
          </w:p>
        </w:tc>
      </w:tr>
      <w:tr>
        <w:trPr>
          <w:trHeight w:val="189"/>
        </w:trPr>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of board of directors and related committee</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Debt strategies; and</w:t>
            </w:r>
          </w:p>
        </w:tc>
      </w:tr>
      <w:tr>
        <w:trPr>
          <w:trHeight w:val="215"/>
        </w:trPr>
        <w:tc>
          <w:tcPr>
            <w:tcW w:w="420" w:type="dxa"/>
            <w:vAlign w:val="bottom"/>
          </w:tcPr>
          <w:p>
            <w:pPr>
              <w:spacing w:after="0"/>
              <w:rPr>
                <w:sz w:val="18"/>
                <w:szCs w:val="18"/>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and</w:t>
            </w:r>
          </w:p>
        </w:tc>
        <w:tc>
          <w:tcPr>
            <w:tcW w:w="4120" w:type="dxa"/>
            <w:vAlign w:val="bottom"/>
            <w:gridSpan w:val="2"/>
          </w:tcPr>
          <w:p>
            <w:pPr>
              <w:ind w:left="580"/>
              <w:spacing w:after="0"/>
              <w:rPr>
                <w:sz w:val="20"/>
                <w:szCs w:val="20"/>
                <w:color w:val="auto"/>
              </w:rPr>
            </w:pPr>
            <w:r>
              <w:rPr>
                <w:rFonts w:ascii="Arial" w:cs="Arial" w:eastAsia="Arial" w:hAnsi="Arial"/>
                <w:sz w:val="16"/>
                <w:szCs w:val="16"/>
                <w:color w:val="auto"/>
              </w:rPr>
              <w:t>◦  Distributions and return of capital transactions.</w:t>
            </w:r>
          </w:p>
        </w:tc>
      </w:tr>
    </w:tbl>
    <w:p>
      <w:pPr>
        <w:ind w:left="780" w:hanging="192"/>
        <w:spacing w:after="0"/>
        <w:tabs>
          <w:tab w:leader="none" w:pos="7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8" w:lineRule="exact"/>
        <w:rPr>
          <w:rFonts w:ascii="Arial" w:cs="Arial" w:eastAsia="Arial" w:hAnsi="Arial"/>
          <w:sz w:val="16"/>
          <w:szCs w:val="16"/>
          <w:color w:val="auto"/>
        </w:rPr>
      </w:pPr>
    </w:p>
    <w:p>
      <w:pPr>
        <w:ind w:left="420" w:hanging="156"/>
        <w:spacing w:after="0"/>
        <w:tabs>
          <w:tab w:leader="none" w:pos="42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Performs annual evaluation of the board of directors, each individual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 and each committee.</w:t>
      </w:r>
    </w:p>
    <w:p>
      <w:pPr>
        <w:spacing w:after="0" w:line="9" w:lineRule="exact"/>
        <w:rPr>
          <w:sz w:val="20"/>
          <w:szCs w:val="20"/>
          <w:color w:val="auto"/>
        </w:rPr>
      </w:pPr>
    </w:p>
    <w:p>
      <w:pPr>
        <w:ind w:left="420" w:hanging="156"/>
        <w:spacing w:after="0"/>
        <w:tabs>
          <w:tab w:leader="none" w:pos="42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Oversees Civeo's strategy and initiatives with regard to ESG matters.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6DB6"/>
        </w:rPr>
        <w:t>Management</w:t>
      </w:r>
    </w:p>
    <w:p>
      <w:pPr>
        <w:spacing w:after="0" w:line="59" w:lineRule="exact"/>
        <w:rPr>
          <w:sz w:val="20"/>
          <w:szCs w:val="20"/>
          <w:color w:val="auto"/>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Is responsible for day-to-day risk management.</w:t>
      </w:r>
    </w:p>
    <w:p>
      <w:pPr>
        <w:spacing w:after="0" w:line="30" w:lineRule="exact"/>
        <w:rPr>
          <w:rFonts w:ascii="Arial" w:cs="Arial" w:eastAsia="Arial" w:hAnsi="Arial"/>
          <w:sz w:val="16"/>
          <w:szCs w:val="16"/>
          <w:color w:val="006DB6"/>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Conducts an annual risk assessment of our business that is reviewed by the board of directors.</w:t>
      </w:r>
    </w:p>
    <w:p>
      <w:pPr>
        <w:spacing w:after="0" w:line="8" w:lineRule="exact"/>
        <w:rPr>
          <w:rFonts w:ascii="Arial" w:cs="Arial" w:eastAsia="Arial" w:hAnsi="Arial"/>
          <w:sz w:val="16"/>
          <w:szCs w:val="16"/>
          <w:color w:val="006DB6"/>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Incorporates risk assessment into the annual internal audit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6DB6"/>
        </w:rPr>
        <w:t>Cybersecurity Risk Oversight Strategy</w:t>
      </w:r>
    </w:p>
    <w:p>
      <w:pPr>
        <w:spacing w:after="0" w:line="167" w:lineRule="exact"/>
        <w:rPr>
          <w:sz w:val="20"/>
          <w:szCs w:val="20"/>
          <w:color w:val="auto"/>
        </w:rPr>
      </w:pPr>
    </w:p>
    <w:p>
      <w:pPr>
        <w:ind w:left="220" w:right="320"/>
        <w:spacing w:after="0" w:line="265" w:lineRule="auto"/>
        <w:rPr>
          <w:sz w:val="20"/>
          <w:szCs w:val="20"/>
          <w:color w:val="auto"/>
        </w:rPr>
      </w:pPr>
      <w:r>
        <w:rPr>
          <w:rFonts w:ascii="Arial" w:cs="Arial" w:eastAsia="Arial" w:hAnsi="Arial"/>
          <w:sz w:val="16"/>
          <w:szCs w:val="16"/>
          <w:color w:val="auto"/>
        </w:rPr>
        <w:t>Cybersecurity risks are monitored and evaluated by management through an internal compliance program with oversight by internal audit. Civeo engages various third-party cybersecurity partners, such as auditors, assessors and consultants, to perform penetration testing and audits on our cybersecurity profile. In order to promote a company-wide culture of cybersecurity risk management, management has also implemented programs to both test and train our employees on cybersecurity fundamentals, including both annual and ongoing information security awareness training.</w:t>
      </w:r>
    </w:p>
    <w:p>
      <w:pPr>
        <w:spacing w:after="0" w:line="78" w:lineRule="exact"/>
        <w:rPr>
          <w:sz w:val="20"/>
          <w:szCs w:val="20"/>
          <w:color w:val="auto"/>
        </w:rPr>
      </w:pPr>
    </w:p>
    <w:p>
      <w:pPr>
        <w:ind w:left="220" w:right="360"/>
        <w:spacing w:after="0" w:line="275" w:lineRule="auto"/>
        <w:rPr>
          <w:sz w:val="20"/>
          <w:szCs w:val="20"/>
          <w:color w:val="auto"/>
        </w:rPr>
      </w:pPr>
      <w:r>
        <w:rPr>
          <w:rFonts w:ascii="Arial" w:cs="Arial" w:eastAsia="Arial" w:hAnsi="Arial"/>
          <w:sz w:val="16"/>
          <w:szCs w:val="16"/>
          <w:color w:val="auto"/>
        </w:rPr>
        <w:t>With the assistance of a third-party cybersecurity consultant, we also conducted three cyber breach simulation exercises in the last five quarters, focused on incident management and communication processes. Company business functions, executive management and members of the board of directors participated.</w:t>
      </w:r>
    </w:p>
    <w:p>
      <w:pPr>
        <w:spacing w:after="0" w:line="43" w:lineRule="exact"/>
        <w:rPr>
          <w:sz w:val="20"/>
          <w:szCs w:val="20"/>
          <w:color w:val="auto"/>
        </w:rPr>
      </w:pPr>
    </w:p>
    <w:p>
      <w:pPr>
        <w:ind w:left="220" w:right="220"/>
        <w:spacing w:after="0" w:line="253" w:lineRule="auto"/>
        <w:rPr>
          <w:sz w:val="20"/>
          <w:szCs w:val="20"/>
          <w:color w:val="auto"/>
        </w:rPr>
      </w:pPr>
      <w:r>
        <w:rPr>
          <w:rFonts w:ascii="Arial" w:cs="Arial" w:eastAsia="Arial" w:hAnsi="Arial"/>
          <w:sz w:val="16"/>
          <w:szCs w:val="16"/>
          <w:color w:val="auto"/>
        </w:rPr>
        <w:t>The board of directors reviews the Company's cybersecurity risk posture, strategy and execution on at least an annual basis while the Audit Committee receives cybersecurity updates quarterly. Executive management regularly meets with the Audit Committee to discuss cybersecurity risks, review quarterly cyber metrics and oversee progress against our annual action plans. In addition to scheduled meetings, the Audit Committee and executive management maintain ongoing dialogue regarding emerging or potential cybersecurity risks.</w:t>
      </w:r>
    </w:p>
    <w:p>
      <w:pPr>
        <w:spacing w:after="0" w:line="210" w:lineRule="exact"/>
        <w:rPr>
          <w:sz w:val="20"/>
          <w:szCs w:val="20"/>
          <w:color w:val="auto"/>
        </w:rPr>
      </w:pPr>
    </w:p>
    <w:p>
      <w:pPr>
        <w:ind w:left="220" w:right="240"/>
        <w:spacing w:after="0" w:line="286" w:lineRule="auto"/>
        <w:rPr>
          <w:sz w:val="20"/>
          <w:szCs w:val="20"/>
          <w:color w:val="auto"/>
        </w:rPr>
      </w:pPr>
      <w:r>
        <w:rPr>
          <w:rFonts w:ascii="Arial" w:cs="Arial" w:eastAsia="Arial" w:hAnsi="Arial"/>
          <w:sz w:val="16"/>
          <w:szCs w:val="16"/>
          <w:color w:val="auto"/>
        </w:rPr>
        <w:t>For more information on our cybersecurity risk management, strategy and governance, see "Item 1C. Cybersecurity" of our Annual Report on Form 10-K for the fiscal year ended December 31, 2024.</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Management Succession Planning</w:t>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annually reviews the Company's succession planning for accounting and finance personnel.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Retention and Succession Planning</w:t>
      </w:r>
    </w:p>
    <w:p>
      <w:pPr>
        <w:spacing w:after="0" w:line="12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Compensation Committee is sensitive to the critical importance of key employee and executive retention, recognizing the costs, potential impacts and replacement challenges that accompany the loss of talented leadership particularly in a difficult market environment. Each year executive retention is carefully considered by the Compensation Committee in arriving at its long-term incentive award determinations for our NEOs, all of which remained consistent with our past practices.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of Human Capital Management</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strive to offer competitive compensation, benefits and services that meet the needs of our employees, including short and long-term incentive programs, various defined contribution plans, healthcare benefits, and wellness and employee assistance programs.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and Commitment to Diversity and Inclusion</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w:t>
      </w:r>
    </w:p>
    <w:p>
      <w:pPr>
        <w:spacing w:after="0" w:line="7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As a company, we recognize the importance of a diverse workforce represented by people from different backgrounds, experiences and ways of looking at the world. In Canada, we are committed to hiring Indigenous Peoples and expanding our Indigenous workforce to 10%. In 2024, we had 5% Indigenous employment in Canada despite challenging market conditions that resulted in reduced hiring in the region. Approximately 6% of our total new hires in Canada were of Indigenous background during 2024. In addition, our Indigenous Procurement Policy in Canada helps foster strong community relationships while ensuring a local and diverse supply chain of business partners. In 2024, we purchased more than C$31.3 million in goods and services from the Indigenous business community, representing 16% of our total Canadian local spending. In Australia, all of our food suppliers are Australian companies and, where possible, are based locally. Through our membership with Supply Nation, a non-profit organization committed to supplier diversity and Indigenous business development, we were able to direct approximately A$15.3 million in 2024 into Indigenous-owned and operated companies, representing a 24% year over year increase, and we are always looking for more opportunities to partner with these businesses.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Role in Corporate Responsibility and Corporate Citizenship</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Code of Business Conduct and Ethics</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Civeo has adopted a Corporate Code of Business Conduct and Ethics (the “Code of Conduct”), which requires that all directors, officers and employees of Civeo act ethically at all times. This Code of Conduct is available at Civeo’s website civeo.com by first clicking “ESG”, then selecting "Governance Documents" from the "Governance" drop-down menu, and then "Corporate Code of Business Conduct and Ethics."</w:t>
      </w:r>
    </w:p>
    <w:p>
      <w:pPr>
        <w:spacing w:after="0" w:line="56"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Substantially all of our employees are required annually to complete online training which includes a review of our Corporate Code of Conduct and an acknowledgment that the employee has read and understands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124460</wp:posOffset>
            </wp:positionV>
            <wp:extent cx="394335" cy="196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Financial Code of Ethics for Senior Officers</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civeo.com by first clicking “ESG”, then selecting "Governance Documents" from the "Governance" drop-down menu, and then “Financial Code of Ethics for Senior Officers.”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Ethical principles set forth in the Financial Code of Ethics include, among other principles, matters such as:</w:t>
      </w:r>
    </w:p>
    <w:p>
      <w:pPr>
        <w:spacing w:after="0" w:line="12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Acting ethically with honesty and integrity;</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Avoiding conflicts of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Complying with disclosure and reporting obligations with full, fair, accurate, timely and understandable disclosures;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Complying with applicable laws, rules and regulations;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Acting in good faith, responsibly with due care, competence and diligence;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Promoting honest and ethical behavior by others in the work environment;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Respecting confidentiality of information acquired in the course of his or her work;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Responsibly using and maintaining assets and resources employed or entrusted to the Senior Officer.</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Oversight of Commitment to ESG and Sustainability</w:t>
      </w:r>
    </w:p>
    <w:p>
      <w:pPr>
        <w:spacing w:after="0" w:line="11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believe that sound corporate citizenship and attention to ESG principles are essential to our success. Oversight of ESG matters is directly assigned to our Environmental, Social, Governance and Nominating Committee. Please see "Board of Directors - Committees - Environmental, Social, Governance and Nominating Committee" for further information with respect to the Committee's responsibilities.</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w:t>
      </w:r>
    </w:p>
    <w:p>
      <w:pPr>
        <w:spacing w:after="0" w:line="7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w:t>
      </w:r>
    </w:p>
    <w:p>
      <w:pPr>
        <w:spacing w:after="0" w:line="75"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Recently, to lend a more formalized structure to our ESG efforts, we have established a global Steering Committee at the Executive Management level. The Steering Committee, led by our CEO and composed of members of our Executive Management team, is charged with the development of our ESG</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auto"/>
        </w:rPr>
        <w:t>Roadmap. The ESG Roadmap specifies strategies, and the accompanying actions, linked to measurable Key Performance Indicators. Supporting the ESG Steering Committee are separate Working Groups made up of the appropriate technical experts in the areas of 'Environmental', 'Social' and 'Governance',</w:t>
      </w:r>
    </w:p>
    <w:p>
      <w:pPr>
        <w:ind w:right="60"/>
        <w:spacing w:after="0" w:line="248" w:lineRule="auto"/>
        <w:rPr>
          <w:sz w:val="20"/>
          <w:szCs w:val="20"/>
          <w:color w:val="auto"/>
        </w:rPr>
      </w:pPr>
      <w:r>
        <w:rPr>
          <w:rFonts w:ascii="Arial" w:cs="Arial" w:eastAsia="Arial" w:hAnsi="Arial"/>
          <w:sz w:val="16"/>
          <w:szCs w:val="16"/>
          <w:color w:val="auto"/>
        </w:rPr>
        <w:t>who are responsible for execution of the respective strategies. The Environmental, Social, Governance and Nominating Committee provides oversight to the Steering Committee.</w:t>
      </w:r>
    </w:p>
    <w:p>
      <w:pPr>
        <w:spacing w:after="0" w:line="63"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Shareholder Engagement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Through the year, we meet with analysts and institutional investors to inform and share our perspective, and to solicit their feedback on our performance.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This includes participation in investor conferences and other formal events, and group and one-on-one meetings throughout the year.</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OUTREACH</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80" w:type="dxa"/>
            <w:vAlign w:val="bottom"/>
            <w:vMerge w:val="restart"/>
          </w:tcPr>
          <w:p>
            <w:pPr>
              <w:jc w:val="right"/>
              <w:ind w:right="2283"/>
              <w:spacing w:after="0"/>
              <w:rPr>
                <w:sz w:val="20"/>
                <w:szCs w:val="20"/>
                <w:color w:val="auto"/>
              </w:rPr>
            </w:pPr>
            <w:r>
              <w:rPr>
                <w:rFonts w:ascii="Arial" w:cs="Arial" w:eastAsia="Arial" w:hAnsi="Arial"/>
                <w:sz w:val="23"/>
                <w:szCs w:val="23"/>
                <w:color w:val="FFC03C"/>
                <w:w w:val="99"/>
              </w:rPr>
              <w:t>53%</w:t>
            </w:r>
          </w:p>
        </w:tc>
        <w:tc>
          <w:tcPr>
            <w:tcW w:w="7480" w:type="dxa"/>
            <w:vAlign w:val="bottom"/>
          </w:tcPr>
          <w:p>
            <w:pPr>
              <w:ind w:left="2420"/>
              <w:spacing w:after="0"/>
              <w:rPr>
                <w:sz w:val="20"/>
                <w:szCs w:val="20"/>
                <w:color w:val="auto"/>
              </w:rPr>
            </w:pPr>
            <w:r>
              <w:rPr>
                <w:rFonts w:ascii="Arial" w:cs="Arial" w:eastAsia="Arial" w:hAnsi="Arial"/>
                <w:sz w:val="15"/>
                <w:szCs w:val="15"/>
                <w:color w:val="auto"/>
              </w:rPr>
              <w:t>During 2024, we conducted shareholder engagement with shareholders</w:t>
            </w: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7480" w:type="dxa"/>
            <w:vAlign w:val="bottom"/>
          </w:tcPr>
          <w:p>
            <w:pPr>
              <w:ind w:left="2420"/>
              <w:spacing w:after="0"/>
              <w:rPr>
                <w:sz w:val="20"/>
                <w:szCs w:val="20"/>
                <w:color w:val="auto"/>
              </w:rPr>
            </w:pPr>
            <w:r>
              <w:rPr>
                <w:rFonts w:ascii="Arial" w:cs="Arial" w:eastAsia="Arial" w:hAnsi="Arial"/>
                <w:sz w:val="15"/>
                <w:szCs w:val="15"/>
                <w:color w:val="auto"/>
              </w:rPr>
              <w:t xml:space="preserve">representing over </w:t>
            </w:r>
            <w:r>
              <w:rPr>
                <w:rFonts w:ascii="Arial" w:cs="Arial" w:eastAsia="Arial" w:hAnsi="Arial"/>
                <w:sz w:val="15"/>
                <w:szCs w:val="15"/>
                <w:color w:val="FBC150"/>
              </w:rPr>
              <w:t>53%</w:t>
            </w:r>
            <w:r>
              <w:rPr>
                <w:rFonts w:ascii="Arial" w:cs="Arial" w:eastAsia="Arial" w:hAnsi="Arial"/>
                <w:sz w:val="15"/>
                <w:szCs w:val="15"/>
                <w:color w:val="auto"/>
              </w:rPr>
              <w:t xml:space="preserve"> of our outstanding shares regarding the Company’s</w:t>
            </w:r>
          </w:p>
        </w:tc>
        <w:tc>
          <w:tcPr>
            <w:tcW w:w="0" w:type="dxa"/>
            <w:vAlign w:val="bottom"/>
          </w:tcPr>
          <w:p>
            <w:pPr>
              <w:spacing w:after="0"/>
              <w:rPr>
                <w:sz w:val="1"/>
                <w:szCs w:val="1"/>
                <w:color w:val="auto"/>
              </w:rPr>
            </w:pPr>
          </w:p>
        </w:tc>
      </w:tr>
    </w:tbl>
    <w:p>
      <w:pPr>
        <w:ind w:left="5320"/>
        <w:spacing w:after="0"/>
        <w:rPr>
          <w:sz w:val="20"/>
          <w:szCs w:val="20"/>
          <w:color w:val="auto"/>
        </w:rPr>
      </w:pPr>
      <w:r>
        <w:rPr>
          <w:rFonts w:ascii="Arial" w:cs="Arial" w:eastAsia="Arial" w:hAnsi="Arial"/>
          <w:sz w:val="15"/>
          <w:szCs w:val="15"/>
          <w:color w:val="auto"/>
        </w:rPr>
        <w:t>operations, financial results, strategy and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270891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089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Directors—Structure</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2024, our shareholders approved amendments to our Articles to phase-in the declassification of our board of directors over a period of three years. In accordance with the Articles, Class II directors with terms expiring at this annual general meeting, Messrs. Navarre and Lambert and Ms. Moore will stand for re-election to a one-year term at this annual general meeting. Class II and Class III directors with terms expiring at our 2026 annual general meeting will stand for re-election to a one-year term at the 2026 annual general meeting. Beginning with our 2027 annual general meeting, all directors will be elected to a one-year term.</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Leadership</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board of directors is led by our independent Chair of the Board, and the Chief Executive Officer position is currently separate from the Chair role. The Chair presides over board meetings and executive sessions of the independent directors, works with management and the independent directors to approve agendas and schedules, and is available to engage directly with shareholders where appropriate. The board of directors maintains the flexibility to determine whether the roles of Chair and Chief Executive Officer should be combined or separated, based on what it believes is in the best interests of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Independence</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Civeo board of directors reviews, as appropriate, material or relevant direct or indirect business relationships between each director (including his or her immediate family) and the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Jay K. Grewal, Martin A. Lambert, Michael Montelongo, Constance B. Moore, Charles Szalkowski, and Timothy O. Wall) qualify as “independent” in accordance with the applicable NYSE listing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Sessions</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269875</wp:posOffset>
            </wp:positionV>
            <wp:extent cx="394335" cy="196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Directors—Committees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Civeo board of directors has established several standing committees in connection with the discharge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05610" cy="33775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05610" cy="337756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5" w:lineRule="exact"/>
        <w:rPr>
          <w:sz w:val="20"/>
          <w:szCs w:val="20"/>
          <w:color w:val="auto"/>
        </w:rPr>
      </w:pPr>
    </w:p>
    <w:p>
      <w:pPr>
        <w:ind w:left="100" w:right="720"/>
        <w:spacing w:after="0" w:line="314" w:lineRule="auto"/>
        <w:rPr>
          <w:sz w:val="20"/>
          <w:szCs w:val="20"/>
          <w:color w:val="auto"/>
        </w:rPr>
      </w:pPr>
      <w:r>
        <w:rPr>
          <w:rFonts w:ascii="Arial" w:cs="Arial" w:eastAsia="Arial" w:hAnsi="Arial"/>
          <w:sz w:val="16"/>
          <w:szCs w:val="16"/>
          <w:b w:val="1"/>
          <w:bCs w:val="1"/>
          <w:color w:val="auto"/>
        </w:rPr>
        <w:t>Constance B. Moore (Chair)</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 Ronald Blankenship Jay K.</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Grewal Charles Szalkowski</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2583815</wp:posOffset>
            </wp:positionV>
            <wp:extent cx="1705610" cy="29832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05610" cy="2983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520" w:hanging="192"/>
        <w:spacing w:after="0" w:line="28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Oversees the integrity of Civeo's financial statements and effectiveness of our internal control over financial reporting.</w:t>
      </w:r>
    </w:p>
    <w:p>
      <w:pPr>
        <w:spacing w:after="0" w:line="20" w:lineRule="exact"/>
        <w:rPr>
          <w:rFonts w:ascii="Arial" w:cs="Arial" w:eastAsia="Arial" w:hAnsi="Arial"/>
          <w:sz w:val="16"/>
          <w:szCs w:val="16"/>
          <w:color w:val="006DB6"/>
        </w:rPr>
      </w:pPr>
    </w:p>
    <w:p>
      <w:pPr>
        <w:ind w:left="200" w:right="340" w:hanging="192"/>
        <w:spacing w:after="0" w:line="275"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Appoints our independent auditors and reviews the general scope of audit coverage, the fees charged by the independent auditors, matters relating to internal control systems and other matters related to accounting and reporting functions.</w:t>
      </w:r>
    </w:p>
    <w:p>
      <w:pPr>
        <w:spacing w:after="0" w:line="29" w:lineRule="exact"/>
        <w:rPr>
          <w:rFonts w:ascii="Arial" w:cs="Arial" w:eastAsia="Arial" w:hAnsi="Arial"/>
          <w:sz w:val="16"/>
          <w:szCs w:val="16"/>
          <w:color w:val="006DB6"/>
        </w:rPr>
      </w:pPr>
    </w:p>
    <w:p>
      <w:pPr>
        <w:ind w:left="200" w:right="1080" w:hanging="192"/>
        <w:spacing w:after="0" w:line="28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Meets separately with representatives of our independent auditors, our internal audit personnel and representatives of senior management in performing its functions.</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Assess risks, including technology and cybersecurity risks.</w:t>
      </w:r>
    </w:p>
    <w:p>
      <w:pPr>
        <w:spacing w:after="0" w:line="113"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independent under applicable NYSE and SEC rules for board of director and audit committee independence.</w:t>
      </w:r>
    </w:p>
    <w:p>
      <w:pPr>
        <w:spacing w:after="0" w:line="56"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financially literate and has accounting or related financial management expertise, each as required by the applicable NYSE listing standards. The board of directors also has determined that Mr. Blankenship and Mses. Grewal and Moore qualify as audit committee financial experts under the applicable rules of the SEC.</w:t>
      </w:r>
    </w:p>
    <w:p>
      <w:pPr>
        <w:spacing w:after="0" w:line="6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 more detailed discussion of the Audit Committee’s mission, composition and responsibilities is contained in the Audit Committee charter, which is available on our website, civeo.com, by first clicking “ESG”, then selecting “Governance Documents” from the "Governance" drop-down menu, and then “Audit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67310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80"/>
            <w:col w:w="8360"/>
          </w:cols>
          <w:pgMar w:left="320" w:top="125" w:right="339" w:bottom="1440" w:gutter="0" w:footer="0" w:header="0"/>
          <w:type w:val="continuous"/>
        </w:sect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Martin A. Lambert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(Chair)</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b w:val="1"/>
          <w:bCs w:val="1"/>
          <w:color w:val="auto"/>
        </w:rPr>
        <w:t>Michael Montelongo Constance B. Moore</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7</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Determines the compensation of our chief executive officer and other executive officers.</w:t>
      </w:r>
    </w:p>
    <w:p>
      <w:pPr>
        <w:spacing w:after="0" w:line="72" w:lineRule="exact"/>
        <w:rPr>
          <w:rFonts w:ascii="Arial" w:cs="Arial" w:eastAsia="Arial" w:hAnsi="Arial"/>
          <w:sz w:val="16"/>
          <w:szCs w:val="16"/>
          <w:color w:val="006DB6"/>
        </w:rPr>
      </w:pPr>
    </w:p>
    <w:p>
      <w:pPr>
        <w:jc w:val="both"/>
        <w:ind w:left="200" w:right="460" w:hanging="192"/>
        <w:spacing w:after="0" w:line="275"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Oversees and approves compensation and employee benefit policies as well as oversees policies related to human capital management with regards to diversity and inclusion, workplace environment and culture, and talent development and retention.</w:t>
      </w:r>
    </w:p>
    <w:p>
      <w:pPr>
        <w:spacing w:after="0" w:line="29"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Meets on succession planning with respect to Company's key executive positions.</w:t>
      </w:r>
    </w:p>
    <w:p>
      <w:pPr>
        <w:spacing w:after="0" w:line="86" w:lineRule="exact"/>
        <w:rPr>
          <w:rFonts w:ascii="Arial" w:cs="Arial" w:eastAsia="Arial" w:hAnsi="Arial"/>
          <w:sz w:val="16"/>
          <w:szCs w:val="16"/>
          <w:color w:val="006DB6"/>
        </w:rPr>
      </w:pPr>
    </w:p>
    <w:p>
      <w:pPr>
        <w:ind w:left="200" w:right="240" w:hanging="192"/>
        <w:spacing w:after="0" w:line="266"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Administers the EPP, and in this capacity makes a recommendation to the full board of directors concerning the aggregate amount of all equity awards to employees as well as specific awards to executive officers under the EPP.</w:t>
      </w:r>
    </w:p>
    <w:p>
      <w:pPr>
        <w:spacing w:after="0" w:line="36" w:lineRule="exact"/>
        <w:rPr>
          <w:rFonts w:ascii="Arial" w:cs="Arial" w:eastAsia="Arial" w:hAnsi="Arial"/>
          <w:sz w:val="16"/>
          <w:szCs w:val="16"/>
          <w:color w:val="006DB6"/>
        </w:rPr>
      </w:pPr>
    </w:p>
    <w:p>
      <w:pPr>
        <w:ind w:left="200" w:right="120" w:hanging="192"/>
        <w:spacing w:after="0" w:line="304"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Reviews and discusses with our management the Compensation Discussion and Analysis and related disclosure included in our annual proxy statement.</w:t>
      </w:r>
    </w:p>
    <w:p>
      <w:pPr>
        <w:spacing w:after="0" w:line="3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board of directors has determined that each of Messrs. Lambert and Montelongo and Ms. Moore is independent under applicable NYSE and SEC rules for board of director and compensation committee independence.</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 more detailed discussion of the Compensation Committee’s mission, composition and responsibilities is contained in the Compensation Committee charter, which is available on our website, civeo.com, by first clicking “ESG”, then selecting “Governance Documents” from the "Governance" drop-down menu, and then “Compensation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67310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40"/>
            <w:col w:w="8360"/>
          </w:cols>
          <w:pgMar w:left="320" w:top="125" w:right="339" w:bottom="1440" w:gutter="0" w:footer="0" w:header="0"/>
          <w:type w:val="continuous"/>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1705610" cy="27432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0561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right="900"/>
        <w:spacing w:after="0" w:line="296" w:lineRule="auto"/>
        <w:rPr>
          <w:sz w:val="20"/>
          <w:szCs w:val="20"/>
          <w:color w:val="auto"/>
        </w:rPr>
      </w:pPr>
      <w:r>
        <w:rPr>
          <w:rFonts w:ascii="Arial" w:cs="Arial" w:eastAsia="Arial" w:hAnsi="Arial"/>
          <w:sz w:val="16"/>
          <w:szCs w:val="16"/>
          <w:b w:val="1"/>
          <w:bCs w:val="1"/>
          <w:color w:val="auto"/>
        </w:rPr>
        <w:t>Charles Szalkowski (Chair)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b w:val="1"/>
          <w:bCs w:val="1"/>
          <w:color w:val="auto"/>
        </w:rPr>
        <w:t>Michael Montelongo Richard A. Navarre Timothy O. Wall</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1949450</wp:posOffset>
            </wp:positionV>
            <wp:extent cx="1705610" cy="1628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05610" cy="1628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Environmental, Social, Governance and Nominating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Oversees the Company's strategy and initiatives with regard to ESG matters.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Advises the board of directors about appropriate composition of the board of directors and its committees.</w:t>
      </w:r>
    </w:p>
    <w:p>
      <w:pPr>
        <w:spacing w:after="0" w:line="86" w:lineRule="exact"/>
        <w:rPr>
          <w:rFonts w:ascii="Arial" w:cs="Arial" w:eastAsia="Arial" w:hAnsi="Arial"/>
          <w:sz w:val="16"/>
          <w:szCs w:val="16"/>
          <w:color w:val="006DB6"/>
        </w:rPr>
      </w:pPr>
    </w:p>
    <w:p>
      <w:pPr>
        <w:ind w:left="200" w:right="22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Oversees the evaluation of the board of directors through its annual review of the performance of the board, its committees and individual board members.</w:t>
      </w:r>
    </w:p>
    <w:p>
      <w:pPr>
        <w:spacing w:after="0" w:line="20" w:lineRule="exact"/>
        <w:rPr>
          <w:rFonts w:ascii="Arial" w:cs="Arial" w:eastAsia="Arial" w:hAnsi="Arial"/>
          <w:sz w:val="16"/>
          <w:szCs w:val="16"/>
          <w:color w:val="006DB6"/>
        </w:rPr>
      </w:pPr>
    </w:p>
    <w:p>
      <w:pPr>
        <w:ind w:left="200" w:right="70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Makes proposals to the board of directors for candidates to be nominated by the board of directors to fill vacancies or for new directorship positions, if any, which may be created from time to time.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of directors has determined that each Messrs. Montelongo, Navarre, Szalkowski and Wall is independent under applicable NYSE rules.</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 more detailed discussion of the Environmental, Social, Governance and Nominating Committee’s mission, composition and responsibilities is contained in the Environmental, Social, Governance and Nominating Committee charter, which is available on our website, civeo.com, by first clicking “ESG”, then selecting “Governance Documents” from the "Governance" drop-down menu, and then “Environmental, Social, Governance and Nominating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79375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60"/>
            <w:col w:w="8300"/>
          </w:cols>
          <w:pgMar w:left="320" w:top="125" w:right="399" w:bottom="1440" w:gutter="0" w:footer="0" w:header="0"/>
        </w:sectPr>
      </w:pPr>
    </w:p>
    <w:p>
      <w:pPr>
        <w:spacing w:after="0" w:line="288" w:lineRule="exact"/>
        <w:rPr>
          <w:sz w:val="20"/>
          <w:szCs w:val="20"/>
          <w:color w:val="auto"/>
        </w:rPr>
      </w:pPr>
    </w:p>
    <w:p>
      <w:pPr>
        <w:ind w:left="100" w:right="720"/>
        <w:spacing w:after="0" w:line="296" w:lineRule="auto"/>
        <w:rPr>
          <w:sz w:val="20"/>
          <w:szCs w:val="20"/>
          <w:color w:val="auto"/>
        </w:rPr>
      </w:pPr>
      <w:r>
        <w:rPr>
          <w:rFonts w:ascii="Arial" w:cs="Arial" w:eastAsia="Arial" w:hAnsi="Arial"/>
          <w:sz w:val="16"/>
          <w:szCs w:val="16"/>
          <w:b w:val="1"/>
          <w:bCs w:val="1"/>
          <w:color w:val="auto"/>
        </w:rPr>
        <w:t>C. Ronald Blankenship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31" w:lineRule="exact"/>
        <w:rPr>
          <w:sz w:val="20"/>
          <w:szCs w:val="20"/>
          <w:color w:val="auto"/>
        </w:rPr>
      </w:pPr>
    </w:p>
    <w:p>
      <w:pPr>
        <w:ind w:left="100"/>
        <w:spacing w:after="0" w:line="281" w:lineRule="auto"/>
        <w:rPr>
          <w:sz w:val="20"/>
          <w:szCs w:val="20"/>
          <w:color w:val="auto"/>
        </w:rPr>
      </w:pPr>
      <w:r>
        <w:rPr>
          <w:rFonts w:ascii="Arial" w:cs="Arial" w:eastAsia="Arial" w:hAnsi="Arial"/>
          <w:sz w:val="16"/>
          <w:szCs w:val="16"/>
          <w:b w:val="1"/>
          <w:bCs w:val="1"/>
          <w:color w:val="auto"/>
        </w:rPr>
        <w:t>Jay K. Grewal Martin A. Lambert Timothy O. Wall</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2</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Finance and Investment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hanging="192"/>
        <w:spacing w:after="0" w:line="275" w:lineRule="auto"/>
        <w:tabs>
          <w:tab w:leader="none" w:pos="170" w:val="left"/>
        </w:tabs>
        <w:numPr>
          <w:ilvl w:val="0"/>
          <w:numId w:val="27"/>
        </w:numPr>
        <w:rPr>
          <w:rFonts w:ascii="Arial" w:cs="Arial" w:eastAsia="Arial" w:hAnsi="Arial"/>
          <w:sz w:val="16"/>
          <w:szCs w:val="16"/>
          <w:color w:val="006DB6"/>
        </w:rPr>
      </w:pPr>
      <w:r>
        <w:rPr>
          <w:rFonts w:ascii="Arial" w:cs="Arial" w:eastAsia="Arial" w:hAnsi="Arial"/>
          <w:sz w:val="16"/>
          <w:szCs w:val="16"/>
          <w:color w:val="auto"/>
        </w:rPr>
        <w:t>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spacing w:after="0" w:line="7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 more detailed discussion of the Finance and Investment Committee’s mission, composition and responsibilities is contained in the Finance and Investment Committee charter, which is available on our website, civeo.com, by first clicking “ESG”, then selecting “Governance Documents” from the "Governance" drop-down menu, and then “Finance and Investment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76200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80"/>
            <w:col w:w="8300"/>
          </w:cols>
          <w:pgMar w:left="320" w:top="125"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Committee Composition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committee structure and membership information.</w:t>
      </w:r>
    </w:p>
    <w:p>
      <w:pPr>
        <w:spacing w:after="0" w:line="180" w:lineRule="exact"/>
        <w:rPr>
          <w:sz w:val="20"/>
          <w:szCs w:val="20"/>
          <w:color w:val="auto"/>
        </w:rPr>
      </w:pPr>
    </w:p>
    <w:tbl>
      <w:tblPr>
        <w:tblLayout w:type="fixed"/>
        <w:tblInd w:w="52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Environmental, Social,</w:t>
            </w:r>
          </w:p>
        </w:tc>
        <w:tc>
          <w:tcPr>
            <w:tcW w:w="10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Governance and</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Finance and</w:t>
            </w:r>
          </w:p>
        </w:tc>
      </w:tr>
      <w:tr>
        <w:trPr>
          <w:trHeight w:val="162"/>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Audit</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Compensation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Nominating</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Investment</w:t>
            </w:r>
          </w:p>
        </w:tc>
      </w:tr>
      <w:tr>
        <w:trPr>
          <w:trHeight w:val="186"/>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Committee</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Committee</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Committee</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Jay K.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102870"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61" w:lineRule="exact"/>
        <w:rPr>
          <w:sz w:val="20"/>
          <w:szCs w:val="20"/>
          <w:color w:val="auto"/>
        </w:rPr>
      </w:pPr>
    </w:p>
    <w:p>
      <w:pPr>
        <w:ind w:left="400"/>
        <w:spacing w:after="0"/>
        <w:tabs>
          <w:tab w:leader="none" w:pos="1891" w:val="left"/>
          <w:tab w:leader="none" w:pos="3320" w:val="left"/>
          <w:tab w:leader="none" w:pos="3720" w:val="left"/>
        </w:tabs>
        <w:rPr>
          <w:sz w:val="20"/>
          <w:szCs w:val="20"/>
          <w:color w:val="auto"/>
        </w:rPr>
      </w:pPr>
      <w:r>
        <w:rPr>
          <w:rFonts w:ascii="Arial" w:cs="Arial" w:eastAsia="Arial" w:hAnsi="Arial"/>
          <w:sz w:val="14"/>
          <w:szCs w:val="14"/>
          <w:color w:val="auto"/>
        </w:rPr>
        <w:t>Chair</w:t>
      </w:r>
      <w:r>
        <w:rPr>
          <w:sz w:val="20"/>
          <w:szCs w:val="20"/>
          <w:color w:val="auto"/>
        </w:rPr>
        <w:tab/>
      </w:r>
      <w:r>
        <w:rPr>
          <w:sz w:val="1"/>
          <w:szCs w:val="1"/>
          <w:color w:val="auto"/>
        </w:rPr>
        <w:drawing>
          <wp:inline distT="0" distB="0" distL="0" distR="0">
            <wp:extent cx="111760" cy="1117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4"/>
          <w:szCs w:val="14"/>
          <w:color w:val="auto"/>
        </w:rPr>
        <w:t xml:space="preserve">   Member</w:t>
      </w:r>
      <w:r>
        <w:rPr>
          <w:sz w:val="20"/>
          <w:szCs w:val="20"/>
          <w:color w:val="auto"/>
        </w:rPr>
        <w:tab/>
      </w:r>
      <w:r>
        <w:rPr>
          <w:rFonts w:ascii="Arial" w:cs="Arial" w:eastAsia="Arial" w:hAnsi="Arial"/>
          <w:sz w:val="14"/>
          <w:szCs w:val="14"/>
          <w:b w:val="1"/>
          <w:bCs w:val="1"/>
          <w:color w:val="auto"/>
        </w:rPr>
        <w:t>F</w:t>
      </w:r>
      <w:r>
        <w:rPr>
          <w:sz w:val="20"/>
          <w:szCs w:val="20"/>
          <w:color w:val="auto"/>
        </w:rPr>
        <w:tab/>
      </w:r>
      <w:r>
        <w:rPr>
          <w:rFonts w:ascii="Arial" w:cs="Arial" w:eastAsia="Arial" w:hAnsi="Arial"/>
          <w:sz w:val="14"/>
          <w:szCs w:val="14"/>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195580</wp:posOffset>
            </wp:positionV>
            <wp:extent cx="394335" cy="196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Directors—Practices, Policies and Processes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Commitment to Good Governance Practices</w:t>
      </w:r>
    </w:p>
    <w:p>
      <w:pPr>
        <w:sectPr>
          <w:pgSz w:w="11900" w:h="16838" w:orient="portrait"/>
          <w:cols w:equalWidth="0" w:num="1">
            <w:col w:w="11240"/>
          </w:cols>
          <w:pgMar w:left="320" w:top="125" w:right="33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28460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66160" cy="2846070"/>
                    </a:xfrm>
                    <a:prstGeom prst="rect">
                      <a:avLst/>
                    </a:prstGeom>
                    <a:noFill/>
                  </pic:spPr>
                </pic:pic>
              </a:graphicData>
            </a:graphic>
          </wp:anchor>
        </w:drawing>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31"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w:t>
      </w:r>
    </w:p>
    <w:p>
      <w:pPr>
        <w:spacing w:after="0" w:line="86" w:lineRule="exact"/>
        <w:rPr>
          <w:sz w:val="20"/>
          <w:szCs w:val="20"/>
          <w:color w:val="auto"/>
        </w:rPr>
      </w:pPr>
    </w:p>
    <w:p>
      <w:pPr>
        <w:ind w:left="420" w:right="620" w:hanging="203"/>
        <w:spacing w:after="0"/>
        <w:rPr>
          <w:sz w:val="20"/>
          <w:szCs w:val="20"/>
          <w:color w:val="auto"/>
        </w:rPr>
      </w:pPr>
      <w:r>
        <w:rPr>
          <w:sz w:val="1"/>
          <w:szCs w:val="1"/>
          <w:color w:val="auto"/>
        </w:rPr>
        <w:drawing>
          <wp:inline distT="0" distB="0" distL="0" distR="0">
            <wp:extent cx="68580" cy="5969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Commenced declassification of board of directors in 2024, with classified board be phased out by 2027</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86" w:lineRule="exact"/>
        <w:rPr>
          <w:sz w:val="20"/>
          <w:szCs w:val="20"/>
          <w:color w:val="auto"/>
        </w:rPr>
      </w:pPr>
    </w:p>
    <w:p>
      <w:pPr>
        <w:ind w:left="420" w:right="80" w:hanging="203"/>
        <w:spacing w:after="0"/>
        <w:rPr>
          <w:sz w:val="20"/>
          <w:szCs w:val="20"/>
          <w:color w:val="auto"/>
        </w:rPr>
      </w:pPr>
      <w:r>
        <w:rPr>
          <w:sz w:val="1"/>
          <w:szCs w:val="1"/>
          <w:color w:val="auto"/>
        </w:rPr>
        <w:drawing>
          <wp:inline distT="0" distB="0" distL="0" distR="0">
            <wp:extent cx="68580" cy="5969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comprised of independent directors</w:t>
      </w:r>
    </w:p>
    <w:p>
      <w:pPr>
        <w:spacing w:after="0" w:line="73"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5969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6032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86"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5969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180" w:hanging="203"/>
        <w:spacing w:after="0"/>
        <w:rPr>
          <w:sz w:val="20"/>
          <w:szCs w:val="20"/>
          <w:color w:val="auto"/>
        </w:rPr>
      </w:pPr>
      <w:r>
        <w:rPr>
          <w:sz w:val="1"/>
          <w:szCs w:val="1"/>
          <w:color w:val="auto"/>
        </w:rPr>
        <w:drawing>
          <wp:inline distT="0" distB="0" distL="0" distR="0">
            <wp:extent cx="68580" cy="5969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Oversight of ESG matters directly assigned to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8460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566160" cy="2846070"/>
                    </a:xfrm>
                    <a:prstGeom prst="rect">
                      <a:avLst/>
                    </a:prstGeom>
                    <a:noFill/>
                  </pic:spPr>
                </pic:pic>
              </a:graphicData>
            </a:graphic>
          </wp:anchor>
        </w:drawing>
      </w:r>
    </w:p>
    <w:p>
      <w:pPr>
        <w:spacing w:after="0" w:line="111"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5969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55" w:lineRule="exact"/>
        <w:rPr>
          <w:sz w:val="20"/>
          <w:szCs w:val="20"/>
          <w:color w:val="auto"/>
        </w:rPr>
      </w:pPr>
    </w:p>
    <w:p>
      <w:pPr>
        <w:ind w:left="220" w:right="200" w:hanging="203"/>
        <w:spacing w:after="0"/>
        <w:rPr>
          <w:sz w:val="20"/>
          <w:szCs w:val="20"/>
          <w:color w:val="auto"/>
        </w:rPr>
      </w:pPr>
      <w:r>
        <w:rPr>
          <w:sz w:val="1"/>
          <w:szCs w:val="1"/>
          <w:color w:val="auto"/>
        </w:rPr>
        <w:drawing>
          <wp:inline distT="0" distB="0" distL="0" distR="0">
            <wp:extent cx="68580" cy="5969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applicable to executive officers and directors</w:t>
      </w:r>
    </w:p>
    <w:p>
      <w:pPr>
        <w:spacing w:after="0" w:line="42"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5969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42"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5969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86" w:lineRule="exact"/>
        <w:rPr>
          <w:sz w:val="20"/>
          <w:szCs w:val="20"/>
          <w:color w:val="auto"/>
        </w:rPr>
      </w:pPr>
    </w:p>
    <w:p>
      <w:pPr>
        <w:ind w:left="220" w:right="540" w:hanging="203"/>
        <w:spacing w:after="0"/>
        <w:rPr>
          <w:sz w:val="20"/>
          <w:szCs w:val="20"/>
          <w:color w:val="auto"/>
        </w:rPr>
      </w:pPr>
      <w:r>
        <w:rPr>
          <w:sz w:val="1"/>
          <w:szCs w:val="1"/>
          <w:color w:val="auto"/>
        </w:rPr>
        <w:drawing>
          <wp:inline distT="0" distB="0" distL="0" distR="0">
            <wp:extent cx="68580" cy="6032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1388" w:lineRule="exact"/>
        <w:rPr>
          <w:sz w:val="20"/>
          <w:szCs w:val="20"/>
          <w:color w:val="auto"/>
        </w:rPr>
      </w:pPr>
    </w:p>
    <w:p>
      <w:pPr>
        <w:sectPr>
          <w:pgSz w:w="11900" w:h="16838" w:orient="portrait"/>
          <w:cols w:equalWidth="0" w:num="2">
            <w:col w:w="5480" w:space="340"/>
            <w:col w:w="5420"/>
          </w:cols>
          <w:pgMar w:left="320" w:top="125"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and Committee Meetings</w:t>
      </w:r>
    </w:p>
    <w:p>
      <w:pPr>
        <w:spacing w:after="0" w:line="12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During 2024, the Civeo board of directors held six meetings, the Audit Committee held seven meetings, the Compensation Committee held seven meetings, the Environmental, Social, Governance and Nominating Committee held five meetings and the Finance and Investment Committee held two meetings. In total, each director attended 100% of the total meetings of the board of directors. Additionally, each director attended 100% of the total committee meetings for which he or she served, with the exception of one director who attended 87.5% of the total committee meetings. While we understand that scheduling conflicts may arise, we expect directors to make reasonable efforts to attend the annual general meeting of shareholders, meetings of the board of directors and meetings of the committees on which they serve. All of our directors attended the 2024 annual general meeting of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Directors—Performance Evaluations</w:t>
      </w:r>
    </w:p>
    <w:p>
      <w:pPr>
        <w:spacing w:after="0" w:line="14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spacing w:after="0" w:line="277"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Orientation and Continuing Education</w:t>
      </w:r>
    </w:p>
    <w:p>
      <w:pPr>
        <w:spacing w:after="0" w:line="14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 During 2024, all directors participated in a cyber breach simulation exercise.</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Governance Guidelines</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Civeo has adopted Corporate Governance Guidelines to provide the board of directors with the necessary authority and practices in place to make decisions that are independent from management, that the board of directors adequately performs its function as the overseer of management and to align the interests of the board of directors and management with the interests of the shareholders. Civeo’s Corporate Governance Guidelines are available at civeo.com, by first clicking “ESG”, then selecting “Governance Documents” from the "Governance" drop-down menu, then “Corporate Governance Guidelines.”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Communications with Directors; Accounting and Auditing Concerns</w:t>
      </w:r>
    </w:p>
    <w:p>
      <w:pPr>
        <w:spacing w:after="0" w:line="146"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4400, Houston, Texas 77002. Any such correspondence will be forwarded by the Corporate Secretary of Civeo to the addressee without review by management.</w:t>
      </w:r>
    </w:p>
    <w:p>
      <w:pPr>
        <w:spacing w:after="0" w:line="78" w:lineRule="exact"/>
        <w:rPr>
          <w:sz w:val="20"/>
          <w:szCs w:val="20"/>
          <w:color w:val="auto"/>
        </w:rPr>
      </w:pPr>
    </w:p>
    <w:p>
      <w:pPr>
        <w:jc w:val="both"/>
        <w:ind w:right="440"/>
        <w:spacing w:after="0" w:line="286"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Certain Relationships and Related-Party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required to be disclosed under Item 404(a) of Regulation S-K since the beginning of the last fiscal year.</w:t>
      </w:r>
    </w:p>
    <w:p>
      <w:pPr>
        <w:spacing w:after="0" w:line="12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board of directors has adopted written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party has a direct or indirect material interest in the transaction. As required under the rules of the SEC, any related party transaction will be disclosed in filings we make with the SEC when required, including disclosure in our proxy statements.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153035</wp:posOffset>
            </wp:positionV>
            <wp:extent cx="394335" cy="1968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nature of the related party’s interest in the transaction;</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material terms of the transaction, including, without limitation, the amount and type of the transaction;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importance of the transaction to the related party;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importance of the transaction to us;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whether the transaction would impair the judgment of a director or executive officer to act in Civeo’s best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whether the transaction might affect the status of a director as independent under the independence standards of the NYSE;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any other matters deemed appropriate with respect to the particular transaction.</w:t>
      </w:r>
    </w:p>
    <w:p>
      <w:pPr>
        <w:spacing w:after="0" w:line="127"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spacing w:after="0" w:line="77"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56"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 Code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w:t>
      </w:r>
    </w:p>
    <w:p>
      <w:pPr>
        <w:spacing w:after="0" w:line="97" w:lineRule="exact"/>
        <w:rPr>
          <w:sz w:val="20"/>
          <w:szCs w:val="20"/>
          <w:color w:val="auto"/>
        </w:rPr>
      </w:pPr>
    </w:p>
    <w:p>
      <w:pPr>
        <w:ind w:left="200" w:right="320" w:hanging="192"/>
        <w:spacing w:after="0" w:line="299"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None of Civeo’s funds, assets or services will be used for political contributions, directly or indirectly, unless allowed by applicable foreign and U.S. law and approved in advance by our board of directors.</w:t>
      </w:r>
    </w:p>
    <w:p>
      <w:pPr>
        <w:ind w:left="200" w:right="680" w:hanging="192"/>
        <w:spacing w:after="0" w:line="304"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Any contributions by Civeo to support or oppose public referenda or similar ballot issues are only permitted with advance approval of our board of directors.</w:t>
      </w:r>
    </w:p>
    <w:p>
      <w:pPr>
        <w:spacing w:after="0" w:line="6" w:lineRule="exact"/>
        <w:rPr>
          <w:rFonts w:ascii="Arial" w:cs="Arial" w:eastAsia="Arial" w:hAnsi="Arial"/>
          <w:sz w:val="16"/>
          <w:szCs w:val="16"/>
          <w:color w:val="006DB6"/>
        </w:rPr>
      </w:pPr>
    </w:p>
    <w:p>
      <w:pPr>
        <w:ind w:left="200" w:right="120" w:hanging="192"/>
        <w:spacing w:after="0" w:line="260"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Process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non-employee directors receive compensation for their services on the board of directors. The Compensation Committee conducts annual reviews of director compensation, with assistance from its independent compensation consultant, Mercer LLC ("Mercer"), who provides market data bi-annually related to director compensation. Based on its review, the Compensation Committee makes a recommendation to the board of directors regarding the form and amount of director compensation. Director compensation should be adequate to compensate directors for their time and effort expended in satisfying their obligations. The Compensation Committee does,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forms of compensation to) a director or an organization with which the director is affiliated.</w:t>
      </w:r>
    </w:p>
    <w:p>
      <w:pPr>
        <w:spacing w:after="0" w:line="8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Directors who are also our employees do not receive a retainer or fees for service on our board of directors or any committees. Accordingly, Mr. Dodson, a director of Civeo and Civeo’s President and Chief Executive Officer, does not receive separate director compensation.</w:t>
      </w:r>
    </w:p>
    <w:p>
      <w:pPr>
        <w:spacing w:after="0" w:line="6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table below summarizes the components of 2024 compensation paid by Civeo to non-employee directors, which remained unchanged from 2023 compensation levels: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Component</w:t>
            </w:r>
          </w:p>
        </w:tc>
        <w:tc>
          <w:tcPr>
            <w:tcW w:w="7660" w:type="dxa"/>
            <w:vAlign w:val="bottom"/>
            <w:tcBorders>
              <w:bottom w:val="single" w:sz="8" w:color="006DB6"/>
            </w:tcBorders>
          </w:tcPr>
          <w:p>
            <w:pPr>
              <w:ind w:left="400"/>
              <w:spacing w:after="0"/>
              <w:rPr>
                <w:sz w:val="20"/>
                <w:szCs w:val="20"/>
                <w:color w:val="auto"/>
              </w:rPr>
            </w:pPr>
            <w:r>
              <w:rPr>
                <w:rFonts w:ascii="Arial" w:cs="Arial" w:eastAsia="Arial" w:hAnsi="Arial"/>
                <w:sz w:val="14"/>
                <w:szCs w:val="14"/>
                <w:b w:val="1"/>
                <w:bCs w:val="1"/>
                <w:color w:val="706F6F"/>
              </w:rPr>
              <w:t>Non-Employee Director Compensation</w:t>
            </w: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Annual Cash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$75,000</w:t>
            </w: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Annual Equity Retainer </w:t>
            </w:r>
            <w:r>
              <w:rPr>
                <w:rFonts w:ascii="Arial" w:cs="Arial" w:eastAsia="Arial" w:hAnsi="Arial"/>
                <w:sz w:val="21"/>
                <w:szCs w:val="21"/>
                <w:color w:val="auto"/>
                <w:vertAlign w:val="superscript"/>
              </w:rPr>
              <w:t>(1)</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Restricted share award equal in value to $125,000 that vest annually</w:t>
            </w: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Chair of the Board Annual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$85,000 - 50% in cash and 50% in common shares that vest annually</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Committee Chair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$27,500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$23,000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$23,000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$18,000</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Committee Member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$18,000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$13,000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$13,000</w:t>
            </w:r>
          </w:p>
        </w:tc>
      </w:tr>
      <w:tr>
        <w:trPr>
          <w:trHeight w:val="224"/>
        </w:trPr>
        <w:tc>
          <w:tcPr>
            <w:tcW w:w="348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Finance and Investment - $13,000</w:t>
            </w:r>
          </w:p>
        </w:tc>
      </w:tr>
    </w:tbl>
    <w:p>
      <w:pPr>
        <w:spacing w:after="0" w:line="188" w:lineRule="exact"/>
        <w:rPr>
          <w:sz w:val="20"/>
          <w:szCs w:val="20"/>
          <w:color w:val="auto"/>
        </w:rPr>
      </w:pPr>
    </w:p>
    <w:p>
      <w:pPr>
        <w:ind w:left="660" w:right="20" w:hanging="328"/>
        <w:spacing w:after="0" w:line="246" w:lineRule="auto"/>
        <w:tabs>
          <w:tab w:leader="none" w:pos="653"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Newly elected non-employee directors receive restricted share awards valued at $125,000 after their initial appointment. In addition, non-employee directors who have served for not less than six months receive additional restricted share awards valued at $125,000 at each annual shareholders’ meeting after which they continue to serve. The restricted share awards are valued on the award date based on the closing share price on the award date and vest on the earlier of one year from the date of grant or the next annual shareholders’ meeting date following the date of grant, subject to continued service through such date.</w:t>
      </w:r>
    </w:p>
    <w:p>
      <w:pPr>
        <w:spacing w:after="0" w:line="24" w:lineRule="exact"/>
        <w:rPr>
          <w:rFonts w:ascii="Arial" w:cs="Arial" w:eastAsia="Arial" w:hAnsi="Arial"/>
          <w:sz w:val="21"/>
          <w:szCs w:val="21"/>
          <w:color w:val="auto"/>
          <w:vertAlign w:val="superscript"/>
        </w:rPr>
      </w:pPr>
    </w:p>
    <w:p>
      <w:pPr>
        <w:ind w:left="660" w:right="60"/>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Our non-employee directors may elect to receive their annual restricted share award in the form of deferred shares, which vest on the same terms as non-deferred restricted share awards; however, settlement of such deferred shares is delayed until the director’s separation from service.</w:t>
      </w:r>
    </w:p>
    <w:p>
      <w:pPr>
        <w:spacing w:after="0" w:line="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6089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pacing w:after="0" w:line="261" w:lineRule="exact"/>
        <w:rPr>
          <w:sz w:val="20"/>
          <w:szCs w:val="20"/>
          <w:color w:val="auto"/>
        </w:rPr>
      </w:pPr>
    </w:p>
    <w:p>
      <w:pPr>
        <w:ind w:left="20" w:right="120"/>
        <w:spacing w:after="0" w:line="275" w:lineRule="auto"/>
        <w:rPr>
          <w:sz w:val="20"/>
          <w:szCs w:val="20"/>
          <w:color w:val="auto"/>
        </w:rPr>
      </w:pPr>
      <w:r>
        <w:rPr>
          <w:rFonts w:ascii="Arial" w:cs="Arial" w:eastAsia="Arial" w:hAnsi="Arial"/>
          <w:sz w:val="16"/>
          <w:szCs w:val="16"/>
          <w:color w:val="auto"/>
        </w:rPr>
        <w:t>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director compliance with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1073150</wp:posOffset>
            </wp:positionV>
            <wp:extent cx="394335" cy="1968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Compensation Table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paid by Civeo to non-employee directors for the fiscal year ended December 31, 2024:</w:t>
      </w:r>
    </w:p>
    <w:p>
      <w:pPr>
        <w:spacing w:after="0" w:line="280"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30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706F6F"/>
              </w:rPr>
              <w:t>Fees Earned or</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706F6F"/>
              </w:rPr>
              <w:t>Stock</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706F6F"/>
              </w:rPr>
              <w:t>Name</w:t>
            </w:r>
          </w:p>
        </w:tc>
        <w:tc>
          <w:tcPr>
            <w:tcW w:w="3060" w:type="dxa"/>
            <w:vAlign w:val="bottom"/>
            <w:gridSpan w:val="2"/>
            <w:vMerge w:val="continue"/>
          </w:tcPr>
          <w:p>
            <w:pPr>
              <w:spacing w:after="0"/>
              <w:rPr>
                <w:sz w:val="12"/>
                <w:szCs w:val="12"/>
                <w:color w:val="auto"/>
              </w:rPr>
            </w:pPr>
          </w:p>
        </w:tc>
        <w:tc>
          <w:tcPr>
            <w:tcW w:w="13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706F6F"/>
              </w:rPr>
              <w:t xml:space="preserve">Awards </w:t>
            </w:r>
            <w:r>
              <w:rPr>
                <w:rFonts w:ascii="Arial" w:cs="Arial" w:eastAsia="Arial" w:hAnsi="Arial"/>
                <w:sz w:val="17"/>
                <w:szCs w:val="17"/>
                <w:b w:val="1"/>
                <w:bCs w:val="1"/>
                <w:color w:val="706F6F"/>
                <w:vertAlign w:val="superscript"/>
              </w:rPr>
              <w:t>(1)</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706F6F"/>
              </w:rPr>
              <w:t>Total</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006DB6"/>
            </w:tcBorders>
            <w:vMerge w:val="continue"/>
          </w:tcPr>
          <w:p>
            <w:pPr>
              <w:spacing w:after="0"/>
              <w:rPr>
                <w:sz w:val="15"/>
                <w:szCs w:val="15"/>
                <w:color w:val="auto"/>
              </w:rPr>
            </w:pPr>
          </w:p>
        </w:tc>
        <w:tc>
          <w:tcPr>
            <w:tcW w:w="3060" w:type="dxa"/>
            <w:vAlign w:val="bottom"/>
            <w:tcBorders>
              <w:bottom w:val="single" w:sz="8" w:color="006DB6"/>
            </w:tcBorders>
            <w:gridSpan w:val="2"/>
          </w:tcPr>
          <w:p>
            <w:pPr>
              <w:ind w:left="1780"/>
              <w:spacing w:after="0"/>
              <w:rPr>
                <w:sz w:val="20"/>
                <w:szCs w:val="20"/>
                <w:color w:val="auto"/>
              </w:rPr>
            </w:pPr>
            <w:r>
              <w:rPr>
                <w:rFonts w:ascii="Arial" w:cs="Arial" w:eastAsia="Arial" w:hAnsi="Arial"/>
                <w:sz w:val="14"/>
                <w:szCs w:val="14"/>
                <w:b w:val="1"/>
                <w:bCs w:val="1"/>
                <w:color w:val="706F6F"/>
              </w:rPr>
              <w:t>Paid in Cash</w:t>
            </w:r>
          </w:p>
        </w:tc>
        <w:tc>
          <w:tcPr>
            <w:tcW w:w="580" w:type="dxa"/>
            <w:vAlign w:val="bottom"/>
            <w:tcBorders>
              <w:bottom w:val="single" w:sz="8" w:color="006DB6"/>
            </w:tcBorders>
          </w:tcPr>
          <w:p>
            <w:pPr>
              <w:spacing w:after="0"/>
              <w:rPr>
                <w:sz w:val="15"/>
                <w:szCs w:val="15"/>
                <w:color w:val="auto"/>
              </w:rPr>
            </w:pPr>
          </w:p>
        </w:tc>
        <w:tc>
          <w:tcPr>
            <w:tcW w:w="760" w:type="dxa"/>
            <w:vAlign w:val="bottom"/>
            <w:tcBorders>
              <w:bottom w:val="single" w:sz="8" w:color="006DB6"/>
            </w:tcBorders>
          </w:tcPr>
          <w:p>
            <w:pPr>
              <w:spacing w:after="0"/>
              <w:rPr>
                <w:sz w:val="15"/>
                <w:szCs w:val="15"/>
                <w:color w:val="auto"/>
              </w:rPr>
            </w:pPr>
          </w:p>
        </w:tc>
        <w:tc>
          <w:tcPr>
            <w:tcW w:w="540" w:type="dxa"/>
            <w:vAlign w:val="bottom"/>
            <w:tcBorders>
              <w:bottom w:val="single" w:sz="8" w:color="006DB6"/>
            </w:tcBorders>
            <w:vMerge w:val="continue"/>
          </w:tcPr>
          <w:p>
            <w:pPr>
              <w:spacing w:after="0"/>
              <w:rPr>
                <w:sz w:val="15"/>
                <w:szCs w:val="15"/>
                <w:color w:val="auto"/>
              </w:rPr>
            </w:pPr>
          </w:p>
        </w:tc>
        <w:tc>
          <w:tcPr>
            <w:tcW w:w="840" w:type="dxa"/>
            <w:vAlign w:val="bottom"/>
            <w:tcBorders>
              <w:bottom w:val="single" w:sz="8" w:color="006DB6"/>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Richard A. Navarre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130,500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167,508</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298,008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 Ronald Blankenship</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236,012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Jay K. Grewal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231,012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Martin A. Lambert</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236,012</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Michael Montelongo</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226,012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Constance B. Moore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115,500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240,512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Charles Szalkowski</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241,012</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Timothy O. Wall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125,012</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226,012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60" w:hanging="252"/>
        <w:spacing w:after="0" w:line="248" w:lineRule="auto"/>
        <w:tabs>
          <w:tab w:leader="none" w:pos="264"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The amounts in the “Stock Awards” column reflect the aggregate grant date fair value of restricted share awards granted in 2024 calculated in accordance with Financial Accounting Standards Boards, Accounting Standards Codification, Topic 718, ("FASB ASC Topic 718—Stock Compensation"). See Note 18 to the notes to Civeo's consolidated financial statements included in its Annual Report on Form 10-K for the fiscal year ended December 31, 2024 for information regarding the assumptions relied upon for this calculation. Pursuant to SEC rules,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stock award total includes $42,496 in restricted shares as part of his fees as Chair of the Board, which will vest at the annual shareholder's meeting.</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aggregate number of unvested restricted shares held by each of the non-employee directors were as follows:</w:t>
      </w:r>
    </w:p>
    <w:p>
      <w:pPr>
        <w:sectPr>
          <w:pgSz w:w="11900" w:h="16838" w:orient="portrait"/>
          <w:cols w:equalWidth="0" w:num="1">
            <w:col w:w="11240"/>
          </w:cols>
          <w:pgMar w:left="320" w:top="125"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Stock Awards</w:t>
            </w:r>
          </w:p>
        </w:tc>
        <w:tc>
          <w:tcPr>
            <w:tcW w:w="280" w:type="dxa"/>
            <w:vAlign w:val="bottom"/>
            <w:tcBorders>
              <w:bottom w:val="single" w:sz="8" w:color="706F6F"/>
            </w:tcBorders>
          </w:tcPr>
          <w:p>
            <w:pPr>
              <w:spacing w:after="0"/>
              <w:rPr>
                <w:sz w:val="17"/>
                <w:szCs w:val="17"/>
                <w:color w:val="auto"/>
              </w:rPr>
            </w:pPr>
          </w:p>
        </w:tc>
      </w:tr>
      <w:tr>
        <w:trPr>
          <w:trHeight w:val="239"/>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6,768</w:t>
            </w:r>
          </w:p>
        </w:tc>
        <w:tc>
          <w:tcPr>
            <w:tcW w:w="280" w:type="dxa"/>
            <w:vAlign w:val="bottom"/>
            <w:tcBorders>
              <w:bottom w:val="single" w:sz="8" w:color="706F6F"/>
            </w:tcBorders>
          </w:tcPr>
          <w:p>
            <w:pPr>
              <w:spacing w:after="0"/>
              <w:rPr>
                <w:sz w:val="20"/>
                <w:szCs w:val="20"/>
                <w:color w:val="auto"/>
              </w:rPr>
            </w:pP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5,051</w:t>
            </w:r>
          </w:p>
        </w:tc>
        <w:tc>
          <w:tcPr>
            <w:tcW w:w="280" w:type="dxa"/>
            <w:vAlign w:val="bottom"/>
            <w:tcBorders>
              <w:bottom w:val="single" w:sz="8" w:color="706F6F"/>
            </w:tcBorders>
          </w:tcPr>
          <w:p>
            <w:pPr>
              <w:spacing w:after="0"/>
              <w:rPr>
                <w:sz w:val="20"/>
                <w:szCs w:val="20"/>
                <w:color w:val="auto"/>
              </w:rPr>
            </w:pPr>
          </w:p>
        </w:tc>
      </w:tr>
      <w:tr>
        <w:trPr>
          <w:trHeight w:val="236"/>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5,051</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auto"/>
                <w:w w:val="95"/>
              </w:rPr>
              <w:t>*</w:t>
            </w: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5,051</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auto"/>
                <w:w w:val="95"/>
              </w:rPr>
              <w:t>*</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Stock Awards</w:t>
            </w:r>
          </w:p>
        </w:tc>
        <w:tc>
          <w:tcPr>
            <w:tcW w:w="200" w:type="dxa"/>
            <w:vAlign w:val="bottom"/>
            <w:tcBorders>
              <w:bottom w:val="single" w:sz="8" w:color="706F6F"/>
            </w:tcBorders>
          </w:tcPr>
          <w:p>
            <w:pPr>
              <w:spacing w:after="0"/>
              <w:rPr>
                <w:sz w:val="17"/>
                <w:szCs w:val="17"/>
                <w:color w:val="auto"/>
              </w:rPr>
            </w:pPr>
          </w:p>
        </w:tc>
      </w:tr>
      <w:tr>
        <w:trPr>
          <w:trHeight w:val="239"/>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5,051</w:t>
            </w:r>
          </w:p>
        </w:tc>
        <w:tc>
          <w:tcPr>
            <w:tcW w:w="200" w:type="dxa"/>
            <w:vAlign w:val="bottom"/>
            <w:tcBorders>
              <w:bottom w:val="single" w:sz="8" w:color="706F6F"/>
            </w:tcBorders>
          </w:tcPr>
          <w:p>
            <w:pPr>
              <w:jc w:val="right"/>
              <w:ind w:right="39"/>
              <w:spacing w:after="0"/>
              <w:rPr>
                <w:sz w:val="20"/>
                <w:szCs w:val="20"/>
                <w:color w:val="auto"/>
              </w:rPr>
            </w:pPr>
            <w:r>
              <w:rPr>
                <w:rFonts w:ascii="Arial" w:cs="Arial" w:eastAsia="Arial" w:hAnsi="Arial"/>
                <w:sz w:val="16"/>
                <w:szCs w:val="16"/>
                <w:b w:val="1"/>
                <w:bCs w:val="1"/>
                <w:color w:val="auto"/>
                <w:w w:val="95"/>
              </w:rPr>
              <w:t>*</w:t>
            </w: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5,051</w:t>
            </w:r>
          </w:p>
        </w:tc>
        <w:tc>
          <w:tcPr>
            <w:tcW w:w="200" w:type="dxa"/>
            <w:vAlign w:val="bottom"/>
            <w:tcBorders>
              <w:bottom w:val="single" w:sz="8" w:color="706F6F"/>
            </w:tcBorders>
          </w:tcPr>
          <w:p>
            <w:pPr>
              <w:spacing w:after="0"/>
              <w:rPr>
                <w:sz w:val="20"/>
                <w:szCs w:val="20"/>
                <w:color w:val="auto"/>
              </w:rPr>
            </w:pPr>
          </w:p>
        </w:tc>
      </w:tr>
      <w:tr>
        <w:trPr>
          <w:trHeight w:val="236"/>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5,051</w:t>
            </w:r>
          </w:p>
        </w:tc>
        <w:tc>
          <w:tcPr>
            <w:tcW w:w="200" w:type="dxa"/>
            <w:vAlign w:val="bottom"/>
            <w:tcBorders>
              <w:bottom w:val="single" w:sz="8" w:color="706F6F"/>
            </w:tcBorders>
          </w:tcPr>
          <w:p>
            <w:pPr>
              <w:spacing w:after="0"/>
              <w:rPr>
                <w:sz w:val="20"/>
                <w:szCs w:val="20"/>
                <w:color w:val="auto"/>
              </w:rPr>
            </w:pP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5,051</w:t>
            </w:r>
          </w:p>
        </w:tc>
        <w:tc>
          <w:tcPr>
            <w:tcW w:w="200" w:type="dxa"/>
            <w:vAlign w:val="bottom"/>
            <w:tcBorders>
              <w:bottom w:val="single" w:sz="8" w:color="706F6F"/>
            </w:tcBorders>
          </w:tcPr>
          <w:p>
            <w:pPr>
              <w:spacing w:after="0"/>
              <w:rPr>
                <w:sz w:val="20"/>
                <w:szCs w:val="20"/>
                <w:color w:val="auto"/>
              </w:rPr>
            </w:pPr>
          </w:p>
        </w:tc>
      </w:tr>
    </w:tbl>
    <w:p>
      <w:pPr>
        <w:spacing w:after="0" w:line="193" w:lineRule="exact"/>
        <w:rPr>
          <w:sz w:val="20"/>
          <w:szCs w:val="20"/>
          <w:color w:val="auto"/>
        </w:rPr>
      </w:pPr>
    </w:p>
    <w:p>
      <w:pPr>
        <w:sectPr>
          <w:pgSz w:w="11900" w:h="16838" w:orient="portrait"/>
          <w:cols w:equalWidth="0" w:num="2">
            <w:col w:w="4980" w:space="260"/>
            <w:col w:w="6000"/>
          </w:cols>
          <w:pgMar w:left="320" w:top="125" w:right="339" w:bottom="1440" w:gutter="0" w:footer="0" w:header="0"/>
          <w:type w:val="continuous"/>
        </w:sectPr>
      </w:pPr>
    </w:p>
    <w:p>
      <w:pPr>
        <w:ind w:left="640" w:hanging="308"/>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Deferred shares to be settled upon separation from service.</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 Ownership Guidelines</w:t>
      </w:r>
    </w:p>
    <w:p>
      <w:pPr>
        <w:spacing w:after="0" w:line="14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Non-employee directors are subject to Civeo’s share ownership guidelines pursuant to which they are expected to retain shares from restricted share awards, after payment of applicable taxes, valued at five times the annual retainer amount (determined as of the date the director is first subject to the guidelines) until retirement or otherwise leaving the board of directors. Unvested restricted shares and deferred shares are counted for purposes of this ownership threshold. Once the ownership guideline is established for a director and communicated, the director has five years to attain the targeted level of ownership. All directors have either attained target level ownership or are expected to attain the targeted level of ownership within the five-year period for compliance.</w:t>
      </w:r>
    </w:p>
    <w:p>
      <w:pPr>
        <w:spacing w:after="0" w:line="8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17, 2025, all non-employee directors have attained the target level ownership and are in compliance with the guidelines as demonstrated in the chart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2440" w:type="dxa"/>
            <w:vAlign w:val="bottom"/>
            <w:tcBorders>
              <w:bottom w:val="single" w:sz="8" w:color="006DB6"/>
            </w:tcBorders>
            <w:gridSpan w:val="2"/>
          </w:tcPr>
          <w:p>
            <w:pPr>
              <w:ind w:left="900"/>
              <w:spacing w:after="0"/>
              <w:rPr>
                <w:sz w:val="20"/>
                <w:szCs w:val="20"/>
                <w:color w:val="auto"/>
              </w:rPr>
            </w:pPr>
            <w:r>
              <w:rPr>
                <w:rFonts w:ascii="Arial" w:cs="Arial" w:eastAsia="Arial" w:hAnsi="Arial"/>
                <w:sz w:val="14"/>
                <w:szCs w:val="14"/>
                <w:b w:val="1"/>
                <w:bCs w:val="1"/>
                <w:color w:val="706F6F"/>
              </w:rPr>
              <w:t>Ownership in Shares</w:t>
            </w:r>
          </w:p>
        </w:tc>
        <w:tc>
          <w:tcPr>
            <w:tcW w:w="820" w:type="dxa"/>
            <w:vAlign w:val="bottom"/>
            <w:tcBorders>
              <w:bottom w:val="single" w:sz="8" w:color="006DB6"/>
            </w:tcBorders>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Compliance</w:t>
            </w:r>
          </w:p>
        </w:tc>
        <w:tc>
          <w:tcPr>
            <w:tcW w:w="0" w:type="dxa"/>
            <w:vAlign w:val="bottom"/>
          </w:tcPr>
          <w:p>
            <w:pPr>
              <w:spacing w:after="0"/>
              <w:rPr>
                <w:sz w:val="1"/>
                <w:szCs w:val="1"/>
                <w:color w:val="auto"/>
              </w:rPr>
            </w:pPr>
          </w:p>
        </w:tc>
      </w:tr>
      <w:tr>
        <w:trPr>
          <w:trHeight w:val="16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8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706F6F"/>
              </w:rPr>
              <w:t>Target Ownership</w:t>
            </w:r>
          </w:p>
        </w:tc>
        <w:tc>
          <w:tcPr>
            <w:tcW w:w="22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706F6F"/>
              </w:rPr>
              <w:t>Current Holdings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706F6F"/>
              </w:rPr>
              <w:t>Y/N</w:t>
            </w:r>
          </w:p>
        </w:tc>
        <w:tc>
          <w:tcPr>
            <w:tcW w:w="0" w:type="dxa"/>
            <w:vAlign w:val="bottom"/>
          </w:tcPr>
          <w:p>
            <w:pPr>
              <w:spacing w:after="0"/>
              <w:rPr>
                <w:sz w:val="1"/>
                <w:szCs w:val="1"/>
                <w:color w:val="auto"/>
              </w:rPr>
            </w:pPr>
          </w:p>
        </w:tc>
      </w:tr>
      <w:tr>
        <w:trPr>
          <w:trHeight w:val="75"/>
        </w:trPr>
        <w:tc>
          <w:tcPr>
            <w:tcW w:w="6700" w:type="dxa"/>
            <w:vAlign w:val="bottom"/>
            <w:tcBorders>
              <w:bottom w:val="single" w:sz="8" w:color="006DB6"/>
            </w:tcBorders>
            <w:vMerge w:val="continue"/>
          </w:tcPr>
          <w:p>
            <w:pPr>
              <w:spacing w:after="0"/>
              <w:rPr>
                <w:sz w:val="6"/>
                <w:szCs w:val="6"/>
                <w:color w:val="auto"/>
              </w:rPr>
            </w:pPr>
          </w:p>
        </w:tc>
        <w:tc>
          <w:tcPr>
            <w:tcW w:w="1820" w:type="dxa"/>
            <w:vAlign w:val="bottom"/>
            <w:tcBorders>
              <w:bottom w:val="single" w:sz="8" w:color="006DB6"/>
            </w:tcBorders>
            <w:vMerge w:val="continue"/>
          </w:tcPr>
          <w:p>
            <w:pPr>
              <w:spacing w:after="0"/>
              <w:rPr>
                <w:sz w:val="6"/>
                <w:szCs w:val="6"/>
                <w:color w:val="auto"/>
              </w:rPr>
            </w:pPr>
          </w:p>
        </w:tc>
        <w:tc>
          <w:tcPr>
            <w:tcW w:w="2200" w:type="dxa"/>
            <w:vAlign w:val="bottom"/>
            <w:tcBorders>
              <w:bottom w:val="single" w:sz="8" w:color="006DB6"/>
            </w:tcBorders>
            <w:gridSpan w:val="3"/>
            <w:vMerge w:val="continue"/>
          </w:tcPr>
          <w:p>
            <w:pPr>
              <w:spacing w:after="0"/>
              <w:rPr>
                <w:sz w:val="6"/>
                <w:szCs w:val="6"/>
                <w:color w:val="auto"/>
              </w:rPr>
            </w:pPr>
          </w:p>
        </w:tc>
        <w:tc>
          <w:tcPr>
            <w:tcW w:w="520" w:type="dxa"/>
            <w:vAlign w:val="bottom"/>
            <w:tcBorders>
              <w:bottom w:val="single" w:sz="8" w:color="006DB6"/>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58,635</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44,801</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17,084</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21,487</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60,157</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17,084</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21,487</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40,338</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44,842</w:t>
            </w: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b w:val="1"/>
                <w:bCs w:val="1"/>
                <w:color w:val="006DB6"/>
              </w:rPr>
              <w:t>Timothy O. Wall</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14,205</w:t>
            </w: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36,859</w:t>
            </w:r>
          </w:p>
        </w:tc>
        <w:tc>
          <w:tcPr>
            <w:tcW w:w="7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32"/>
        </w:trPr>
        <w:tc>
          <w:tcPr>
            <w:tcW w:w="6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2025 Proxy Statement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319"/>
        </w:trPr>
        <w:tc>
          <w:tcPr>
            <w:tcW w:w="6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45"/>
          <w:szCs w:val="45"/>
          <w:b w:val="1"/>
          <w:bCs w:val="1"/>
          <w:color w:val="006DB6"/>
        </w:rPr>
        <w:t>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leadership team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59690</wp:posOffset>
            </wp:positionV>
            <wp:extent cx="5837555" cy="5568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37555" cy="556895"/>
                    </a:xfrm>
                    <a:prstGeom prst="rect">
                      <a:avLst/>
                    </a:prstGeom>
                    <a:noFill/>
                  </pic:spPr>
                </pic:pic>
              </a:graphicData>
            </a:graphic>
          </wp:anchor>
        </w:drawing>
      </w:r>
    </w:p>
    <w:p>
      <w:pPr>
        <w:spacing w:after="0" w:line="292"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Bradley J. Dodson, </w:t>
      </w:r>
      <w:r>
        <w:rPr>
          <w:rFonts w:ascii="Arial" w:cs="Arial" w:eastAsia="Arial" w:hAnsi="Arial"/>
          <w:sz w:val="25"/>
          <w:szCs w:val="25"/>
          <w:color w:val="006DB6"/>
        </w:rPr>
        <w:t>51</w:t>
      </w:r>
    </w:p>
    <w:p>
      <w:pPr>
        <w:spacing w:after="0" w:line="49"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1062990" cy="1045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62990" cy="1045845"/>
                    </a:xfrm>
                    <a:prstGeom prst="rect">
                      <a:avLst/>
                    </a:prstGeom>
                    <a:noFill/>
                  </pic:spPr>
                </pic:pic>
              </a:graphicData>
            </a:graphic>
          </wp:anchor>
        </w:drawing>
      </w:r>
    </w:p>
    <w:p>
      <w:pPr>
        <w:spacing w:after="0" w:line="347"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left="2060" w:right="60"/>
        <w:spacing w:after="0" w:line="256" w:lineRule="auto"/>
        <w:rPr>
          <w:sz w:val="20"/>
          <w:szCs w:val="20"/>
          <w:color w:val="auto"/>
        </w:rPr>
      </w:pPr>
      <w:r>
        <w:rPr>
          <w:rFonts w:ascii="Arial" w:cs="Arial" w:eastAsia="Arial" w:hAnsi="Arial"/>
          <w:sz w:val="16"/>
          <w:szCs w:val="16"/>
          <w:color w:val="auto"/>
        </w:rPr>
        <w:t>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4" w:lineRule="exact"/>
        <w:rPr>
          <w:sz w:val="20"/>
          <w:szCs w:val="20"/>
          <w:color w:val="auto"/>
        </w:rPr>
      </w:pPr>
    </w:p>
    <w:p>
      <w:pPr>
        <w:ind w:left="2060" w:right="740"/>
        <w:spacing w:after="0" w:line="286"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390525</wp:posOffset>
            </wp:positionV>
            <wp:extent cx="5837555" cy="5568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3755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E. Collin Gerry, </w:t>
      </w:r>
      <w:r>
        <w:rPr>
          <w:rFonts w:ascii="Arial" w:cs="Arial" w:eastAsia="Arial" w:hAnsi="Arial"/>
          <w:sz w:val="25"/>
          <w:szCs w:val="25"/>
          <w:color w:val="006DB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951230" cy="10204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51230" cy="1020445"/>
                    </a:xfrm>
                    <a:prstGeom prst="rect">
                      <a:avLst/>
                    </a:prstGeom>
                    <a:noFill/>
                  </pic:spPr>
                </pic:pic>
              </a:graphicData>
            </a:graphic>
          </wp:anchor>
        </w:drawing>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Senior Vice President, Chief Financial Officer and Treasurer</w:t>
      </w:r>
    </w:p>
    <w:p>
      <w:pPr>
        <w:spacing w:after="0" w:line="381"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right="60"/>
        <w:spacing w:after="0" w:line="260" w:lineRule="auto"/>
        <w:rPr>
          <w:sz w:val="20"/>
          <w:szCs w:val="20"/>
          <w:color w:val="auto"/>
        </w:rPr>
      </w:pPr>
      <w:r>
        <w:rPr>
          <w:rFonts w:ascii="Arial" w:cs="Arial" w:eastAsia="Arial" w:hAnsi="Arial"/>
          <w:sz w:val="16"/>
          <w:szCs w:val="16"/>
          <w:color w:val="auto"/>
        </w:rPr>
        <w:t>E. Collin Gerry has served as the Senior Vice President, Chief Financial Officer, and Treasurer since August 2024. Prior to this appointment, Mr. Gerry held several executive positions with Civeo since May 2014, including serving as Senior Vice President of Canadian Operations from May 2020 to July 2024, and Vice President of Corporate and Business Development from September 2016 to May 2020. Prior to joining Civeo, Mr. Gerry served as Senior Vice President within the equity research department of Raymond James.</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Mr. Gerry holds a Bachelor of Business Administration degree from The University of Texas at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329565</wp:posOffset>
            </wp:positionV>
            <wp:extent cx="5837555" cy="557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375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Andrew S. Fraser, </w:t>
      </w:r>
      <w:r>
        <w:rPr>
          <w:rFonts w:ascii="Arial" w:cs="Arial" w:eastAsia="Arial" w:hAnsi="Arial"/>
          <w:sz w:val="25"/>
          <w:szCs w:val="25"/>
          <w:color w:val="006DB6"/>
        </w:rPr>
        <w:t>64</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Senior Vice President,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199390</wp:posOffset>
            </wp:positionV>
            <wp:extent cx="951230" cy="8572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51230" cy="857250"/>
                    </a:xfrm>
                    <a:prstGeom prst="rect">
                      <a:avLst/>
                    </a:prstGeom>
                    <a:noFill/>
                  </pic:spPr>
                </pic:pic>
              </a:graphicData>
            </a:graphic>
          </wp:anchor>
        </w:drawing>
      </w:r>
    </w:p>
    <w:p>
      <w:pPr>
        <w:spacing w:after="0" w:line="361"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spacing w:after="0" w:line="255" w:lineRule="auto"/>
        <w:rPr>
          <w:sz w:val="20"/>
          <w:szCs w:val="20"/>
          <w:color w:val="auto"/>
        </w:rPr>
      </w:pPr>
      <w:r>
        <w:rPr>
          <w:rFonts w:ascii="Arial" w:cs="Arial" w:eastAsia="Arial" w:hAnsi="Arial"/>
          <w:sz w:val="16"/>
          <w:szCs w:val="16"/>
          <w:color w:val="auto"/>
        </w:rPr>
        <w:t>Andrew S. Fraser has served as the Senior Vice President, Canada since August 2024. Prior to his appointment, Mr. Fraser was CEO and Executive Chair of NCSG Crane and Heavy Haul from November 2020 to March 2022, after serving as President and CEO from January 2019 to November 2020. Mr. Fraser previously served as the CEO of Camex Equipment Sales and Rentals from October 2016 to November 2018. Prior to joining Camex Equipment Sales and Rentals, Mr. Fraser spent 30 years at Finning International, where he held a variety of executive roles across the company’s Canadian and International operations. Over the past 15 years, Mr. Fraser has also served as a director on various boards, both locally and internationally, in energy, manufacturing and distribution.</w:t>
      </w:r>
    </w:p>
    <w:p>
      <w:pPr>
        <w:spacing w:after="0" w:line="87" w:lineRule="exact"/>
        <w:rPr>
          <w:sz w:val="20"/>
          <w:szCs w:val="20"/>
          <w:color w:val="auto"/>
        </w:rPr>
      </w:pPr>
    </w:p>
    <w:p>
      <w:pPr>
        <w:ind w:left="2060"/>
        <w:spacing w:after="0" w:line="275" w:lineRule="auto"/>
        <w:rPr>
          <w:sz w:val="20"/>
          <w:szCs w:val="20"/>
          <w:color w:val="auto"/>
        </w:rPr>
      </w:pPr>
      <w:r>
        <w:rPr>
          <w:rFonts w:ascii="Arial" w:cs="Arial" w:eastAsia="Arial" w:hAnsi="Arial"/>
          <w:sz w:val="16"/>
          <w:szCs w:val="16"/>
          <w:color w:val="auto"/>
        </w:rPr>
        <w:t>Mr. Fraser holds an M.B.A. with a major in Project Research in Culture Change during Mergers and Acquisitions from Royal Roads University in Victoria, BC and a B.A. in Economics from Wilfrid Laurier University in Waterloo, Ontario, where he majored in International Trade Theory.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464820</wp:posOffset>
            </wp:positionV>
            <wp:extent cx="394335" cy="1968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006D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389255</wp:posOffset>
            </wp:positionV>
            <wp:extent cx="5837555" cy="557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375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Peter L. McCann, </w:t>
      </w:r>
      <w:r>
        <w:rPr>
          <w:rFonts w:ascii="Arial" w:cs="Arial" w:eastAsia="Arial" w:hAnsi="Arial"/>
          <w:sz w:val="25"/>
          <w:szCs w:val="25"/>
          <w:color w:val="006DB6"/>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951230" cy="8915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Senior Vice President, Australia</w:t>
      </w:r>
    </w:p>
    <w:p>
      <w:pPr>
        <w:spacing w:after="0" w:line="381"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jc w:val="both"/>
        <w:ind w:left="2060" w:right="140"/>
        <w:spacing w:after="0" w:line="264" w:lineRule="auto"/>
        <w:rPr>
          <w:sz w:val="20"/>
          <w:szCs w:val="20"/>
          <w:color w:val="auto"/>
        </w:rPr>
      </w:pPr>
      <w:r>
        <w:rPr>
          <w:rFonts w:ascii="Arial" w:cs="Arial" w:eastAsia="Arial" w:hAnsi="Arial"/>
          <w:sz w:val="16"/>
          <w:szCs w:val="16"/>
          <w:color w:val="auto"/>
        </w:rPr>
        <w:t>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w:t>
      </w:r>
    </w:p>
    <w:p>
      <w:pPr>
        <w:spacing w:after="0" w:line="65"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Mr. McCann holds a Bachelor of Commerce degree in Accountancy from the University of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415290</wp:posOffset>
            </wp:positionV>
            <wp:extent cx="5837555" cy="6261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3755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Barclay H. Brewer, </w:t>
      </w:r>
      <w:r>
        <w:rPr>
          <w:rFonts w:ascii="Arial" w:cs="Arial" w:eastAsia="Arial" w:hAnsi="Arial"/>
          <w:sz w:val="25"/>
          <w:szCs w:val="25"/>
          <w:color w:val="006DB6"/>
        </w:rPr>
        <w:t>51</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Vice President,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-40005</wp:posOffset>
            </wp:positionV>
            <wp:extent cx="960120" cy="8826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60120" cy="8826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right="140"/>
        <w:spacing w:after="0" w:line="258" w:lineRule="auto"/>
        <w:rPr>
          <w:sz w:val="20"/>
          <w:szCs w:val="20"/>
          <w:color w:val="auto"/>
        </w:rPr>
      </w:pPr>
      <w:r>
        <w:rPr>
          <w:rFonts w:ascii="Arial" w:cs="Arial" w:eastAsia="Arial" w:hAnsi="Arial"/>
          <w:sz w:val="16"/>
          <w:szCs w:val="16"/>
          <w:color w:val="auto"/>
        </w:rPr>
        <w:t>Barclay H. Brewer has served as the Vice President, Chief Accounting Officer since August 2024. Prior to his appointment, Mr. Brewer served as Interim Chief Financial Officer and Treasurer from March 2024 to July 2024 and Vice President, Corporate Controller from December 2019 to March 2024. From August 2014 to December 2019, Mr. Brewer had the role of Assistant Controller. Mr. Brewer served as Financial Planning and Reporting Manager for The Brock Group from 2012 until 2014.</w:t>
      </w:r>
    </w:p>
    <w:p>
      <w:pPr>
        <w:spacing w:after="0" w:line="84" w:lineRule="exact"/>
        <w:rPr>
          <w:sz w:val="20"/>
          <w:szCs w:val="20"/>
          <w:color w:val="auto"/>
        </w:rPr>
      </w:pPr>
    </w:p>
    <w:p>
      <w:pPr>
        <w:ind w:left="2060" w:right="240"/>
        <w:spacing w:after="0" w:line="286" w:lineRule="auto"/>
        <w:rPr>
          <w:sz w:val="20"/>
          <w:szCs w:val="20"/>
          <w:color w:val="auto"/>
        </w:rPr>
      </w:pPr>
      <w:r>
        <w:rPr>
          <w:rFonts w:ascii="Arial" w:cs="Arial" w:eastAsia="Arial" w:hAnsi="Arial"/>
          <w:sz w:val="16"/>
          <w:szCs w:val="16"/>
          <w:color w:val="auto"/>
        </w:rPr>
        <w:t>Mr. Brewer holds a M.B.A degree from Southeastern Louisiana University and a B.A. degree in Accounting and Finance from Louisiana State University.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45"/>
          <w:szCs w:val="45"/>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2</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2021 annual general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2026 annual general meeting of shareholders.</w:t>
      </w:r>
    </w:p>
    <w:p>
      <w:pPr>
        <w:spacing w:after="0" w:line="6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are requesting your nonbinding vote on the following resolution:</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“RESOLVED, that the shareholders approve, on a non-binding, advisory basis, the compensation of Civeo’s named executive officers as disclosed in Civeo’s proxy statement for its 2025 annual general meeting of shareholders, pursuant to Item 402 of Regulation S-K, including the Compensation Discussion and Analysis, the executive compensation tables and the accompanying narrative discussion.”</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an advisory resolution, our shareholders’ vote on this proposal is not binding on the board of directors or us. Decisions regarding the compensation and benefits of our named executive officers remain with our board of directors and the Compensation Committee. The Compensation Committee values the opinions of our shareholders, however, and therefore, the Compensation Committee will review the voting results on this proposal and consider the outcome when making future decisions regarding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676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328" w:lineRule="exact"/>
        <w:rPr>
          <w:sz w:val="20"/>
          <w:szCs w:val="20"/>
          <w:color w:val="auto"/>
        </w:rPr>
      </w:pPr>
    </w:p>
    <w:p>
      <w:pPr>
        <w:jc w:val="both"/>
        <w:ind w:left="160" w:right="140"/>
        <w:spacing w:after="0" w:line="266" w:lineRule="auto"/>
        <w:rPr>
          <w:sz w:val="20"/>
          <w:szCs w:val="20"/>
          <w:color w:val="auto"/>
        </w:rPr>
      </w:pPr>
      <w:r>
        <w:rPr>
          <w:rFonts w:ascii="Arial" w:cs="Arial" w:eastAsia="Arial" w:hAnsi="Arial"/>
          <w:sz w:val="16"/>
          <w:szCs w:val="16"/>
          <w:color w:val="auto"/>
        </w:rPr>
        <w:t>Civeo’s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589280</wp:posOffset>
            </wp:positionV>
            <wp:extent cx="394335" cy="1968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48"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("NEOs") for</w:t>
      </w:r>
    </w:p>
    <w:p>
      <w:pPr>
        <w:spacing w:after="0"/>
        <w:rPr>
          <w:sz w:val="20"/>
          <w:szCs w:val="20"/>
          <w:color w:val="auto"/>
        </w:rPr>
      </w:pPr>
      <w:r>
        <w:rPr>
          <w:rFonts w:ascii="Arial" w:cs="Arial" w:eastAsia="Arial" w:hAnsi="Arial"/>
          <w:sz w:val="16"/>
          <w:szCs w:val="16"/>
          <w:color w:val="auto"/>
        </w:rPr>
        <w:t>2024. Our NEOs for 2024 were:</w:t>
      </w:r>
    </w:p>
    <w:p>
      <w:pPr>
        <w:spacing w:after="0" w:line="236"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Bradley J. Dodson, President and Chief Executive Officer;</w:t>
      </w:r>
    </w:p>
    <w:p>
      <w:pPr>
        <w:spacing w:after="0" w:line="21" w:lineRule="exact"/>
        <w:rPr>
          <w:rFonts w:ascii="Arial" w:cs="Arial" w:eastAsia="Arial" w:hAnsi="Arial"/>
          <w:sz w:val="16"/>
          <w:szCs w:val="16"/>
          <w:color w:val="auto"/>
        </w:rPr>
      </w:pPr>
    </w:p>
    <w:p>
      <w:pPr>
        <w:ind w:left="640" w:hanging="308"/>
        <w:spacing w:after="0" w:line="201"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 Collin Gerry, Senior Vice President, Chief Financial Officer and Treasurer </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Peter L. McCann, Senior Vice President, Australia;</w:t>
      </w:r>
    </w:p>
    <w:p>
      <w:pPr>
        <w:spacing w:after="0" w:line="5" w:lineRule="exact"/>
        <w:rPr>
          <w:rFonts w:ascii="Arial" w:cs="Arial" w:eastAsia="Arial" w:hAnsi="Arial"/>
          <w:sz w:val="16"/>
          <w:szCs w:val="16"/>
          <w:color w:val="auto"/>
        </w:rPr>
      </w:pPr>
    </w:p>
    <w:p>
      <w:pPr>
        <w:ind w:left="640" w:hanging="308"/>
        <w:spacing w:after="0" w:line="201"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Andrew "Andy" S. Fraser, Senior Vice President, Canada </w:t>
      </w:r>
      <w:r>
        <w:rPr>
          <w:rFonts w:ascii="Arial" w:cs="Arial" w:eastAsia="Arial" w:hAnsi="Arial"/>
          <w:sz w:val="21"/>
          <w:szCs w:val="21"/>
          <w:color w:val="auto"/>
          <w:vertAlign w:val="superscript"/>
        </w:rPr>
        <w:t>(2);</w:t>
      </w:r>
    </w:p>
    <w:p>
      <w:pPr>
        <w:ind w:left="640" w:hanging="308"/>
        <w:spacing w:after="0" w:line="187"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Barclay H. Brewer, Vice President, Chief Accounting Officer (Former Interim Chief Financial Officer and Treasurer) </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ind w:left="640" w:hanging="308"/>
        <w:spacing w:after="0" w:line="187"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Allan D. Schoening, Former Senior Vice President, Canada </w:t>
      </w:r>
      <w:r>
        <w:rPr>
          <w:rFonts w:ascii="Arial" w:cs="Arial" w:eastAsia="Arial" w:hAnsi="Arial"/>
          <w:sz w:val="21"/>
          <w:szCs w:val="21"/>
          <w:color w:val="auto"/>
          <w:vertAlign w:val="superscript"/>
        </w:rPr>
        <w:t>(2)</w:t>
      </w:r>
      <w:r>
        <w:rPr>
          <w:rFonts w:ascii="Arial" w:cs="Arial" w:eastAsia="Arial" w:hAnsi="Arial"/>
          <w:sz w:val="16"/>
          <w:szCs w:val="16"/>
          <w:color w:val="auto"/>
        </w:rPr>
        <w:t>; and</w:t>
      </w: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Carolyn J. Stone, Former Senior Vice President, Chief Financial Officer and Treasurer </w:t>
      </w:r>
      <w:r>
        <w:rPr>
          <w:rFonts w:ascii="Arial" w:cs="Arial" w:eastAsia="Arial" w:hAnsi="Arial"/>
          <w:sz w:val="21"/>
          <w:szCs w:val="21"/>
          <w:color w:val="auto"/>
          <w:vertAlign w:val="superscript"/>
        </w:rPr>
        <w:t>(1)</w:t>
      </w:r>
    </w:p>
    <w:p>
      <w:pPr>
        <w:spacing w:after="0" w:line="296" w:lineRule="exact"/>
        <w:rPr>
          <w:rFonts w:ascii="Arial" w:cs="Arial" w:eastAsia="Arial" w:hAnsi="Arial"/>
          <w:sz w:val="16"/>
          <w:szCs w:val="16"/>
          <w:color w:val="auto"/>
        </w:rPr>
      </w:pPr>
    </w:p>
    <w:p>
      <w:pPr>
        <w:ind w:right="360" w:firstLine="656"/>
        <w:spacing w:after="0" w:line="281" w:lineRule="auto"/>
        <w:tabs>
          <w:tab w:leader="none" w:pos="806" w:val="left"/>
        </w:tabs>
        <w:numPr>
          <w:ilvl w:val="1"/>
          <w:numId w:val="33"/>
        </w:numPr>
        <w:rPr>
          <w:rFonts w:ascii="Arial" w:cs="Arial" w:eastAsia="Arial" w:hAnsi="Arial"/>
          <w:sz w:val="18"/>
          <w:szCs w:val="18"/>
          <w:color w:val="auto"/>
          <w:vertAlign w:val="superscript"/>
        </w:rPr>
      </w:pPr>
      <w:r>
        <w:rPr>
          <w:rFonts w:ascii="Arial" w:cs="Arial" w:eastAsia="Arial" w:hAnsi="Arial"/>
          <w:sz w:val="14"/>
          <w:szCs w:val="14"/>
          <w:color w:val="auto"/>
        </w:rPr>
        <w:t>As previously announced, Ms. Stone’s employment was terminated on March 4, 2024. Mr. Brewer, the Company’s Vice President and Chief Accounting Officer, was appointed as Interim Chief Financial Officer and Treasurer until August 1, 2024 when Mr. Gerry assumed the role of Senior Vice President, Chief Financial Officer and Treasurer.</w:t>
      </w:r>
    </w:p>
    <w:p>
      <w:pPr>
        <w:spacing w:after="0" w:line="69" w:lineRule="exact"/>
        <w:rPr>
          <w:rFonts w:ascii="Arial" w:cs="Arial" w:eastAsia="Arial" w:hAnsi="Arial"/>
          <w:sz w:val="18"/>
          <w:szCs w:val="18"/>
          <w:color w:val="auto"/>
          <w:vertAlign w:val="superscript"/>
        </w:rPr>
      </w:pPr>
    </w:p>
    <w:p>
      <w:pPr>
        <w:ind w:right="20" w:firstLine="656"/>
        <w:spacing w:after="0" w:line="293" w:lineRule="auto"/>
        <w:tabs>
          <w:tab w:leader="none" w:pos="806" w:val="left"/>
        </w:tabs>
        <w:numPr>
          <w:ilvl w:val="1"/>
          <w:numId w:val="33"/>
        </w:numPr>
        <w:rPr>
          <w:rFonts w:ascii="Arial" w:cs="Arial" w:eastAsia="Arial" w:hAnsi="Arial"/>
          <w:sz w:val="18"/>
          <w:szCs w:val="18"/>
          <w:color w:val="auto"/>
          <w:vertAlign w:val="superscript"/>
        </w:rPr>
      </w:pPr>
      <w:r>
        <w:rPr>
          <w:rFonts w:ascii="Arial" w:cs="Arial" w:eastAsia="Arial" w:hAnsi="Arial"/>
          <w:sz w:val="14"/>
          <w:szCs w:val="14"/>
          <w:color w:val="auto"/>
        </w:rPr>
        <w:t>Mr. Schoening announced his retirement on January 8, 2024 and retired on December 31, 2024. Mr. Fraser was appointed Senior Vice President, Canada on August 19, 2024 and worked closely with Mr. Schoening until Mr. Schoening's retirement. Mr. Schoening continues to work closely for the Company in a consulting role.</w:t>
      </w: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Overview</w:t>
      </w:r>
    </w:p>
    <w:p>
      <w:pPr>
        <w:spacing w:after="0" w:line="132"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In 2024, we executed on our operational, strategic and financial priorities: operating safely, generating significant cash flows provided by operating activities and returning capital to shareholders. For the full year 2024, Civeo generated $84 million in cash flows provided by operating activities and reduced total debt by $22 million to end the year at $43 million of total debt. We maintained a low net leverage ratio of 0.5x at year-end 2024, down from 0.6x at year-end 2023 and 3.0x as of December 31, 2019. Following this significant progress made on our debt reduction, we returned $44 million of capital to shareholders, representing 64% of our free cash flows. Our capital allocation framework included opportunistic share repurchases totaling 7.7% of shares outstanding during 2024, a quarterly dividend and accretive growth opportunities, such as the recently announced acquisition of four villages in Australia's Bowen Basin.</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Specific 2024 Accomplishments</w:t>
      </w:r>
    </w:p>
    <w:p>
      <w:pPr>
        <w:spacing w:after="0" w:line="114"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From an operational standpoint, the Company’s primary focus in 2024 was, and continues to be, the safety and well-being of our guests and employees. Operationally, Mr. Dodson and our global leadership team’s effective operations in a dynamic environment included continued strong safety performance across all regions, resulting in a full year aggregate Total Recordable Incident Rate ("TRIR") of 0.28, which is almost four times lower than the U.S. Workers Camp industry average and better than our TRIR in 2023.</w:t>
      </w:r>
    </w:p>
    <w:p>
      <w:pPr>
        <w:spacing w:after="0" w:line="68"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The Company’s strategic and financial focus remained the same in 2024 as it was in 2023: continue to focus on generation of cash flows provided by operating activities, debt reduction and returning meaningful capital to shareholders. Significant financial achievements in 2024 included:</w:t>
      </w:r>
    </w:p>
    <w:p>
      <w:pPr>
        <w:spacing w:after="0" w:line="4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6"/>
          <w:szCs w:val="16"/>
          <w:color w:val="006DB6"/>
        </w:rPr>
      </w:pPr>
      <w:r>
        <w:rPr>
          <w:rFonts w:ascii="Arial" w:cs="Arial" w:eastAsia="Arial" w:hAnsi="Arial"/>
          <w:sz w:val="16"/>
          <w:szCs w:val="16"/>
          <w:color w:val="auto"/>
        </w:rPr>
        <w:t>Generated $84 million of cash flows provided by operating activities during the year;</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4"/>
        </w:numPr>
        <w:rPr>
          <w:rFonts w:ascii="Arial" w:cs="Arial" w:eastAsia="Arial" w:hAnsi="Arial"/>
          <w:sz w:val="16"/>
          <w:szCs w:val="16"/>
          <w:color w:val="006DB6"/>
        </w:rPr>
      </w:pPr>
      <w:r>
        <w:rPr>
          <w:rFonts w:ascii="Arial" w:cs="Arial" w:eastAsia="Arial" w:hAnsi="Arial"/>
          <w:sz w:val="16"/>
          <w:szCs w:val="16"/>
          <w:color w:val="auto"/>
        </w:rPr>
        <w:t>Returned 64%, or $44 million, of the Company's 2024 free cash flow to shareholders through share repurchases and dividends;</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34"/>
        </w:numPr>
        <w:rPr>
          <w:rFonts w:ascii="Arial" w:cs="Arial" w:eastAsia="Arial" w:hAnsi="Arial"/>
          <w:sz w:val="16"/>
          <w:szCs w:val="16"/>
          <w:color w:val="006DB6"/>
        </w:rPr>
      </w:pPr>
      <w:r>
        <w:rPr>
          <w:rFonts w:ascii="Arial" w:cs="Arial" w:eastAsia="Arial" w:hAnsi="Arial"/>
          <w:sz w:val="16"/>
          <w:szCs w:val="16"/>
          <w:color w:val="auto"/>
        </w:rPr>
        <w:t>Reduced total debt by $22 million;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34"/>
        </w:numPr>
        <w:rPr>
          <w:rFonts w:ascii="Arial" w:cs="Arial" w:eastAsia="Arial" w:hAnsi="Arial"/>
          <w:sz w:val="16"/>
          <w:szCs w:val="16"/>
          <w:color w:val="006DB6"/>
        </w:rPr>
      </w:pPr>
      <w:r>
        <w:rPr>
          <w:rFonts w:ascii="Arial" w:cs="Arial" w:eastAsia="Arial" w:hAnsi="Arial"/>
          <w:sz w:val="16"/>
          <w:szCs w:val="16"/>
          <w:color w:val="auto"/>
        </w:rPr>
        <w:t>Decreased our net leverage ratio to 0.5x at December 31, 2024 from 0.6x at December 31, 2023 and 3.0x as of December 31, 2019;</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34"/>
        </w:numPr>
        <w:rPr>
          <w:rFonts w:ascii="Arial" w:cs="Arial" w:eastAsia="Arial" w:hAnsi="Arial"/>
          <w:sz w:val="16"/>
          <w:szCs w:val="16"/>
          <w:color w:val="006DB6"/>
        </w:rPr>
      </w:pPr>
      <w:r>
        <w:rPr>
          <w:rFonts w:ascii="Arial" w:cs="Arial" w:eastAsia="Arial" w:hAnsi="Arial"/>
          <w:sz w:val="16"/>
          <w:szCs w:val="16"/>
          <w:color w:val="auto"/>
        </w:rPr>
        <w:t>Secured long-term contract extensions and expansions with key clients in Australia.</w:t>
      </w: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*Note: Net leverage ratio is a non-GAAP financial measure. Please see Appendix A for a reconciliation to the most directly comparable measures of financial performance calculated under GAAP.</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Transitions</w:t>
      </w:r>
    </w:p>
    <w:p>
      <w:pPr>
        <w:spacing w:after="0" w:line="1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Effective March 4, 2024, Ms. Stone was terminated without cause from her role as Senior Vice President, Chief Financial Officer ("CFO") and Treasurer. Mr. Brewer served as interim CFO and Treasurer until August 1, 2024, when the Company appointed Mr. Gerry as the Company’s new Senior Vice President, CFO and Treasurer following a comprehensive search process. Effective as of August 1, 2024 following his service as interim CFO, Mr. Brewer assumed the role of Vice President, Chief Accounting Officer, and has supported Mr. Gerry during the transition. For information on Ms. Stone’s payments and benefits in connection with her departure, see "Agreements with Former Executives."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Following the announcement of Mr. Schoening’s retirement in January of 2024, the Company embarked on an executive search process for Mr. Schoening’s successor. After a thorough search, the Company announced the appointment of Mr. Fraser as Senior Vice President, Canada, effective August 19, 2024. In order to facilitate a smooth transition, Mr. Schoening has continued to work closely with Mr. Fraser in a consulting role for a period of time, following his retirement on December 31, 2024. For more information on Mr. Schoening’s separation and consulting arrangement, see "Agreements with Former Executives."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Approach to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Governance</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keeping with our commitment to strong governance standards across our business, our executive compensation governance framework is built around the following:</w:t>
      </w:r>
    </w:p>
    <w:p>
      <w:pPr>
        <w:spacing w:after="0" w:line="48" w:lineRule="exact"/>
        <w:rPr>
          <w:sz w:val="20"/>
          <w:szCs w:val="20"/>
          <w:color w:val="auto"/>
        </w:rPr>
      </w:pPr>
    </w:p>
    <w:p>
      <w:pPr>
        <w:jc w:val="both"/>
        <w:ind w:left="200" w:right="420" w:hanging="192"/>
        <w:spacing w:after="0" w:line="275" w:lineRule="auto"/>
        <w:tabs>
          <w:tab w:leader="none" w:pos="170" w:val="left"/>
        </w:tabs>
        <w:numPr>
          <w:ilvl w:val="0"/>
          <w:numId w:val="35"/>
        </w:numPr>
        <w:rPr>
          <w:rFonts w:ascii="Arial" w:cs="Arial" w:eastAsia="Arial" w:hAnsi="Arial"/>
          <w:sz w:val="16"/>
          <w:szCs w:val="16"/>
          <w:color w:val="006DB6"/>
        </w:rPr>
      </w:pPr>
      <w:r>
        <w:rPr>
          <w:rFonts w:ascii="Arial" w:cs="Arial" w:eastAsia="Arial" w:hAnsi="Arial"/>
          <w:sz w:val="16"/>
          <w:szCs w:val="16"/>
          <w:color w:val="auto"/>
        </w:rPr>
        <w:t>A Compensation Committee comprised of individuals with deep relevant business experience, all of whom have served as chief executive officers of energy or real estate related companies or as executives at hospitality companies. All members of the Compensation Committee are independent in accordance with NYSE listing standards;</w:t>
      </w:r>
    </w:p>
    <w:p>
      <w:pPr>
        <w:spacing w:after="0" w:line="29" w:lineRule="exact"/>
        <w:rPr>
          <w:rFonts w:ascii="Arial" w:cs="Arial" w:eastAsia="Arial" w:hAnsi="Arial"/>
          <w:sz w:val="16"/>
          <w:szCs w:val="16"/>
          <w:color w:val="006DB6"/>
        </w:rPr>
      </w:pPr>
    </w:p>
    <w:p>
      <w:pPr>
        <w:ind w:left="200" w:right="240" w:hanging="192"/>
        <w:spacing w:after="0" w:line="275" w:lineRule="auto"/>
        <w:tabs>
          <w:tab w:leader="none" w:pos="170" w:val="left"/>
        </w:tabs>
        <w:numPr>
          <w:ilvl w:val="0"/>
          <w:numId w:val="35"/>
        </w:numPr>
        <w:rPr>
          <w:rFonts w:ascii="Arial" w:cs="Arial" w:eastAsia="Arial" w:hAnsi="Arial"/>
          <w:sz w:val="16"/>
          <w:szCs w:val="16"/>
          <w:color w:val="006DB6"/>
        </w:rPr>
      </w:pPr>
      <w:r>
        <w:rPr>
          <w:rFonts w:ascii="Arial" w:cs="Arial" w:eastAsia="Arial" w:hAnsi="Arial"/>
          <w:sz w:val="16"/>
          <w:szCs w:val="16"/>
          <w:color w:val="auto"/>
        </w:rPr>
        <w:t>A clearly defined decision-making framework and delegation of authority that ensures all material compensation decisions for section 16 officers (which includes our NEOs), are made solely by the Compensation Committee, whose priority is to ensure our policies and procedures allow Civeo to attract, reward and retain executives who are focused on delivering long-term results for shareholders; and</w:t>
      </w:r>
    </w:p>
    <w:p>
      <w:pPr>
        <w:spacing w:after="0" w:line="15" w:lineRule="exact"/>
        <w:rPr>
          <w:rFonts w:ascii="Arial" w:cs="Arial" w:eastAsia="Arial" w:hAnsi="Arial"/>
          <w:sz w:val="16"/>
          <w:szCs w:val="16"/>
          <w:color w:val="006DB6"/>
        </w:rPr>
      </w:pPr>
    </w:p>
    <w:p>
      <w:pPr>
        <w:ind w:left="180" w:hanging="172"/>
        <w:spacing w:after="0"/>
        <w:tabs>
          <w:tab w:leader="none" w:pos="180" w:val="left"/>
        </w:tabs>
        <w:numPr>
          <w:ilvl w:val="0"/>
          <w:numId w:val="35"/>
        </w:numPr>
        <w:rPr>
          <w:rFonts w:ascii="Arial" w:cs="Arial" w:eastAsia="Arial" w:hAnsi="Arial"/>
          <w:sz w:val="16"/>
          <w:szCs w:val="16"/>
          <w:color w:val="006DB6"/>
        </w:rPr>
      </w:pPr>
      <w:r>
        <w:rPr>
          <w:rFonts w:ascii="Arial" w:cs="Arial" w:eastAsia="Arial" w:hAnsi="Arial"/>
          <w:sz w:val="16"/>
          <w:szCs w:val="16"/>
          <w:color w:val="auto"/>
        </w:rPr>
        <w:t>Clearly defined compensation policies structured to accommodate circumstances that are characteristic of a cyclical industry.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NEO Compensation Mix</w:t>
      </w:r>
    </w:p>
    <w:p>
      <w:pPr>
        <w:spacing w:after="0" w:line="99" w:lineRule="exact"/>
        <w:rPr>
          <w:sz w:val="20"/>
          <w:szCs w:val="20"/>
          <w:color w:val="auto"/>
        </w:rPr>
      </w:pPr>
    </w:p>
    <w:p>
      <w:pPr>
        <w:jc w:val="both"/>
        <w:ind w:right="140"/>
        <w:spacing w:after="0" w:line="268" w:lineRule="auto"/>
        <w:rPr>
          <w:sz w:val="20"/>
          <w:szCs w:val="20"/>
          <w:color w:val="auto"/>
        </w:rPr>
      </w:pPr>
      <w:r>
        <w:rPr>
          <w:rFonts w:ascii="Arial" w:cs="Arial" w:eastAsia="Arial" w:hAnsi="Arial"/>
          <w:sz w:val="16"/>
          <w:szCs w:val="16"/>
          <w:color w:val="auto"/>
        </w:rPr>
        <w:t>This section outlines each component of our compensation program. Compensation decisions specific to our NEOs for 2024 for each of these components are discussed in greater detail below.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4"/>
          <w:szCs w:val="14"/>
          <w:b w:val="1"/>
          <w:bCs w:val="1"/>
          <w:color w:val="FFC03C"/>
        </w:rPr>
        <w:t>Long-Term</w:t>
      </w:r>
    </w:p>
    <w:p>
      <w:pPr>
        <w:spacing w:after="0" w:line="29"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4"/>
          <w:szCs w:val="14"/>
          <w:b w:val="1"/>
          <w:bCs w:val="1"/>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66" w:lineRule="exact"/>
        <w:rPr>
          <w:sz w:val="20"/>
          <w:szCs w:val="20"/>
          <w:color w:val="auto"/>
        </w:rPr>
      </w:pPr>
    </w:p>
    <w:p>
      <w:pPr>
        <w:ind w:left="20"/>
        <w:spacing w:after="0" w:line="259" w:lineRule="auto"/>
        <w:rPr>
          <w:sz w:val="20"/>
          <w:szCs w:val="20"/>
          <w:color w:val="auto"/>
        </w:rPr>
      </w:pPr>
      <w:r>
        <w:rPr>
          <w:rFonts w:ascii="Arial" w:cs="Arial" w:eastAsia="Arial" w:hAnsi="Arial"/>
          <w:sz w:val="16"/>
          <w:szCs w:val="16"/>
          <w:color w:val="auto"/>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551815</wp:posOffset>
            </wp:positionV>
            <wp:extent cx="394335" cy="1968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key objectives of Civeo’s AICP are to reward the achievement of defined annual financial and safety objectives and to incentivize employee activities that will continually improve Civeo, both on a business unit and company-wide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461010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Civeo’s LTIP, established under the Equity Participation Plan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3">
            <w:col w:w="3700" w:space="60"/>
            <w:col w:w="3500" w:space="240"/>
            <w:col w:w="37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ind w:left="9320"/>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Our Variable Compensation Performance Metrics and Their Relation to Our Strategy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ind w:left="20"/>
              <w:spacing w:after="0"/>
              <w:rPr>
                <w:sz w:val="20"/>
                <w:szCs w:val="20"/>
                <w:color w:val="auto"/>
              </w:rPr>
            </w:pPr>
            <w:r>
              <w:rPr>
                <w:rFonts w:ascii="Arial" w:cs="Arial" w:eastAsia="Arial" w:hAnsi="Arial"/>
                <w:sz w:val="14"/>
                <w:szCs w:val="14"/>
                <w:b w:val="1"/>
                <w:bCs w:val="1"/>
                <w:color w:val="706F6F"/>
              </w:rPr>
              <w:t>Performance Metrics</w:t>
            </w:r>
          </w:p>
        </w:tc>
        <w:tc>
          <w:tcPr>
            <w:tcW w:w="8980" w:type="dxa"/>
            <w:vAlign w:val="bottom"/>
          </w:tcPr>
          <w:p>
            <w:pPr>
              <w:ind w:left="20"/>
              <w:spacing w:after="0"/>
              <w:rPr>
                <w:sz w:val="20"/>
                <w:szCs w:val="20"/>
                <w:color w:val="auto"/>
              </w:rPr>
            </w:pPr>
            <w:r>
              <w:rPr>
                <w:rFonts w:ascii="Arial" w:cs="Arial" w:eastAsia="Arial" w:hAnsi="Arial"/>
                <w:sz w:val="14"/>
                <w:szCs w:val="14"/>
                <w:b w:val="1"/>
                <w:bCs w:val="1"/>
                <w:color w:val="706F6F"/>
              </w:rPr>
              <w:t>How The Performance Metrics Tie to Our Strategy</w:t>
            </w: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Arial" w:cs="Arial" w:eastAsia="Arial" w:hAnsi="Arial"/>
                <w:sz w:val="16"/>
                <w:szCs w:val="16"/>
                <w:color w:val="auto"/>
              </w:rPr>
              <w:t>Relative Total Shareholder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Relative TSR is a valuable metric to assess performance against our peer group over a longer-term period. The intent is to</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Return ("TSR")</w:t>
            </w: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better align executive pay with shareholder interests.</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6"/>
                <w:szCs w:val="16"/>
                <w:color w:val="auto"/>
              </w:rPr>
              <w:t>Divisional EBITDA</w:t>
            </w:r>
          </w:p>
        </w:tc>
        <w:tc>
          <w:tcPr>
            <w:tcW w:w="898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EBITDA is widely recognized as a primary valuation and comparable financial metric and, for this reason continued to be,</w:t>
            </w:r>
          </w:p>
        </w:tc>
        <w:tc>
          <w:tcPr>
            <w:tcW w:w="0" w:type="dxa"/>
            <w:vAlign w:val="bottom"/>
          </w:tcPr>
          <w:p>
            <w:pPr>
              <w:spacing w:after="0"/>
              <w:rPr>
                <w:sz w:val="1"/>
                <w:szCs w:val="1"/>
                <w:color w:val="auto"/>
              </w:rPr>
            </w:pPr>
          </w:p>
        </w:tc>
      </w:tr>
      <w:tr>
        <w:trPr>
          <w:trHeight w:val="96"/>
        </w:trPr>
        <w:tc>
          <w:tcPr>
            <w:tcW w:w="2260" w:type="dxa"/>
            <w:vAlign w:val="bottom"/>
          </w:tcPr>
          <w:p>
            <w:pPr>
              <w:spacing w:after="0"/>
              <w:rPr>
                <w:sz w:val="8"/>
                <w:szCs w:val="8"/>
                <w:color w:val="auto"/>
              </w:rPr>
            </w:pPr>
          </w:p>
        </w:tc>
        <w:tc>
          <w:tcPr>
            <w:tcW w:w="8980" w:type="dxa"/>
            <w:vAlign w:val="bottom"/>
            <w:vMerge w:val="continue"/>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with AICP adjustments, selected as an appropriate financial metric for 2024.</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TRIR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TRIR is a globally recognized measure of safety performance. Safety is one of Civeo's core values and therefore it is an</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important measure of company performance.</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Three-year growth in EBITDA</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Commencing with 2024 LTIP awards, Civeo added three-year growth in EBITDA over the performance period relative to a</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preset 2026 EBITDA target in an effort to drive sustainable earnings growth.</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Consolidated cash flows</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The Company has included consolidated cash flows provided by operating activities as a performance metric, under the LTIP</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provided by operating</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for grants from 2021 to 2023, and as the Company's continued focus on generating cash flow.</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activities</w:t>
            </w:r>
          </w:p>
        </w:tc>
        <w:tc>
          <w:tcPr>
            <w:tcW w:w="8980" w:type="dxa"/>
            <w:vAlign w:val="bottom"/>
            <w:tcBorders>
              <w:bottom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0972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AICP EBITDA</w:t>
      </w:r>
    </w:p>
    <w:p>
      <w:pPr>
        <w:spacing w:after="0" w:line="100"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b w:val="1"/>
          <w:bCs w:val="1"/>
          <w:color w:val="auto"/>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Please see Appendix A for a reconciliation of EBITDA to GAAP. Adjustments to EBITDA under the AICP also reflect one-time, unanticipated financial events incurred following approval of the 2024 budget, including unbudgeted variability in stock-based compensation expense, changes in foreign exchange rates and certain other unbudgeted costs (approved by the Compensation Committee). The AICP adjustments to EBITDA in 2024 were consistent with past practices.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Highlights of 2024 Performance and Impact on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We successfully completed a number of significant financial and operational objectives. In particular, during 2024 we achieved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p>
      <w:pPr>
        <w:spacing w:after="0" w:line="221" w:lineRule="exact"/>
        <w:rPr>
          <w:sz w:val="20"/>
          <w:szCs w:val="20"/>
          <w:color w:val="auto"/>
        </w:rPr>
      </w:pPr>
    </w:p>
    <w:p>
      <w:pPr>
        <w:ind w:left="20" w:right="200"/>
        <w:spacing w:after="0" w:line="286" w:lineRule="auto"/>
        <w:rPr>
          <w:sz w:val="20"/>
          <w:szCs w:val="20"/>
          <w:color w:val="auto"/>
        </w:rPr>
      </w:pPr>
      <w:r>
        <w:rPr>
          <w:rFonts w:ascii="Arial" w:cs="Arial" w:eastAsia="Arial" w:hAnsi="Arial"/>
          <w:sz w:val="16"/>
          <w:szCs w:val="16"/>
          <w:color w:val="auto"/>
        </w:rPr>
        <w:t>Generated $84 million of cash flows provided by operating activities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66160" cy="34290"/>
                    </a:xfrm>
                    <a:prstGeom prst="rect">
                      <a:avLst/>
                    </a:prstGeom>
                    <a:noFill/>
                  </pic:spPr>
                </pic:pic>
              </a:graphicData>
            </a:graphic>
          </wp:anchor>
        </w:drawing>
      </w:r>
    </w:p>
    <w:p>
      <w:pPr>
        <w:spacing w:after="0" w:line="230" w:lineRule="exact"/>
        <w:rPr>
          <w:sz w:val="20"/>
          <w:szCs w:val="20"/>
          <w:color w:val="auto"/>
        </w:rPr>
      </w:pPr>
    </w:p>
    <w:p>
      <w:pPr>
        <w:ind w:left="20"/>
        <w:spacing w:after="0" w:line="275" w:lineRule="auto"/>
        <w:rPr>
          <w:sz w:val="20"/>
          <w:szCs w:val="20"/>
          <w:color w:val="auto"/>
        </w:rPr>
      </w:pPr>
      <w:r>
        <w:rPr>
          <w:rFonts w:ascii="Arial" w:cs="Arial" w:eastAsia="Arial" w:hAnsi="Arial"/>
          <w:sz w:val="16"/>
          <w:szCs w:val="16"/>
          <w:color w:val="auto"/>
        </w:rPr>
        <w:t>Maintained a low net leverage ratio of 0.5x at December 31, 2024, down from 0.6x at December 31, 2023 and 3.0x at December 31, 2019 to allow for opportunistic capital deployment in the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Returned 64%, or $44 million, of the Company's 2024 free cash flow to shareholders through share repurchases (totaling 7.7% of shares outstanding during 2024)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342900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00" cy="34290"/>
                    </a:xfrm>
                    <a:prstGeom prst="rect">
                      <a:avLst/>
                    </a:prstGeom>
                    <a:noFill/>
                  </pic:spPr>
                </pic:pic>
              </a:graphicData>
            </a:graphic>
          </wp:anchor>
        </w:drawing>
      </w:r>
    </w:p>
    <w:p>
      <w:pPr>
        <w:spacing w:after="0" w:line="3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Following successful amendment, extension and upsizing of our credit agreement in 2024, Civeo ended the year with $202.2 million in liquidity at December 31, 2024, up from $136.4 million at December 31, 2023</w:t>
      </w:r>
    </w:p>
    <w:p>
      <w:pPr>
        <w:spacing w:after="0" w:line="200" w:lineRule="exact"/>
        <w:rPr>
          <w:sz w:val="20"/>
          <w:szCs w:val="20"/>
          <w:color w:val="auto"/>
        </w:rPr>
      </w:pPr>
    </w:p>
    <w:p>
      <w:pPr>
        <w:sectPr>
          <w:pgSz w:w="11900" w:h="16838" w:orient="portrait"/>
          <w:cols w:equalWidth="0" w:num="2">
            <w:col w:w="5560" w:space="300"/>
            <w:col w:w="5300"/>
          </w:cols>
          <w:pgMar w:left="320" w:top="125" w:right="41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p>
      <w:pPr>
        <w:spacing w:after="0" w:line="127" w:lineRule="exact"/>
        <w:rPr>
          <w:sz w:val="20"/>
          <w:szCs w:val="20"/>
          <w:color w:val="auto"/>
        </w:rPr>
      </w:pPr>
    </w:p>
    <w:p>
      <w:pPr>
        <w:ind w:left="20"/>
        <w:spacing w:after="0" w:line="266" w:lineRule="auto"/>
        <w:rPr>
          <w:sz w:val="20"/>
          <w:szCs w:val="20"/>
          <w:color w:val="auto"/>
        </w:rPr>
      </w:pPr>
      <w:r>
        <w:rPr>
          <w:rFonts w:ascii="Arial" w:cs="Arial" w:eastAsia="Arial" w:hAnsi="Arial"/>
          <w:sz w:val="16"/>
          <w:szCs w:val="16"/>
          <w:color w:val="auto"/>
        </w:rPr>
        <w:t>Generated 59% of Civeo’s revenue and 70% of Civeo’s gross profit was derived from customers exposed to steel-making commodities, highlighting our continued diversification away from legacy oil sands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886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165"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6"/>
          <w:szCs w:val="16"/>
          <w:color w:val="auto"/>
        </w:rPr>
        <w:t>Delivered strong safety performance across all regions, resulting in a 2024 Global TRIR of 0.28, considerably better than Civeo's 2023 Global TRIR of 0.45, almost four times better than the industry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86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Secured a 6-year integrated services contract award in Australia with a total contract value of approximately A$1.4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349758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Increased Australian revenues by 23%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278130</wp:posOffset>
            </wp:positionV>
            <wp:extent cx="349758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5380" w:space="340"/>
            <w:col w:w="5440"/>
          </w:cols>
          <w:pgMar w:left="320" w:top="125" w:right="419" w:bottom="1440" w:gutter="0" w:footer="0" w:header="0"/>
          <w:type w:val="continuous"/>
        </w:sect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840" w:type="dxa"/>
            <w:vAlign w:val="bottom"/>
            <w:vMerge w:val="restart"/>
          </w:tcPr>
          <w:p>
            <w:pPr>
              <w:jc w:val="center"/>
              <w:ind w:right="1039"/>
              <w:spacing w:after="0"/>
              <w:rPr>
                <w:sz w:val="20"/>
                <w:szCs w:val="20"/>
                <w:color w:val="auto"/>
              </w:rPr>
            </w:pPr>
            <w:r>
              <w:rPr>
                <w:rFonts w:ascii="Arial" w:cs="Arial" w:eastAsia="Arial" w:hAnsi="Arial"/>
                <w:sz w:val="16"/>
                <w:szCs w:val="16"/>
                <w:b w:val="1"/>
                <w:bCs w:val="1"/>
                <w:color w:val="auto"/>
              </w:rPr>
              <w:t>TOTAL RECORDABLE</w:t>
            </w:r>
          </w:p>
        </w:tc>
        <w:tc>
          <w:tcPr>
            <w:tcW w:w="310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AICP EBITDA</w:t>
            </w:r>
          </w:p>
        </w:tc>
        <w:tc>
          <w:tcPr>
            <w:tcW w:w="3220" w:type="dxa"/>
            <w:vAlign w:val="bottom"/>
          </w:tcPr>
          <w:p>
            <w:pPr>
              <w:jc w:val="center"/>
              <w:ind w:left="879"/>
              <w:spacing w:after="0"/>
              <w:rPr>
                <w:sz w:val="20"/>
                <w:szCs w:val="20"/>
                <w:color w:val="auto"/>
              </w:rPr>
            </w:pPr>
            <w:r>
              <w:rPr>
                <w:rFonts w:ascii="Arial" w:cs="Arial" w:eastAsia="Arial" w:hAnsi="Arial"/>
                <w:sz w:val="16"/>
                <w:szCs w:val="16"/>
                <w:b w:val="1"/>
                <w:bCs w:val="1"/>
                <w:color w:val="auto"/>
              </w:rPr>
              <w:t>CASH FLOWS PROVIDED BY</w:t>
            </w: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3220" w:type="dxa"/>
            <w:vAlign w:val="bottom"/>
          </w:tcPr>
          <w:p>
            <w:pPr>
              <w:jc w:val="center"/>
              <w:ind w:left="819"/>
              <w:spacing w:after="0"/>
              <w:rPr>
                <w:sz w:val="20"/>
                <w:szCs w:val="20"/>
                <w:color w:val="auto"/>
              </w:rPr>
            </w:pPr>
            <w:r>
              <w:rPr>
                <w:rFonts w:ascii="Arial" w:cs="Arial" w:eastAsia="Arial" w:hAnsi="Arial"/>
                <w:sz w:val="16"/>
                <w:szCs w:val="16"/>
                <w:b w:val="1"/>
                <w:bCs w:val="1"/>
                <w:color w:val="auto"/>
              </w:rPr>
              <w:t>OPERATING ACTIVITIES</w:t>
            </w:r>
          </w:p>
        </w:tc>
        <w:tc>
          <w:tcPr>
            <w:tcW w:w="0" w:type="dxa"/>
            <w:vAlign w:val="bottom"/>
          </w:tcPr>
          <w:p>
            <w:pPr>
              <w:spacing w:after="0"/>
              <w:rPr>
                <w:sz w:val="1"/>
                <w:szCs w:val="1"/>
                <w:color w:val="auto"/>
              </w:rPr>
            </w:pPr>
          </w:p>
        </w:tc>
      </w:tr>
      <w:tr>
        <w:trPr>
          <w:trHeight w:val="223"/>
        </w:trPr>
        <w:tc>
          <w:tcPr>
            <w:tcW w:w="2840" w:type="dxa"/>
            <w:vAlign w:val="bottom"/>
          </w:tcPr>
          <w:p>
            <w:pPr>
              <w:jc w:val="center"/>
              <w:ind w:right="1039"/>
              <w:spacing w:after="0"/>
              <w:rPr>
                <w:sz w:val="20"/>
                <w:szCs w:val="20"/>
                <w:color w:val="auto"/>
              </w:rPr>
            </w:pPr>
            <w:r>
              <w:rPr>
                <w:rFonts w:ascii="Arial" w:cs="Arial" w:eastAsia="Arial" w:hAnsi="Arial"/>
                <w:sz w:val="16"/>
                <w:szCs w:val="16"/>
                <w:b w:val="1"/>
                <w:bCs w:val="1"/>
                <w:color w:val="auto"/>
              </w:rPr>
              <w:t>INCIDENT RATE</w:t>
            </w:r>
          </w:p>
        </w:tc>
        <w:tc>
          <w:tcPr>
            <w:tcW w:w="3100" w:type="dxa"/>
            <w:vAlign w:val="bottom"/>
          </w:tcPr>
          <w:p>
            <w:pPr>
              <w:jc w:val="center"/>
              <w:ind w:left="119"/>
              <w:spacing w:after="0"/>
              <w:rPr>
                <w:sz w:val="20"/>
                <w:szCs w:val="20"/>
                <w:color w:val="auto"/>
              </w:rPr>
            </w:pPr>
            <w:r>
              <w:rPr>
                <w:rFonts w:ascii="Arial" w:cs="Arial" w:eastAsia="Arial" w:hAnsi="Arial"/>
                <w:sz w:val="16"/>
                <w:szCs w:val="16"/>
                <w:color w:val="auto"/>
              </w:rPr>
              <w:t>(in millions)</w:t>
            </w:r>
          </w:p>
        </w:tc>
        <w:tc>
          <w:tcPr>
            <w:tcW w:w="3220" w:type="dxa"/>
            <w:vAlign w:val="bottom"/>
          </w:tcPr>
          <w:p>
            <w:pPr>
              <w:jc w:val="center"/>
              <w:ind w:left="879"/>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39370</wp:posOffset>
            </wp:positionV>
            <wp:extent cx="6197600" cy="18770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9760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Note: AICP EBITDA and net leverage ratio are non-GAAP financial measures. Please see Appendix A for a reconciliation of each measure to the most directly comparable measures of financial performance calculated under GAAP.</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Shareholder Engagement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Throughout the year, we meet with our shareholders to solicit their feedback on our performance, capital structure and pay programs as well as to share our perspective. The Company’s management maintains routine dialogue with our shareholders regarding operations, strategy, total leverage and financial results. Throughout 2024, management engaged with shareholders representing over 53% of our outstanding shares.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Say-On-Pay Vote</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At our 2024 annual general meeting, we obtained 96.7% approval by our shareholders casting votes on our Say-on-Pay proposal (excluding abstentions). Our Compensation Committee considered this high level of support in making its compensation-related decisions in 2024, and did not make any specific changes to our compensation program as a result of the final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370205</wp:posOffset>
            </wp:positionV>
            <wp:extent cx="394335" cy="1968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Best Practices</w:t>
      </w:r>
    </w:p>
    <w:p>
      <w:pPr>
        <w:spacing w:after="0" w:line="12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lists key policies and practices of our executive compensation program, which we believe align the interests of management with those of our shareholders and are best practices in compensation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81280</wp:posOffset>
            </wp:positionV>
            <wp:extent cx="480060" cy="4629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00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22"/>
          <w:szCs w:val="22"/>
          <w:b w:val="1"/>
          <w:bCs w:val="1"/>
          <w:color w:val="006DB6"/>
        </w:rPr>
        <w:t>What We Do</w:t>
      </w:r>
      <w:r>
        <w:rPr>
          <w:sz w:val="20"/>
          <w:szCs w:val="20"/>
          <w:color w:val="auto"/>
        </w:rPr>
        <w:tab/>
      </w:r>
      <w:r>
        <w:rPr>
          <w:rFonts w:ascii="Arial" w:cs="Arial" w:eastAsia="Arial" w:hAnsi="Arial"/>
          <w:sz w:val="21"/>
          <w:szCs w:val="2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4434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ind w:left="320" w:right="60" w:hanging="221"/>
        <w:spacing w:after="0"/>
        <w:rPr>
          <w:sz w:val="20"/>
          <w:szCs w:val="20"/>
          <w:color w:val="auto"/>
        </w:rPr>
      </w:pPr>
      <w:r>
        <w:rPr>
          <w:sz w:val="1"/>
          <w:szCs w:val="1"/>
          <w:color w:val="auto"/>
        </w:rPr>
        <w:drawing>
          <wp:inline distT="0" distB="0" distL="0" distR="0">
            <wp:extent cx="68580" cy="5969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Use an independent consultant to ensure overall executive compensation is market competitive</w:t>
      </w:r>
    </w:p>
    <w:p>
      <w:pPr>
        <w:spacing w:after="0" w:line="55" w:lineRule="exact"/>
        <w:rPr>
          <w:sz w:val="20"/>
          <w:szCs w:val="20"/>
          <w:color w:val="auto"/>
        </w:rPr>
      </w:pPr>
    </w:p>
    <w:p>
      <w:pPr>
        <w:ind w:left="320" w:right="200" w:hanging="221"/>
        <w:spacing w:after="0"/>
        <w:rPr>
          <w:sz w:val="20"/>
          <w:szCs w:val="20"/>
          <w:color w:val="auto"/>
        </w:rPr>
      </w:pPr>
      <w:r>
        <w:rPr>
          <w:sz w:val="1"/>
          <w:szCs w:val="1"/>
          <w:color w:val="auto"/>
        </w:rPr>
        <w:drawing>
          <wp:inline distT="0" distB="0" distL="0" distR="0">
            <wp:extent cx="68580" cy="5969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Provide a balanced executive pay mix including long-term incentives, at least 50% of which are generally performance-based for NEOs and provide at-risk compensation tied directly to financial and share price performance</w:t>
      </w:r>
    </w:p>
    <w:p>
      <w:pPr>
        <w:spacing w:after="0" w:line="55" w:lineRule="exact"/>
        <w:rPr>
          <w:sz w:val="20"/>
          <w:szCs w:val="20"/>
          <w:color w:val="auto"/>
        </w:rPr>
      </w:pPr>
    </w:p>
    <w:p>
      <w:pPr>
        <w:ind w:left="320" w:right="160" w:hanging="221"/>
        <w:spacing w:after="0"/>
        <w:rPr>
          <w:sz w:val="20"/>
          <w:szCs w:val="20"/>
          <w:color w:val="auto"/>
        </w:rPr>
      </w:pPr>
      <w:r>
        <w:rPr>
          <w:sz w:val="1"/>
          <w:szCs w:val="1"/>
          <w:color w:val="auto"/>
        </w:rPr>
        <w:drawing>
          <wp:inline distT="0" distB="0" distL="0" distR="0">
            <wp:extent cx="68580" cy="6032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Apply rigorous performance measures for executive compensation each year, whether absolute or relative, and set performance goals that we believe are reasonable in light of market conditions</w:t>
      </w:r>
    </w:p>
    <w:p>
      <w:pPr>
        <w:spacing w:after="0" w:line="55" w:lineRule="exact"/>
        <w:rPr>
          <w:sz w:val="20"/>
          <w:szCs w:val="20"/>
          <w:color w:val="auto"/>
        </w:rPr>
      </w:pPr>
    </w:p>
    <w:p>
      <w:pPr>
        <w:ind w:left="320" w:right="180" w:hanging="221"/>
        <w:spacing w:after="0"/>
        <w:rPr>
          <w:sz w:val="20"/>
          <w:szCs w:val="20"/>
          <w:color w:val="auto"/>
        </w:rPr>
      </w:pPr>
      <w:r>
        <w:rPr>
          <w:sz w:val="1"/>
          <w:szCs w:val="1"/>
          <w:color w:val="auto"/>
        </w:rPr>
        <w:drawing>
          <wp:inline distT="0" distB="0" distL="0" distR="0">
            <wp:extent cx="68580" cy="5969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Cap payouts under all performance incentives. In addition, performance share awards are capped at 100% payout (Target), if Civeo's absolute TSR over the performance period is negative, irrespective of relative performance</w:t>
      </w:r>
    </w:p>
    <w:p>
      <w:pPr>
        <w:spacing w:after="0" w:line="55" w:lineRule="exact"/>
        <w:rPr>
          <w:sz w:val="20"/>
          <w:szCs w:val="20"/>
          <w:color w:val="auto"/>
        </w:rPr>
      </w:pPr>
    </w:p>
    <w:p>
      <w:pPr>
        <w:ind w:left="320" w:hanging="221"/>
        <w:spacing w:after="0"/>
        <w:rPr>
          <w:sz w:val="20"/>
          <w:szCs w:val="20"/>
          <w:color w:val="auto"/>
        </w:rPr>
      </w:pPr>
      <w:r>
        <w:rPr>
          <w:sz w:val="1"/>
          <w:szCs w:val="1"/>
          <w:color w:val="auto"/>
        </w:rPr>
        <w:drawing>
          <wp:inline distT="0" distB="0" distL="0" distR="0">
            <wp:extent cx="68580" cy="5969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Maintain a share ownership policy which, in addition to minimum NEO share ownership requirements, requires NEOs to hold at least 50% of the net vested Civeo shares (after tax withholding) for 12 months after the date of vesting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43180" cy="4318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Permit directors or officers to buy or sell puts, calls or options in respect of our securities, or pledge shares (including holding shares in a margin account)</w:t>
      </w:r>
    </w:p>
    <w:p>
      <w:pPr>
        <w:spacing w:after="0" w:line="55" w:lineRule="exact"/>
        <w:rPr>
          <w:sz w:val="20"/>
          <w:szCs w:val="20"/>
          <w:color w:val="auto"/>
        </w:rPr>
      </w:pPr>
    </w:p>
    <w:p>
      <w:pPr>
        <w:ind w:left="200" w:right="60" w:hanging="195"/>
        <w:spacing w:after="0"/>
        <w:rPr>
          <w:sz w:val="20"/>
          <w:szCs w:val="20"/>
          <w:color w:val="auto"/>
        </w:rPr>
      </w:pPr>
      <w:r>
        <w:rPr>
          <w:sz w:val="1"/>
          <w:szCs w:val="1"/>
          <w:color w:val="auto"/>
        </w:rPr>
        <w:drawing>
          <wp:inline distT="0" distB="0" distL="0" distR="0">
            <wp:extent cx="43180" cy="4318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excise tax gross-ups in any executive or change of control agreement entered into following our spin-off from Oil States International in May 2014</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Apply severance multipliers in excess of 3x</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Utilize liberal share recycling in our long-term incentive plan</w:t>
      </w:r>
    </w:p>
    <w:p>
      <w:pPr>
        <w:spacing w:after="0" w:line="86" w:lineRule="exact"/>
        <w:rPr>
          <w:sz w:val="20"/>
          <w:szCs w:val="20"/>
          <w:color w:val="auto"/>
        </w:rPr>
      </w:pPr>
    </w:p>
    <w:p>
      <w:pPr>
        <w:ind w:left="200" w:right="420" w:hanging="195"/>
        <w:spacing w:after="0"/>
        <w:rPr>
          <w:sz w:val="20"/>
          <w:szCs w:val="20"/>
          <w:color w:val="auto"/>
        </w:rPr>
      </w:pPr>
      <w:r>
        <w:rPr>
          <w:sz w:val="1"/>
          <w:szCs w:val="1"/>
          <w:color w:val="auto"/>
        </w:rPr>
        <w:drawing>
          <wp:inline distT="0" distB="0" distL="0" distR="0">
            <wp:extent cx="43180" cy="4318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Reprice stock options or stock appreciation rights without shareholder approval</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single-trigger vesting of equity awards upon a change of control</w:t>
      </w:r>
    </w:p>
    <w:p>
      <w:pPr>
        <w:spacing w:after="0" w:line="86" w:lineRule="exact"/>
        <w:rPr>
          <w:sz w:val="20"/>
          <w:szCs w:val="20"/>
          <w:color w:val="auto"/>
        </w:rPr>
      </w:pPr>
    </w:p>
    <w:p>
      <w:pPr>
        <w:ind w:right="2240"/>
        <w:spacing w:after="0" w:line="374" w:lineRule="auto"/>
        <w:rPr>
          <w:sz w:val="20"/>
          <w:szCs w:val="20"/>
          <w:color w:val="auto"/>
        </w:rPr>
      </w:pPr>
      <w:r>
        <w:rPr>
          <w:sz w:val="1"/>
          <w:szCs w:val="1"/>
          <w:color w:val="auto"/>
        </w:rPr>
        <w:drawing>
          <wp:inline distT="0" distB="0" distL="0" distR="0">
            <wp:extent cx="43180" cy="4318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unreasonably long terms for options </w:t>
      </w:r>
      <w:r>
        <w:rPr>
          <w:sz w:val="1"/>
          <w:szCs w:val="1"/>
          <w:color w:val="auto"/>
        </w:rPr>
        <w:drawing>
          <wp:inline distT="0" distB="0" distL="0" distR="0">
            <wp:extent cx="43180" cy="4318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Pay dividends on unvested awards</w:t>
      </w:r>
    </w:p>
    <w:p>
      <w:pPr>
        <w:spacing w:after="0" w:line="664" w:lineRule="exact"/>
        <w:rPr>
          <w:sz w:val="20"/>
          <w:szCs w:val="20"/>
          <w:color w:val="auto"/>
        </w:rPr>
      </w:pPr>
    </w:p>
    <w:p>
      <w:pPr>
        <w:sectPr>
          <w:pgSz w:w="11900" w:h="16838" w:orient="portrait"/>
          <w:cols w:equalWidth="0" w:num="2">
            <w:col w:w="5560" w:space="160"/>
            <w:col w:w="5520"/>
          </w:cols>
          <w:pgMar w:left="320" w:top="125" w:right="339" w:bottom="1440" w:gutter="0" w:footer="0" w:header="0"/>
          <w:type w:val="continuous"/>
        </w:sectPr>
      </w:pPr>
    </w:p>
    <w:p>
      <w:pPr>
        <w:spacing w:after="0" w:line="8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Design and Structure of Executive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Business and Our Compensation Philosophy</w:t>
      </w:r>
    </w:p>
    <w:p>
      <w:pPr>
        <w:spacing w:after="0" w:line="12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Civeo’s philosophy regarding its executive compensation programs for its NEOs is to provide a comprehensive and competitive total compensation program with the following objectives: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attract, motivate, reward and retain</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reinforce the linkage</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align the interests of</w:t>
            </w:r>
          </w:p>
        </w:tc>
        <w:tc>
          <w:tcPr>
            <w:tcW w:w="200" w:type="dxa"/>
            <w:vAlign w:val="bottom"/>
          </w:tcPr>
          <w:p>
            <w:pPr>
              <w:spacing w:after="0"/>
              <w:rPr>
                <w:sz w:val="24"/>
                <w:szCs w:val="24"/>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design compensation that does</w:t>
            </w:r>
          </w:p>
        </w:tc>
      </w:tr>
      <w:tr>
        <w:trPr>
          <w:trHeight w:val="203"/>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experience and talent to</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between individual</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long-</w:t>
            </w:r>
          </w:p>
        </w:tc>
        <w:tc>
          <w:tcPr>
            <w:tcW w:w="200" w:type="dxa"/>
            <w:vAlign w:val="bottom"/>
          </w:tcPr>
          <w:p>
            <w:pPr>
              <w:spacing w:after="0"/>
              <w:rPr>
                <w:sz w:val="17"/>
                <w:szCs w:val="17"/>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not promote overly conservative</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achieve our short-term goals and objectives and</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performance of executives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term interests of our</w:t>
            </w:r>
          </w:p>
        </w:tc>
        <w:tc>
          <w:tcPr>
            <w:tcW w:w="200" w:type="dxa"/>
            <w:vAlign w:val="bottom"/>
          </w:tcPr>
          <w:p>
            <w:pPr>
              <w:spacing w:after="0"/>
              <w:rPr>
                <w:sz w:val="16"/>
                <w:szCs w:val="16"/>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actions nor excessive risk taking</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successfully execute our longer-term strategic</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and business results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shareholders</w:t>
            </w:r>
          </w:p>
        </w:tc>
        <w:tc>
          <w:tcPr>
            <w:tcW w:w="200" w:type="dxa"/>
            <w:vAlign w:val="bottom"/>
          </w:tcPr>
          <w:p>
            <w:pPr>
              <w:spacing w:after="0"/>
              <w:rPr>
                <w:sz w:val="16"/>
                <w:szCs w:val="16"/>
                <w:color w:val="auto"/>
              </w:rPr>
            </w:pPr>
          </w:p>
        </w:tc>
        <w:tc>
          <w:tcPr>
            <w:tcW w:w="2660" w:type="dxa"/>
            <w:vAlign w:val="bottom"/>
            <w:shd w:val="clear" w:color="auto" w:fill="E8EEF7"/>
          </w:tcPr>
          <w:p>
            <w:pPr>
              <w:spacing w:after="0"/>
              <w:rPr>
                <w:sz w:val="16"/>
                <w:szCs w:val="16"/>
                <w:color w:val="auto"/>
              </w:rPr>
            </w:pPr>
          </w:p>
        </w:tc>
      </w:tr>
      <w:tr>
        <w:trPr>
          <w:trHeight w:val="215"/>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plans</w:t>
            </w: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shd w:val="clear" w:color="auto" w:fill="E8EEF7"/>
          </w:tcPr>
          <w:p>
            <w:pPr>
              <w:spacing w:after="0"/>
              <w:rPr>
                <w:sz w:val="18"/>
                <w:szCs w:val="18"/>
                <w:color w:val="auto"/>
              </w:rPr>
            </w:pPr>
          </w:p>
        </w:tc>
      </w:tr>
      <w:tr>
        <w:trPr>
          <w:trHeight w:val="137"/>
        </w:trPr>
        <w:tc>
          <w:tcPr>
            <w:tcW w:w="370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660" w:type="dxa"/>
            <w:vAlign w:val="bottom"/>
            <w:shd w:val="clear" w:color="auto" w:fill="E8EEF7"/>
          </w:tcPr>
          <w:p>
            <w:pPr>
              <w:spacing w:after="0"/>
              <w:rPr>
                <w:sz w:val="11"/>
                <w:szCs w:val="11"/>
                <w:color w:val="auto"/>
              </w:rPr>
            </w:pPr>
          </w:p>
        </w:tc>
      </w:tr>
    </w:tbl>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as determined in the discretion of the Compensation Committee, compensation above or below median levels of our peer group may be warranted.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Peer Group and Benchmarking</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Compensation Committee engages Mercer as its independent compensation consultant, who provides the Committee with data on a peer group of companies with similar customers, operations and activity drivers to Civeo to benchmark executive compensation. The peer group includes companies in the oil and gas, mining, other natural resource industries and similar, diversified support services companies. These peers typically will be exposed to the cyclical nature of the natural resources market that impacts Civeo’s business and financial results.</w:t>
      </w:r>
    </w:p>
    <w:p>
      <w:pPr>
        <w:spacing w:after="0" w:line="213"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The primary review and selection criteria for the peer group includes a number of factors including, but not limited to: revenue, market capitalization, business/operational characteristics and geographic footprint. Most notably, the majority of the peer group falls within .5x to 2x Civeo's 2024 revenue of $682M positioning Civeo at 92% of the peer group median $742M.</w:t>
      </w:r>
    </w:p>
    <w:p>
      <w:pPr>
        <w:spacing w:after="0" w:line="7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Each year, Mercer reviews Civeo’s peer group of companies used for benchmarking purposes to assess the ongoing competitiveness and suitability of Civeo’s compensation programs and practices. Following the review in late 2024, Mercer recommended that the current peer group remain unchanged, as the screening process did not identify any existing peers that should be added or removed. The Compensation Committee approved the recommendation to keep the current peer group and used the following peer group for compensation evaluation purposes for 2025.</w:t>
      </w:r>
    </w:p>
    <w:p>
      <w:pPr>
        <w:spacing w:after="0" w:line="200" w:lineRule="exact"/>
        <w:rPr>
          <w:sz w:val="20"/>
          <w:szCs w:val="20"/>
          <w:color w:val="auto"/>
        </w:rPr>
      </w:pPr>
    </w:p>
    <w:p>
      <w:pPr>
        <w:spacing w:after="0" w:line="257" w:lineRule="exact"/>
        <w:rPr>
          <w:sz w:val="20"/>
          <w:szCs w:val="20"/>
          <w:color w:val="auto"/>
        </w:rPr>
      </w:pPr>
    </w:p>
    <w:tbl>
      <w:tblPr>
        <w:tblLayout w:type="fixed"/>
        <w:tblInd w:w="780" w:type="dxa"/>
        <w:tblCellMar>
          <w:top w:w="0" w:type="dxa"/>
          <w:left w:w="0" w:type="dxa"/>
          <w:bottom w:w="0" w:type="dxa"/>
          <w:right w:w="0" w:type="dxa"/>
        </w:tblCellMar>
      </w:tblPr>
      <w:tr>
        <w:trPr>
          <w:trHeight w:val="308"/>
        </w:trPr>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Badger Infrastructure Solutions Ltd.</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McGrath RentCorp</w:t>
            </w:r>
          </w:p>
        </w:tc>
        <w:tc>
          <w:tcPr>
            <w:tcW w:w="3480" w:type="dxa"/>
            <w:vAlign w:val="bottom"/>
            <w:shd w:val="clear" w:color="auto" w:fill="E8EEF7"/>
          </w:tcPr>
          <w:p>
            <w:pPr>
              <w:ind w:left="340"/>
              <w:spacing w:after="0"/>
              <w:rPr>
                <w:sz w:val="20"/>
                <w:szCs w:val="20"/>
                <w:color w:val="auto"/>
              </w:rPr>
            </w:pPr>
            <w:r>
              <w:rPr>
                <w:rFonts w:ascii="Arial" w:cs="Arial" w:eastAsia="Arial" w:hAnsi="Arial"/>
                <w:sz w:val="16"/>
                <w:szCs w:val="16"/>
                <w:color w:val="auto"/>
              </w:rPr>
              <w:t>Precision Drilling Corporation</w:t>
            </w:r>
          </w:p>
        </w:tc>
        <w:tc>
          <w:tcPr>
            <w:tcW w:w="0" w:type="dxa"/>
            <w:vAlign w:val="bottom"/>
          </w:tcPr>
          <w:p>
            <w:pPr>
              <w:spacing w:after="0"/>
              <w:rPr>
                <w:sz w:val="1"/>
                <w:szCs w:val="1"/>
                <w:color w:val="auto"/>
              </w:rPr>
            </w:pPr>
          </w:p>
        </w:tc>
      </w:tr>
      <w:tr>
        <w:trPr>
          <w:trHeight w:val="244"/>
        </w:trPr>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Black Diamond Group Limited</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NPK International Inc. (formerly Newpark</w:t>
            </w:r>
          </w:p>
        </w:tc>
        <w:tc>
          <w:tcPr>
            <w:tcW w:w="3480" w:type="dxa"/>
            <w:vAlign w:val="bottom"/>
            <w:shd w:val="clear" w:color="auto" w:fill="E8EEF7"/>
          </w:tcPr>
          <w:p>
            <w:pPr>
              <w:ind w:left="340"/>
              <w:spacing w:after="0"/>
              <w:rPr>
                <w:sz w:val="20"/>
                <w:szCs w:val="20"/>
                <w:color w:val="auto"/>
              </w:rPr>
            </w:pPr>
            <w:r>
              <w:rPr>
                <w:rFonts w:ascii="Arial" w:cs="Arial" w:eastAsia="Arial" w:hAnsi="Arial"/>
                <w:sz w:val="16"/>
                <w:szCs w:val="16"/>
                <w:color w:val="auto"/>
              </w:rPr>
              <w:t>Select Water Solutions, Inc.</w:t>
            </w:r>
          </w:p>
        </w:tc>
        <w:tc>
          <w:tcPr>
            <w:tcW w:w="0" w:type="dxa"/>
            <w:vAlign w:val="bottom"/>
          </w:tcPr>
          <w:p>
            <w:pPr>
              <w:spacing w:after="0"/>
              <w:rPr>
                <w:sz w:val="1"/>
                <w:szCs w:val="1"/>
                <w:color w:val="auto"/>
              </w:rPr>
            </w:pPr>
          </w:p>
        </w:tc>
      </w:tr>
      <w:tr>
        <w:trPr>
          <w:trHeight w:val="215"/>
        </w:trPr>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Dexterra Group Inc.</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Resources, Inc.)</w:t>
            </w:r>
          </w:p>
        </w:tc>
        <w:tc>
          <w:tcPr>
            <w:tcW w:w="3480" w:type="dxa"/>
            <w:vAlign w:val="bottom"/>
            <w:vMerge w:val="restart"/>
            <w:shd w:val="clear" w:color="auto" w:fill="E8EEF7"/>
          </w:tcPr>
          <w:p>
            <w:pPr>
              <w:ind w:left="340"/>
              <w:spacing w:after="0"/>
              <w:rPr>
                <w:sz w:val="20"/>
                <w:szCs w:val="20"/>
                <w:color w:val="auto"/>
              </w:rPr>
            </w:pPr>
            <w:r>
              <w:rPr>
                <w:rFonts w:ascii="Arial" w:cs="Arial" w:eastAsia="Arial" w:hAnsi="Arial"/>
                <w:sz w:val="16"/>
                <w:szCs w:val="16"/>
                <w:color w:val="auto"/>
              </w:rPr>
              <w:t>Target Hospitality Corp.</w:t>
            </w:r>
          </w:p>
        </w:tc>
        <w:tc>
          <w:tcPr>
            <w:tcW w:w="0" w:type="dxa"/>
            <w:vAlign w:val="bottom"/>
          </w:tcPr>
          <w:p>
            <w:pPr>
              <w:spacing w:after="0"/>
              <w:rPr>
                <w:sz w:val="1"/>
                <w:szCs w:val="1"/>
                <w:color w:val="auto"/>
              </w:rPr>
            </w:pPr>
          </w:p>
        </w:tc>
      </w:tr>
      <w:tr>
        <w:trPr>
          <w:trHeight w:val="68"/>
        </w:trPr>
        <w:tc>
          <w:tcPr>
            <w:tcW w:w="3160" w:type="dxa"/>
            <w:vAlign w:val="bottom"/>
            <w:vMerge w:val="continue"/>
            <w:shd w:val="clear" w:color="auto" w:fill="E8EEF7"/>
          </w:tcPr>
          <w:p>
            <w:pPr>
              <w:spacing w:after="0"/>
              <w:rPr>
                <w:sz w:val="5"/>
                <w:szCs w:val="5"/>
                <w:color w:val="auto"/>
              </w:rPr>
            </w:pPr>
          </w:p>
        </w:tc>
        <w:tc>
          <w:tcPr>
            <w:tcW w:w="3760" w:type="dxa"/>
            <w:vAlign w:val="bottom"/>
            <w:shd w:val="clear" w:color="auto" w:fill="E8EEF7"/>
          </w:tcPr>
          <w:p>
            <w:pPr>
              <w:spacing w:after="0"/>
              <w:rPr>
                <w:sz w:val="5"/>
                <w:szCs w:val="5"/>
                <w:color w:val="auto"/>
              </w:rPr>
            </w:pPr>
          </w:p>
        </w:tc>
        <w:tc>
          <w:tcPr>
            <w:tcW w:w="3480" w:type="dxa"/>
            <w:vAlign w:val="bottom"/>
            <w:vMerge w:val="continue"/>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Enerflex Ltd.</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Nine Energy Service, Inc.</w:t>
            </w:r>
          </w:p>
        </w:tc>
        <w:tc>
          <w:tcPr>
            <w:tcW w:w="3480" w:type="dxa"/>
            <w:vAlign w:val="bottom"/>
            <w:vMerge w:val="restart"/>
            <w:shd w:val="clear" w:color="auto" w:fill="E8EEF7"/>
          </w:tcPr>
          <w:p>
            <w:pPr>
              <w:ind w:left="340"/>
              <w:spacing w:after="0"/>
              <w:rPr>
                <w:sz w:val="20"/>
                <w:szCs w:val="20"/>
                <w:color w:val="auto"/>
              </w:rPr>
            </w:pPr>
            <w:r>
              <w:rPr>
                <w:rFonts w:ascii="Arial" w:cs="Arial" w:eastAsia="Arial" w:hAnsi="Arial"/>
                <w:sz w:val="16"/>
                <w:szCs w:val="16"/>
                <w:color w:val="auto"/>
              </w:rPr>
              <w:t>TETRA Technologies, Inc.</w:t>
            </w:r>
          </w:p>
        </w:tc>
        <w:tc>
          <w:tcPr>
            <w:tcW w:w="0" w:type="dxa"/>
            <w:vAlign w:val="bottom"/>
          </w:tcPr>
          <w:p>
            <w:pPr>
              <w:spacing w:after="0"/>
              <w:rPr>
                <w:sz w:val="1"/>
                <w:szCs w:val="1"/>
                <w:color w:val="auto"/>
              </w:rPr>
            </w:pPr>
          </w:p>
        </w:tc>
      </w:tr>
      <w:tr>
        <w:trPr>
          <w:trHeight w:val="68"/>
        </w:trPr>
        <w:tc>
          <w:tcPr>
            <w:tcW w:w="3160" w:type="dxa"/>
            <w:vAlign w:val="bottom"/>
            <w:vMerge w:val="continue"/>
            <w:shd w:val="clear" w:color="auto" w:fill="E8EEF7"/>
          </w:tcPr>
          <w:p>
            <w:pPr>
              <w:spacing w:after="0"/>
              <w:rPr>
                <w:sz w:val="5"/>
                <w:szCs w:val="5"/>
                <w:color w:val="auto"/>
              </w:rPr>
            </w:pPr>
          </w:p>
        </w:tc>
        <w:tc>
          <w:tcPr>
            <w:tcW w:w="3760" w:type="dxa"/>
            <w:vAlign w:val="bottom"/>
            <w:shd w:val="clear" w:color="auto" w:fill="E8EEF7"/>
          </w:tcPr>
          <w:p>
            <w:pPr>
              <w:spacing w:after="0"/>
              <w:rPr>
                <w:sz w:val="5"/>
                <w:szCs w:val="5"/>
                <w:color w:val="auto"/>
              </w:rPr>
            </w:pPr>
          </w:p>
        </w:tc>
        <w:tc>
          <w:tcPr>
            <w:tcW w:w="3480" w:type="dxa"/>
            <w:vAlign w:val="bottom"/>
            <w:vMerge w:val="continue"/>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Forum Energy Technologies, Inc.</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North American Construction Group Ltd.</w:t>
            </w:r>
          </w:p>
        </w:tc>
        <w:tc>
          <w:tcPr>
            <w:tcW w:w="3480" w:type="dxa"/>
            <w:vAlign w:val="bottom"/>
            <w:vMerge w:val="restart"/>
            <w:shd w:val="clear" w:color="auto" w:fill="E8EEF7"/>
          </w:tcPr>
          <w:p>
            <w:pPr>
              <w:ind w:left="340"/>
              <w:spacing w:after="0"/>
              <w:rPr>
                <w:sz w:val="20"/>
                <w:szCs w:val="20"/>
                <w:color w:val="auto"/>
              </w:rPr>
            </w:pPr>
            <w:r>
              <w:rPr>
                <w:rFonts w:ascii="Arial" w:cs="Arial" w:eastAsia="Arial" w:hAnsi="Arial"/>
                <w:sz w:val="16"/>
                <w:szCs w:val="16"/>
                <w:color w:val="auto"/>
              </w:rPr>
              <w:t>Total Energy Services Inc.</w:t>
            </w:r>
          </w:p>
        </w:tc>
        <w:tc>
          <w:tcPr>
            <w:tcW w:w="0" w:type="dxa"/>
            <w:vAlign w:val="bottom"/>
          </w:tcPr>
          <w:p>
            <w:pPr>
              <w:spacing w:after="0"/>
              <w:rPr>
                <w:sz w:val="1"/>
                <w:szCs w:val="1"/>
                <w:color w:val="auto"/>
              </w:rPr>
            </w:pPr>
          </w:p>
        </w:tc>
      </w:tr>
      <w:tr>
        <w:trPr>
          <w:trHeight w:val="81"/>
        </w:trPr>
        <w:tc>
          <w:tcPr>
            <w:tcW w:w="3160" w:type="dxa"/>
            <w:vAlign w:val="bottom"/>
            <w:vMerge w:val="continue"/>
            <w:shd w:val="clear" w:color="auto" w:fill="E8EEF7"/>
          </w:tcPr>
          <w:p>
            <w:pPr>
              <w:spacing w:after="0"/>
              <w:rPr>
                <w:sz w:val="7"/>
                <w:szCs w:val="7"/>
                <w:color w:val="auto"/>
              </w:rPr>
            </w:pPr>
          </w:p>
        </w:tc>
        <w:tc>
          <w:tcPr>
            <w:tcW w:w="3760" w:type="dxa"/>
            <w:vAlign w:val="bottom"/>
            <w:shd w:val="clear" w:color="auto" w:fill="E8EEF7"/>
          </w:tcPr>
          <w:p>
            <w:pPr>
              <w:spacing w:after="0"/>
              <w:rPr>
                <w:sz w:val="7"/>
                <w:szCs w:val="7"/>
                <w:color w:val="auto"/>
              </w:rPr>
            </w:pPr>
          </w:p>
        </w:tc>
        <w:tc>
          <w:tcPr>
            <w:tcW w:w="3480" w:type="dxa"/>
            <w:vAlign w:val="bottom"/>
            <w:vMerge w:val="continue"/>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Matrix Service Company</w:t>
            </w:r>
          </w:p>
        </w:tc>
        <w:tc>
          <w:tcPr>
            <w:tcW w:w="3760" w:type="dxa"/>
            <w:vAlign w:val="bottom"/>
            <w:shd w:val="clear" w:color="auto" w:fill="E8EEF7"/>
          </w:tcPr>
          <w:p>
            <w:pPr>
              <w:ind w:left="460"/>
              <w:spacing w:after="0"/>
              <w:rPr>
                <w:sz w:val="20"/>
                <w:szCs w:val="20"/>
                <w:color w:val="auto"/>
              </w:rPr>
            </w:pPr>
            <w:r>
              <w:rPr>
                <w:rFonts w:ascii="Arial" w:cs="Arial" w:eastAsia="Arial" w:hAnsi="Arial"/>
                <w:sz w:val="16"/>
                <w:szCs w:val="16"/>
                <w:color w:val="auto"/>
              </w:rPr>
              <w:t>Oil States International, Inc.</w:t>
            </w:r>
          </w:p>
        </w:tc>
        <w:tc>
          <w:tcPr>
            <w:tcW w:w="3480" w:type="dxa"/>
            <w:vAlign w:val="bottom"/>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160" w:type="dxa"/>
            <w:vAlign w:val="bottom"/>
            <w:vMerge w:val="continue"/>
            <w:shd w:val="clear" w:color="auto" w:fill="E8EEF7"/>
          </w:tcPr>
          <w:p>
            <w:pPr>
              <w:spacing w:after="0"/>
              <w:rPr>
                <w:sz w:val="5"/>
                <w:szCs w:val="5"/>
                <w:color w:val="auto"/>
              </w:rPr>
            </w:pPr>
          </w:p>
        </w:tc>
        <w:tc>
          <w:tcPr>
            <w:tcW w:w="3760" w:type="dxa"/>
            <w:vAlign w:val="bottom"/>
            <w:shd w:val="clear" w:color="auto" w:fill="E8EEF7"/>
          </w:tcPr>
          <w:p>
            <w:pPr>
              <w:spacing w:after="0"/>
              <w:rPr>
                <w:sz w:val="5"/>
                <w:szCs w:val="5"/>
                <w:color w:val="auto"/>
              </w:rPr>
            </w:pPr>
          </w:p>
        </w:tc>
        <w:tc>
          <w:tcPr>
            <w:tcW w:w="3480" w:type="dxa"/>
            <w:vAlign w:val="bottom"/>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E8EEF7"/>
          </w:tcPr>
          <w:p>
            <w:pPr>
              <w:spacing w:after="0"/>
              <w:rPr>
                <w:sz w:val="18"/>
                <w:szCs w:val="18"/>
                <w:color w:val="auto"/>
              </w:rPr>
            </w:pPr>
          </w:p>
        </w:tc>
        <w:tc>
          <w:tcPr>
            <w:tcW w:w="3760" w:type="dxa"/>
            <w:vAlign w:val="bottom"/>
            <w:shd w:val="clear" w:color="auto" w:fill="E8EEF7"/>
          </w:tcPr>
          <w:p>
            <w:pPr>
              <w:spacing w:after="0"/>
              <w:rPr>
                <w:sz w:val="18"/>
                <w:szCs w:val="18"/>
                <w:color w:val="auto"/>
              </w:rPr>
            </w:pPr>
          </w:p>
        </w:tc>
        <w:tc>
          <w:tcPr>
            <w:tcW w:w="3480" w:type="dxa"/>
            <w:vAlign w:val="bottom"/>
            <w:shd w:val="clear" w:color="auto" w:fill="E8EEF7"/>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and Risk Management</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Civeo’s compensation programs have been designed to (i) promote financial, operational and organizational growth, while giving due consideration to broader enterprise risk management issues and (ii) maintain a balance between short and long-term incentive compensation, shareholder returns, company growth and risk. The Compensation Committee, in its sole discretion, retains full authority to adjust any aspect of Civeo’s compensation programs.</w:t>
      </w:r>
    </w:p>
    <w:p>
      <w:pPr>
        <w:spacing w:after="0" w:line="56"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5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consistent in design and operation with those of our peer companies in the markets where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132715</wp:posOffset>
            </wp:positionV>
            <wp:extent cx="394335" cy="1968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operate. These compensation policies and practices are centrally designed and administered by the Compensation Committee. The following specific factors, in particular, reduce the likelihood of excessive risk-taking:</w:t>
      </w:r>
    </w:p>
    <w:p>
      <w:pPr>
        <w:spacing w:after="0" w:line="61" w:lineRule="exact"/>
        <w:rPr>
          <w:sz w:val="20"/>
          <w:szCs w:val="20"/>
          <w:color w:val="auto"/>
        </w:rPr>
      </w:pPr>
    </w:p>
    <w:p>
      <w:pPr>
        <w:ind w:left="200" w:right="12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Our overall executive compensation levels are competitive with the market, based on information provided by Mercer and reviewed by the Compensation Committee;</w:t>
      </w:r>
    </w:p>
    <w:p>
      <w:pPr>
        <w:spacing w:after="0" w:line="20" w:lineRule="exact"/>
        <w:rPr>
          <w:rFonts w:ascii="Arial" w:cs="Arial" w:eastAsia="Arial" w:hAnsi="Arial"/>
          <w:sz w:val="16"/>
          <w:szCs w:val="16"/>
          <w:color w:val="006DB6"/>
        </w:rPr>
      </w:pPr>
    </w:p>
    <w:p>
      <w:pPr>
        <w:jc w:val="both"/>
        <w:ind w:left="200" w:right="440" w:hanging="192"/>
        <w:spacing w:after="0" w:line="275"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Our executive compensation mix is balanced among (i) fixed components including salary and benefits, (ii) capped annual incentives that reward our overall financial and operating performance and (iii) long-term incentives, at least 50% of which are generally performance-based for NEOs, to more closely align executive compensation with shareholder interests and to provide for a substantial portion of at-risk compensation;</w:t>
      </w:r>
    </w:p>
    <w:p>
      <w:pPr>
        <w:spacing w:after="0" w:line="15" w:lineRule="exact"/>
        <w:rPr>
          <w:rFonts w:ascii="Arial" w:cs="Arial" w:eastAsia="Arial" w:hAnsi="Arial"/>
          <w:sz w:val="16"/>
          <w:szCs w:val="16"/>
          <w:color w:val="006DB6"/>
        </w:rPr>
      </w:pPr>
    </w:p>
    <w:p>
      <w:pPr>
        <w:ind w:left="200" w:right="640" w:hanging="192"/>
        <w:spacing w:after="0" w:line="304"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6" w:lineRule="exact"/>
        <w:rPr>
          <w:rFonts w:ascii="Arial" w:cs="Arial" w:eastAsia="Arial" w:hAnsi="Arial"/>
          <w:sz w:val="16"/>
          <w:szCs w:val="16"/>
          <w:color w:val="006DB6"/>
        </w:rPr>
      </w:pPr>
    </w:p>
    <w:p>
      <w:pPr>
        <w:ind w:left="200" w:right="48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We have established maximum award levels as a cap on performance incentives. The Compensation Committee caps performance shares at 100% payout (Target), for this portion of the award, if Civeo’s TSR over the performance period is negative, irrespective of relative performance.</w:t>
      </w:r>
    </w:p>
    <w:p>
      <w:pPr>
        <w:spacing w:after="0" w:line="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summary, although a portion of the compensation provided to our NEOs is based on our overall performance or division performance, we believe our compensation programs do not encourage excessive or unnecessary risk-taking by our NEOs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Compensation Program Components</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for each of our NEOs for 2024. Overall compensation consists of base salary, annual performance incentive awards and long-term incentive awards.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Base Salary</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fixed to avoid fluctuations in compensation that could distract our executives from the performance of their responsibilities. Base salaries for NEOs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our peer group of companies but vary from this reference point when and where deemed appropriate by the Compensation Committee.</w:t>
      </w:r>
    </w:p>
    <w:p>
      <w:pPr>
        <w:spacing w:after="0" w:line="5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Base salaries, as in effect on December 31, 2024 and December 31, 2023 are set forth below for each named executive officer. Adjustments to NEO compensation are considered by the Compensation Committee in consultation with Mercer. The Compensation Committee considers market data, executive tenure in the role, performance and other internal equity factors when recommending changes to NEO compensation. For 2024, the Committee approved increases in Mr. Gerry’s and Mr. Brewer’s base salaries in connection with their respective promotions in August 2024 and an increase in Mr. McCann’s base salary in recognition of his individual performance and to more closely approximate the median market range for his role.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40" w:type="dxa"/>
            <w:vAlign w:val="bottom"/>
            <w:gridSpan w:val="2"/>
          </w:tcPr>
          <w:p>
            <w:pPr>
              <w:ind w:left="720"/>
              <w:spacing w:after="0"/>
              <w:rPr>
                <w:sz w:val="20"/>
                <w:szCs w:val="20"/>
                <w:color w:val="auto"/>
              </w:rPr>
            </w:pPr>
            <w:r>
              <w:rPr>
                <w:rFonts w:ascii="Arial" w:cs="Arial" w:eastAsia="Arial" w:hAnsi="Arial"/>
                <w:sz w:val="14"/>
                <w:szCs w:val="14"/>
                <w:b w:val="1"/>
                <w:bCs w:val="1"/>
                <w:color w:val="70706F"/>
              </w:rPr>
              <w:t>2024 Base Salary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70706F"/>
              </w:rPr>
              <w:t>2023 Base Salary</w:t>
            </w:r>
          </w:p>
        </w:tc>
      </w:tr>
      <w:tr>
        <w:trPr>
          <w:trHeight w:val="219"/>
        </w:trPr>
        <w:tc>
          <w:tcPr>
            <w:tcW w:w="17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760" w:type="dxa"/>
            <w:vAlign w:val="bottom"/>
            <w:tcBorders>
              <w:bottom w:val="single" w:sz="8" w:color="006DB6"/>
            </w:tcBorders>
          </w:tcPr>
          <w:p>
            <w:pPr>
              <w:ind w:left="260"/>
              <w:spacing w:after="0"/>
              <w:rPr>
                <w:sz w:val="20"/>
                <w:szCs w:val="20"/>
                <w:color w:val="auto"/>
              </w:rPr>
            </w:pPr>
            <w:r>
              <w:rPr>
                <w:rFonts w:ascii="Arial" w:cs="Arial" w:eastAsia="Arial" w:hAnsi="Arial"/>
                <w:sz w:val="14"/>
                <w:szCs w:val="14"/>
                <w:b w:val="1"/>
                <w:bCs w:val="1"/>
                <w:color w:val="70706F"/>
              </w:rPr>
              <w:t>Position</w:t>
            </w:r>
          </w:p>
        </w:tc>
        <w:tc>
          <w:tcPr>
            <w:tcW w:w="960" w:type="dxa"/>
            <w:vAlign w:val="bottom"/>
            <w:tcBorders>
              <w:bottom w:val="single" w:sz="8" w:color="006DB6"/>
            </w:tcBorders>
          </w:tcPr>
          <w:p>
            <w:pPr>
              <w:spacing w:after="0"/>
              <w:rPr>
                <w:sz w:val="19"/>
                <w:szCs w:val="19"/>
                <w:color w:val="auto"/>
              </w:rPr>
            </w:pPr>
          </w:p>
        </w:tc>
        <w:tc>
          <w:tcPr>
            <w:tcW w:w="1080" w:type="dxa"/>
            <w:vAlign w:val="bottom"/>
            <w:tcBorders>
              <w:bottom w:val="single" w:sz="8" w:color="006DB6"/>
            </w:tcBorders>
          </w:tcPr>
          <w:p>
            <w:pPr>
              <w:jc w:val="center"/>
              <w:spacing w:after="0"/>
              <w:rPr>
                <w:sz w:val="20"/>
                <w:szCs w:val="20"/>
                <w:color w:val="auto"/>
              </w:rPr>
            </w:pPr>
            <w:r>
              <w:rPr>
                <w:rFonts w:ascii="Arial" w:cs="Arial" w:eastAsia="Arial" w:hAnsi="Arial"/>
                <w:sz w:val="14"/>
                <w:szCs w:val="14"/>
                <w:b w:val="1"/>
                <w:bCs w:val="1"/>
                <w:color w:val="70706F"/>
              </w:rPr>
              <w:t xml:space="preserve">(USD) </w:t>
            </w:r>
            <w:r>
              <w:rPr>
                <w:rFonts w:ascii="Arial" w:cs="Arial" w:eastAsia="Arial" w:hAnsi="Arial"/>
                <w:sz w:val="10"/>
                <w:szCs w:val="10"/>
                <w:b w:val="1"/>
                <w:bCs w:val="1"/>
                <w:color w:val="70706F"/>
              </w:rPr>
              <w:t>(1) (2)</w:t>
            </w:r>
          </w:p>
        </w:tc>
        <w:tc>
          <w:tcPr>
            <w:tcW w:w="240" w:type="dxa"/>
            <w:vAlign w:val="bottom"/>
            <w:tcBorders>
              <w:bottom w:val="single" w:sz="8" w:color="006DB6"/>
            </w:tcBorders>
          </w:tcPr>
          <w:p>
            <w:pPr>
              <w:spacing w:after="0"/>
              <w:rPr>
                <w:sz w:val="19"/>
                <w:szCs w:val="19"/>
                <w:color w:val="auto"/>
              </w:rPr>
            </w:pPr>
          </w:p>
        </w:tc>
        <w:tc>
          <w:tcPr>
            <w:tcW w:w="12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(USD) (1)</w:t>
            </w:r>
          </w:p>
        </w:tc>
      </w:tr>
      <w:tr>
        <w:trPr>
          <w:trHeight w:val="239"/>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President and Chief Executive Officer</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750,000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750,000</w:t>
            </w:r>
          </w:p>
        </w:tc>
      </w:tr>
      <w:tr>
        <w:trPr>
          <w:trHeight w:val="236"/>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Senior Vice President, Chief Financial Officer and Treasurer</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380,000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318,682</w:t>
            </w:r>
          </w:p>
        </w:tc>
      </w:tr>
      <w:tr>
        <w:trPr>
          <w:trHeight w:val="23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Senior Vice President, Canada</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365,050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3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Senior Vice President, Australia</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329,850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296,865</w:t>
            </w:r>
          </w:p>
        </w:tc>
      </w:tr>
      <w:tr>
        <w:trPr>
          <w:trHeight w:val="236"/>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Vice President, Chief Accounting Officer</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280,000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223,000</w:t>
            </w:r>
          </w:p>
        </w:tc>
      </w:tr>
      <w:tr>
        <w:trPr>
          <w:trHeight w:val="23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Former Senior Vice President, Canada</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372,351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372,351</w:t>
            </w:r>
          </w:p>
        </w:tc>
      </w:tr>
      <w:tr>
        <w:trPr>
          <w:trHeight w:val="236"/>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Former Senior Vice President, Chief Financial Officer and Treasurer</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425,000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425,000</w:t>
            </w:r>
          </w:p>
        </w:tc>
      </w:tr>
    </w:tbl>
    <w:p>
      <w:pPr>
        <w:spacing w:after="0" w:line="180" w:lineRule="exact"/>
        <w:rPr>
          <w:sz w:val="20"/>
          <w:szCs w:val="20"/>
          <w:color w:val="auto"/>
        </w:rPr>
      </w:pPr>
    </w:p>
    <w:p>
      <w:pPr>
        <w:ind w:right="140" w:firstLine="8"/>
        <w:spacing w:after="0" w:line="462"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Mr. McCann is paid in Australian dollars and Messrs. Fraser and Schoening are paid in Canadian dollars. Their respective base salaries have been converted to U.S. dollars at an exchange rate of $0.6597 U.S. dollar per Australian dollar and $0.7301 U.S. dollar per Canadian dollar, respectively, which reflect the average exchange rates for each currency for 2024.</w:t>
      </w:r>
    </w:p>
    <w:p>
      <w:pPr>
        <w:spacing w:after="0" w:line="1"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Reflects annual base salary as in effect on date of termination for Ms. Stone.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Annual Incentive Compensation Plan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NEOs.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w:t>
      </w:r>
    </w:p>
    <w:p>
      <w:pPr>
        <w:spacing w:after="0" w:line="115" w:lineRule="exact"/>
        <w:rPr>
          <w:sz w:val="20"/>
          <w:szCs w:val="20"/>
          <w:color w:val="auto"/>
        </w:rPr>
      </w:pPr>
    </w:p>
    <w:tbl>
      <w:tblPr>
        <w:tblLayout w:type="fixed"/>
        <w:tblInd w:w="370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1920" w:type="dxa"/>
            <w:vAlign w:val="bottom"/>
          </w:tcPr>
          <w:p>
            <w:pPr>
              <w:jc w:val="center"/>
              <w:ind w:left="61"/>
              <w:spacing w:after="0"/>
              <w:rPr>
                <w:sz w:val="20"/>
                <w:szCs w:val="20"/>
                <w:color w:val="auto"/>
              </w:rPr>
            </w:pPr>
            <w:r>
              <w:rPr>
                <w:rFonts w:ascii="Arial" w:cs="Arial" w:eastAsia="Arial" w:hAnsi="Arial"/>
                <w:sz w:val="14"/>
                <w:szCs w:val="14"/>
                <w:b w:val="1"/>
                <w:bCs w:val="1"/>
                <w:color w:val="70706F"/>
              </w:rPr>
              <w:t>Target AICP</w:t>
            </w:r>
          </w:p>
        </w:tc>
      </w:tr>
      <w:tr>
        <w:trPr>
          <w:trHeight w:val="219"/>
        </w:trPr>
        <w:tc>
          <w:tcPr>
            <w:tcW w:w="1920" w:type="dxa"/>
            <w:vAlign w:val="bottom"/>
            <w:tcBorders>
              <w:bottom w:val="single" w:sz="8" w:color="006DB6"/>
            </w:tcBorders>
          </w:tcPr>
          <w:p>
            <w:pPr>
              <w:ind w:left="840"/>
              <w:spacing w:after="0"/>
              <w:rPr>
                <w:sz w:val="20"/>
                <w:szCs w:val="20"/>
                <w:color w:val="auto"/>
              </w:rPr>
            </w:pPr>
            <w:r>
              <w:rPr>
                <w:rFonts w:ascii="Arial" w:cs="Arial" w:eastAsia="Arial" w:hAnsi="Arial"/>
                <w:sz w:val="14"/>
                <w:szCs w:val="14"/>
                <w:b w:val="1"/>
                <w:bCs w:val="1"/>
                <w:color w:val="70706F"/>
              </w:rPr>
              <w:t>Name</w:t>
            </w:r>
          </w:p>
        </w:tc>
        <w:tc>
          <w:tcPr>
            <w:tcW w:w="1920" w:type="dxa"/>
            <w:vAlign w:val="bottom"/>
            <w:tcBorders>
              <w:bottom w:val="single" w:sz="8" w:color="006DB6"/>
            </w:tcBorders>
          </w:tcPr>
          <w:p>
            <w:pPr>
              <w:jc w:val="center"/>
              <w:ind w:left="61"/>
              <w:spacing w:after="0"/>
              <w:rPr>
                <w:sz w:val="20"/>
                <w:szCs w:val="20"/>
                <w:color w:val="auto"/>
              </w:rPr>
            </w:pPr>
            <w:r>
              <w:rPr>
                <w:rFonts w:ascii="Arial" w:cs="Arial" w:eastAsia="Arial" w:hAnsi="Arial"/>
                <w:sz w:val="14"/>
                <w:szCs w:val="14"/>
                <w:b w:val="1"/>
                <w:bCs w:val="1"/>
                <w:color w:val="70706F"/>
              </w:rPr>
              <w:t>(% of base salary)</w:t>
            </w:r>
          </w:p>
        </w:tc>
      </w:tr>
      <w:tr>
        <w:trPr>
          <w:trHeight w:val="239"/>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100%</w:t>
            </w: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60%</w:t>
            </w: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70%</w:t>
            </w:r>
          </w:p>
        </w:tc>
      </w:tr>
      <w:tr>
        <w:trPr>
          <w:trHeight w:val="236"/>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70%</w:t>
            </w: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60%</w:t>
            </w:r>
          </w:p>
        </w:tc>
      </w:tr>
      <w:tr>
        <w:trPr>
          <w:trHeight w:val="23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70%</w:t>
            </w:r>
          </w:p>
        </w:tc>
      </w:tr>
      <w:tr>
        <w:trPr>
          <w:trHeight w:val="240"/>
        </w:trPr>
        <w:tc>
          <w:tcPr>
            <w:tcW w:w="192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b w:val="1"/>
                <w:bCs w:val="1"/>
                <w:color w:val="006DB6"/>
              </w:rPr>
              <w:t xml:space="preserve">Carolyn J. Stone </w:t>
            </w:r>
            <w:r>
              <w:rPr>
                <w:rFonts w:ascii="Arial" w:cs="Arial" w:eastAsia="Arial" w:hAnsi="Arial"/>
                <w:sz w:val="21"/>
                <w:szCs w:val="21"/>
                <w:b w:val="1"/>
                <w:bCs w:val="1"/>
                <w:color w:val="006DB6"/>
                <w:vertAlign w:val="superscript"/>
              </w:rPr>
              <w:t>(1)</w:t>
            </w:r>
          </w:p>
        </w:tc>
        <w:tc>
          <w:tcPr>
            <w:tcW w:w="19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70%</w:t>
            </w:r>
          </w:p>
        </w:tc>
      </w:tr>
    </w:tbl>
    <w:p>
      <w:pPr>
        <w:spacing w:after="0" w:line="180"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Ms. Stone's termination resulted in a forfeiture of her 2024 AICP opportunity.</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For 2024, achieving results which exceeded a minimum, or threshold, level of performance triggered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of 85% or less of the related AICP performance objective) results in no AICP award. A target award is earned when an executive achieves 100% of his or her safety and financial performance objectives. Overachievement of financial performance objectives is measured against the greater of (1) 120% of the current year's budgeted EBITDA or (2) the prior year's actual AICP EBITDA performance. Overachievement of safety objectives is earned when safety performance results are above 100% of budgeted safety, with the maximum being 120%. Where performance results fall between the threshold and target level, a pro rata percentage of the target amount is paid out. Where performance results fall between the target and maximum level, 100-200% of the target amount is paid out proportionately.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THRESHOLD AICP, TARGET AICP AND MAXIMUM AICP AWARD OPPORTUNITIES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Threshold</w:t>
            </w:r>
          </w:p>
        </w:tc>
        <w:tc>
          <w:tcPr>
            <w:tcW w:w="3140" w:type="dxa"/>
            <w:vAlign w:val="bottom"/>
            <w:tcBorders>
              <w:bottom w:val="single" w:sz="8" w:color="006DB6"/>
            </w:tcBorders>
          </w:tcPr>
          <w:p>
            <w:pPr>
              <w:ind w:left="320"/>
              <w:spacing w:after="0"/>
              <w:rPr>
                <w:sz w:val="20"/>
                <w:szCs w:val="20"/>
                <w:color w:val="auto"/>
              </w:rPr>
            </w:pPr>
            <w:r>
              <w:rPr>
                <w:rFonts w:ascii="Arial" w:cs="Arial" w:eastAsia="Arial" w:hAnsi="Arial"/>
                <w:sz w:val="14"/>
                <w:szCs w:val="14"/>
                <w:b w:val="1"/>
                <w:bCs w:val="1"/>
                <w:color w:val="70706F"/>
              </w:rPr>
              <w:t>Target</w:t>
            </w:r>
          </w:p>
        </w:tc>
        <w:tc>
          <w:tcPr>
            <w:tcW w:w="5340" w:type="dxa"/>
            <w:vAlign w:val="bottom"/>
            <w:tcBorders>
              <w:bottom w:val="single" w:sz="8" w:color="006DB6"/>
            </w:tcBorders>
          </w:tcPr>
          <w:p>
            <w:pPr>
              <w:ind w:left="2360"/>
              <w:spacing w:after="0"/>
              <w:rPr>
                <w:sz w:val="20"/>
                <w:szCs w:val="20"/>
                <w:color w:val="auto"/>
              </w:rPr>
            </w:pPr>
            <w:r>
              <w:rPr>
                <w:rFonts w:ascii="Arial" w:cs="Arial" w:eastAsia="Arial" w:hAnsi="Arial"/>
                <w:sz w:val="14"/>
                <w:szCs w:val="14"/>
                <w:b w:val="1"/>
                <w:bCs w:val="1"/>
                <w:color w:val="70706F"/>
              </w:rPr>
              <w:t>Maximum</w:t>
            </w:r>
          </w:p>
        </w:tc>
        <w:tc>
          <w:tcPr>
            <w:tcW w:w="0" w:type="dxa"/>
            <w:vAlign w:val="bottom"/>
          </w:tcPr>
          <w:p>
            <w:pPr>
              <w:spacing w:after="0"/>
              <w:rPr>
                <w:sz w:val="1"/>
                <w:szCs w:val="1"/>
                <w:color w:val="auto"/>
              </w:rPr>
            </w:pPr>
          </w:p>
        </w:tc>
      </w:tr>
      <w:tr>
        <w:trPr>
          <w:trHeight w:val="256"/>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No AICP award is achieved until</w:t>
            </w:r>
          </w:p>
        </w:tc>
        <w:tc>
          <w:tcPr>
            <w:tcW w:w="3140" w:type="dxa"/>
            <w:vAlign w:val="bottom"/>
          </w:tcPr>
          <w:p>
            <w:pPr>
              <w:ind w:left="320"/>
              <w:spacing w:after="0"/>
              <w:rPr>
                <w:sz w:val="20"/>
                <w:szCs w:val="20"/>
                <w:color w:val="auto"/>
              </w:rPr>
            </w:pPr>
            <w:r>
              <w:rPr>
                <w:rFonts w:ascii="Arial" w:cs="Arial" w:eastAsia="Arial" w:hAnsi="Arial"/>
                <w:sz w:val="16"/>
                <w:szCs w:val="16"/>
                <w:color w:val="auto"/>
              </w:rPr>
              <w:t>Earned when an executive achieves</w:t>
            </w:r>
          </w:p>
        </w:tc>
        <w:tc>
          <w:tcPr>
            <w:tcW w:w="5340" w:type="dxa"/>
            <w:vAlign w:val="bottom"/>
          </w:tcPr>
          <w:p>
            <w:pPr>
              <w:ind w:left="80"/>
              <w:spacing w:after="0"/>
              <w:rPr>
                <w:sz w:val="20"/>
                <w:szCs w:val="20"/>
                <w:color w:val="auto"/>
              </w:rPr>
            </w:pPr>
            <w:r>
              <w:rPr>
                <w:rFonts w:ascii="Arial" w:cs="Arial" w:eastAsia="Arial" w:hAnsi="Arial"/>
                <w:sz w:val="16"/>
                <w:szCs w:val="16"/>
                <w:color w:val="auto"/>
              </w:rPr>
              <w:t>Earned when performance of financial objectives is the greater of 120%</w:t>
            </w:r>
          </w:p>
        </w:tc>
        <w:tc>
          <w:tcPr>
            <w:tcW w:w="0" w:type="dxa"/>
            <w:vAlign w:val="bottom"/>
          </w:tcPr>
          <w:p>
            <w:pPr>
              <w:spacing w:after="0"/>
              <w:rPr>
                <w:sz w:val="1"/>
                <w:szCs w:val="1"/>
                <w:color w:val="auto"/>
              </w:rPr>
            </w:pPr>
          </w:p>
        </w:tc>
      </w:tr>
      <w:tr>
        <w:trPr>
          <w:trHeight w:val="95"/>
        </w:trPr>
        <w:tc>
          <w:tcPr>
            <w:tcW w:w="2680" w:type="dxa"/>
            <w:vAlign w:val="bottom"/>
            <w:vMerge w:val="continue"/>
          </w:tcPr>
          <w:p>
            <w:pPr>
              <w:spacing w:after="0"/>
              <w:rPr>
                <w:sz w:val="8"/>
                <w:szCs w:val="8"/>
                <w:color w:val="auto"/>
              </w:rPr>
            </w:pPr>
          </w:p>
        </w:tc>
        <w:tc>
          <w:tcPr>
            <w:tcW w:w="3140" w:type="dxa"/>
            <w:vAlign w:val="bottom"/>
            <w:vMerge w:val="restart"/>
          </w:tcPr>
          <w:p>
            <w:pPr>
              <w:ind w:left="320"/>
              <w:spacing w:after="0"/>
              <w:rPr>
                <w:sz w:val="20"/>
                <w:szCs w:val="20"/>
                <w:color w:val="auto"/>
              </w:rPr>
            </w:pPr>
            <w:r>
              <w:rPr>
                <w:rFonts w:ascii="Arial" w:cs="Arial" w:eastAsia="Arial" w:hAnsi="Arial"/>
                <w:sz w:val="16"/>
                <w:szCs w:val="16"/>
                <w:color w:val="auto"/>
              </w:rPr>
              <w:t>100% of his or her safety and financial</w:t>
            </w:r>
          </w:p>
        </w:tc>
        <w:tc>
          <w:tcPr>
            <w:tcW w:w="5340" w:type="dxa"/>
            <w:vAlign w:val="bottom"/>
            <w:vMerge w:val="restart"/>
          </w:tcPr>
          <w:p>
            <w:pPr>
              <w:ind w:left="80"/>
              <w:spacing w:after="0"/>
              <w:rPr>
                <w:sz w:val="20"/>
                <w:szCs w:val="20"/>
                <w:color w:val="auto"/>
              </w:rPr>
            </w:pPr>
            <w:r>
              <w:rPr>
                <w:rFonts w:ascii="Arial" w:cs="Arial" w:eastAsia="Arial" w:hAnsi="Arial"/>
                <w:sz w:val="16"/>
                <w:szCs w:val="16"/>
                <w:color w:val="auto"/>
              </w:rPr>
              <w:t>of target or last year's financial objective. The maximum being 120%,</w:t>
            </w:r>
          </w:p>
        </w:tc>
        <w:tc>
          <w:tcPr>
            <w:tcW w:w="0" w:type="dxa"/>
            <w:vAlign w:val="bottom"/>
          </w:tcPr>
          <w:p>
            <w:pPr>
              <w:spacing w:after="0"/>
              <w:rPr>
                <w:sz w:val="1"/>
                <w:szCs w:val="1"/>
                <w:color w:val="auto"/>
              </w:rPr>
            </w:pPr>
          </w:p>
        </w:tc>
      </w:tr>
      <w:tr>
        <w:trPr>
          <w:trHeight w:val="108"/>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threshold is exceeded</w:t>
            </w:r>
          </w:p>
        </w:tc>
        <w:tc>
          <w:tcPr>
            <w:tcW w:w="3140" w:type="dxa"/>
            <w:vAlign w:val="bottom"/>
            <w:vMerge w:val="continue"/>
          </w:tcPr>
          <w:p>
            <w:pPr>
              <w:spacing w:after="0"/>
              <w:rPr>
                <w:sz w:val="9"/>
                <w:szCs w:val="9"/>
                <w:color w:val="auto"/>
              </w:rPr>
            </w:pPr>
          </w:p>
        </w:tc>
        <w:tc>
          <w:tcPr>
            <w:tcW w:w="5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80" w:type="dxa"/>
            <w:vAlign w:val="bottom"/>
            <w:vMerge w:val="continue"/>
          </w:tcPr>
          <w:p>
            <w:pPr>
              <w:spacing w:after="0"/>
              <w:rPr>
                <w:sz w:val="9"/>
                <w:szCs w:val="9"/>
                <w:color w:val="auto"/>
              </w:rPr>
            </w:pPr>
          </w:p>
        </w:tc>
        <w:tc>
          <w:tcPr>
            <w:tcW w:w="3140" w:type="dxa"/>
            <w:vAlign w:val="bottom"/>
            <w:vMerge w:val="restart"/>
          </w:tcPr>
          <w:p>
            <w:pPr>
              <w:ind w:left="320"/>
              <w:spacing w:after="0"/>
              <w:rPr>
                <w:sz w:val="20"/>
                <w:szCs w:val="20"/>
                <w:color w:val="auto"/>
              </w:rPr>
            </w:pPr>
            <w:r>
              <w:rPr>
                <w:rFonts w:ascii="Arial" w:cs="Arial" w:eastAsia="Arial" w:hAnsi="Arial"/>
                <w:sz w:val="16"/>
                <w:szCs w:val="16"/>
                <w:color w:val="auto"/>
              </w:rPr>
              <w:t>performance objectives</w:t>
            </w:r>
          </w:p>
        </w:tc>
        <w:tc>
          <w:tcPr>
            <w:tcW w:w="5340" w:type="dxa"/>
            <w:vAlign w:val="bottom"/>
            <w:vMerge w:val="restart"/>
          </w:tcPr>
          <w:p>
            <w:pPr>
              <w:ind w:left="80"/>
              <w:spacing w:after="0"/>
              <w:rPr>
                <w:sz w:val="20"/>
                <w:szCs w:val="20"/>
                <w:color w:val="auto"/>
              </w:rPr>
            </w:pPr>
            <w:r>
              <w:rPr>
                <w:rFonts w:ascii="Arial" w:cs="Arial" w:eastAsia="Arial" w:hAnsi="Arial"/>
                <w:sz w:val="16"/>
                <w:szCs w:val="16"/>
                <w:color w:val="auto"/>
              </w:rPr>
              <w:t>which would result in a payout capped at 200% of target</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5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maximum AICP percentage permitted under the AICP is capped at two times the target level to mitigate the potential for excessive risk taking.</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AICP awards to be paid to each NEO and, in aggregate, to all AICP participants. In its sole discretion, the Compensation Committee interprets all provisions of the AICP and has authority to make positive or negative adjustments in individual, business unit or Civeo’s consolidated results.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performance metrics formed the basis for AICP award determinations for our NEOs for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860" w:type="dxa"/>
            <w:vAlign w:val="bottom"/>
            <w:tcBorders>
              <w:bottom w:val="single" w:sz="8" w:color="006DB6"/>
            </w:tcBorders>
            <w:gridSpan w:val="2"/>
          </w:tcPr>
          <w:p>
            <w:pPr>
              <w:jc w:val="right"/>
              <w:ind w:right="581"/>
              <w:spacing w:after="0"/>
              <w:rPr>
                <w:sz w:val="20"/>
                <w:szCs w:val="20"/>
                <w:color w:val="auto"/>
              </w:rPr>
            </w:pPr>
            <w:r>
              <w:rPr>
                <w:rFonts w:ascii="Arial" w:cs="Arial" w:eastAsia="Arial" w:hAnsi="Arial"/>
                <w:sz w:val="14"/>
                <w:szCs w:val="14"/>
                <w:b w:val="1"/>
                <w:bCs w:val="1"/>
                <w:color w:val="70706F"/>
              </w:rPr>
              <w:t>Financial Performance</w:t>
            </w:r>
          </w:p>
        </w:tc>
        <w:tc>
          <w:tcPr>
            <w:tcW w:w="122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70706F"/>
              </w:rPr>
              <w:t>Consolidated AICP</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70706F"/>
              </w:rPr>
              <w:t>Division AICP</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70706F"/>
              </w:rPr>
              <w:t>Safety</w:t>
            </w:r>
          </w:p>
        </w:tc>
      </w:tr>
      <w:tr>
        <w:trPr>
          <w:trHeight w:val="219"/>
        </w:trPr>
        <w:tc>
          <w:tcPr>
            <w:tcW w:w="17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440" w:type="dxa"/>
            <w:vAlign w:val="bottom"/>
            <w:tcBorders>
              <w:bottom w:val="single" w:sz="8" w:color="006DB6"/>
            </w:tcBorders>
          </w:tcPr>
          <w:p>
            <w:pPr>
              <w:ind w:left="220"/>
              <w:spacing w:after="0"/>
              <w:rPr>
                <w:sz w:val="20"/>
                <w:szCs w:val="20"/>
                <w:color w:val="auto"/>
              </w:rPr>
            </w:pPr>
            <w:r>
              <w:rPr>
                <w:rFonts w:ascii="Arial" w:cs="Arial" w:eastAsia="Arial" w:hAnsi="Arial"/>
                <w:sz w:val="14"/>
                <w:szCs w:val="14"/>
                <w:b w:val="1"/>
                <w:bCs w:val="1"/>
                <w:color w:val="70706F"/>
              </w:rPr>
              <w:t>Position</w:t>
            </w:r>
          </w:p>
        </w:tc>
        <w:tc>
          <w:tcPr>
            <w:tcW w:w="1720" w:type="dxa"/>
            <w:vAlign w:val="bottom"/>
            <w:tcBorders>
              <w:bottom w:val="single" w:sz="8" w:color="006DB6"/>
            </w:tcBorders>
          </w:tcPr>
          <w:p>
            <w:pPr>
              <w:jc w:val="right"/>
              <w:ind w:right="82"/>
              <w:spacing w:after="0"/>
              <w:rPr>
                <w:sz w:val="20"/>
                <w:szCs w:val="20"/>
                <w:color w:val="auto"/>
              </w:rPr>
            </w:pPr>
            <w:r>
              <w:rPr>
                <w:rFonts w:ascii="Arial" w:cs="Arial" w:eastAsia="Arial" w:hAnsi="Arial"/>
                <w:sz w:val="14"/>
                <w:szCs w:val="14"/>
                <w:b w:val="1"/>
                <w:bCs w:val="1"/>
                <w:color w:val="70706F"/>
              </w:rPr>
              <w:t>EBITDA</w:t>
            </w:r>
          </w:p>
        </w:tc>
        <w:tc>
          <w:tcPr>
            <w:tcW w:w="11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EBITDA</w:t>
            </w:r>
          </w:p>
        </w:tc>
        <w:tc>
          <w:tcPr>
            <w:tcW w:w="12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Performance</w:t>
            </w:r>
          </w:p>
        </w:tc>
      </w:tr>
      <w:tr>
        <w:trPr>
          <w:trHeight w:val="23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40"/>
        </w:trPr>
        <w:tc>
          <w:tcPr>
            <w:tcW w:w="172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b w:val="1"/>
                <w:bCs w:val="1"/>
                <w:color w:val="006DB6"/>
              </w:rPr>
              <w:t xml:space="preserve">E. Collin Gerry </w:t>
            </w:r>
            <w:r>
              <w:rPr>
                <w:rFonts w:ascii="Arial" w:cs="Arial" w:eastAsia="Arial" w:hAnsi="Arial"/>
                <w:sz w:val="21"/>
                <w:szCs w:val="21"/>
                <w:b w:val="1"/>
                <w:bCs w:val="1"/>
                <w:color w:val="006DB6"/>
                <w:vertAlign w:val="superscript"/>
              </w:rPr>
              <w:t>(1)</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Senior Vice President, Chief Financial Officer and Treasurer</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Senior Vice President, Canada</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Senior Vice President, Australia</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Vice President, Chief Accounting Officer</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Former Senior Vice President, Canada</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bl>
    <w:p>
      <w:pPr>
        <w:spacing w:after="0" w:line="193" w:lineRule="exact"/>
        <w:rPr>
          <w:sz w:val="20"/>
          <w:szCs w:val="20"/>
          <w:color w:val="auto"/>
        </w:rPr>
      </w:pPr>
    </w:p>
    <w:p>
      <w:pPr>
        <w:ind w:right="440" w:firstLine="8"/>
        <w:spacing w:after="0"/>
        <w:tabs>
          <w:tab w:leader="none" w:pos="158" w:val="left"/>
        </w:tabs>
        <w:numPr>
          <w:ilvl w:val="0"/>
          <w:numId w:val="39"/>
        </w:numPr>
        <w:rPr>
          <w:rFonts w:ascii="Arial" w:cs="Arial" w:eastAsia="Arial" w:hAnsi="Arial"/>
          <w:sz w:val="18"/>
          <w:szCs w:val="18"/>
          <w:color w:val="auto"/>
          <w:vertAlign w:val="superscript"/>
        </w:rPr>
      </w:pPr>
      <w:r>
        <w:rPr>
          <w:rFonts w:ascii="Arial" w:cs="Arial" w:eastAsia="Arial" w:hAnsi="Arial"/>
          <w:sz w:val="12"/>
          <w:szCs w:val="12"/>
          <w:color w:val="auto"/>
        </w:rPr>
        <w:t>Prior to his promotion on August 1, 2024, Mr. Gerry's AICP performance metrics were comprised of 40% Consolidated AICP EBITDA, 40% Canadian EBITDA and 20% Canadian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260350</wp:posOffset>
            </wp:positionV>
            <wp:extent cx="394335" cy="1968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For AICP purposes in 2024, performance metrics consisted of two financial metrics, budgeted Consolidated AICP EBITDA and for NEOs responsible for a division, budgeted Divisional AICP EBITDA and one metric based on safety performance as measured by TRIR. Consistent with industry and regulatory standards, the calculation of TRIR is based on the number of recordable safety incidents per 200,000 hours worked. The following threshold, target, and maximum performance goals were used for determining payouts for our NEOs under the 2024 AICP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706F6F"/>
              </w:rPr>
              <w:t>Actual</w:t>
            </w:r>
          </w:p>
        </w:tc>
      </w:tr>
      <w:tr>
        <w:trPr>
          <w:trHeight w:val="232"/>
        </w:trPr>
        <w:tc>
          <w:tcPr>
            <w:tcW w:w="4080" w:type="dxa"/>
            <w:vAlign w:val="bottom"/>
            <w:tcBorders>
              <w:bottom w:val="single" w:sz="8" w:color="006DB6"/>
            </w:tcBorders>
          </w:tcPr>
          <w:p>
            <w:pPr>
              <w:spacing w:after="0"/>
              <w:rPr>
                <w:sz w:val="20"/>
                <w:szCs w:val="20"/>
                <w:color w:val="auto"/>
              </w:rPr>
            </w:pPr>
          </w:p>
        </w:tc>
        <w:tc>
          <w:tcPr>
            <w:tcW w:w="1680" w:type="dxa"/>
            <w:vAlign w:val="bottom"/>
            <w:tcBorders>
              <w:bottom w:val="single" w:sz="8" w:color="006DB6"/>
            </w:tcBorders>
          </w:tcPr>
          <w:p>
            <w:pPr>
              <w:spacing w:after="0"/>
              <w:rPr>
                <w:sz w:val="20"/>
                <w:szCs w:val="20"/>
                <w:color w:val="auto"/>
              </w:rPr>
            </w:pPr>
          </w:p>
        </w:tc>
        <w:tc>
          <w:tcPr>
            <w:tcW w:w="1040" w:type="dxa"/>
            <w:vAlign w:val="bottom"/>
            <w:tcBorders>
              <w:bottom w:val="single" w:sz="8" w:color="006DB6"/>
            </w:tcBorders>
          </w:tcPr>
          <w:p>
            <w:pPr>
              <w:jc w:val="right"/>
              <w:ind w:right="60"/>
              <w:spacing w:after="0"/>
              <w:rPr>
                <w:sz w:val="20"/>
                <w:szCs w:val="20"/>
                <w:color w:val="auto"/>
              </w:rPr>
            </w:pPr>
            <w:r>
              <w:rPr>
                <w:rFonts w:ascii="Arial" w:cs="Arial" w:eastAsia="Arial" w:hAnsi="Arial"/>
                <w:sz w:val="14"/>
                <w:szCs w:val="14"/>
                <w:b w:val="1"/>
                <w:bCs w:val="1"/>
                <w:color w:val="706F6F"/>
              </w:rPr>
              <w:t>Threshold</w:t>
            </w:r>
          </w:p>
        </w:tc>
        <w:tc>
          <w:tcPr>
            <w:tcW w:w="460" w:type="dxa"/>
            <w:vAlign w:val="bottom"/>
            <w:tcBorders>
              <w:bottom w:val="single" w:sz="8" w:color="006DB6"/>
            </w:tcBorders>
          </w:tcPr>
          <w:p>
            <w:pPr>
              <w:spacing w:after="0"/>
              <w:rPr>
                <w:sz w:val="20"/>
                <w:szCs w:val="20"/>
                <w:color w:val="auto"/>
              </w:rPr>
            </w:pPr>
          </w:p>
        </w:tc>
        <w:tc>
          <w:tcPr>
            <w:tcW w:w="880" w:type="dxa"/>
            <w:vAlign w:val="bottom"/>
            <w:tcBorders>
              <w:bottom w:val="single" w:sz="8" w:color="006DB6"/>
            </w:tcBorders>
          </w:tcPr>
          <w:p>
            <w:pPr>
              <w:jc w:val="right"/>
              <w:ind w:right="120"/>
              <w:spacing w:after="0"/>
              <w:rPr>
                <w:sz w:val="20"/>
                <w:szCs w:val="20"/>
                <w:color w:val="auto"/>
              </w:rPr>
            </w:pPr>
            <w:r>
              <w:rPr>
                <w:rFonts w:ascii="Arial" w:cs="Arial" w:eastAsia="Arial" w:hAnsi="Arial"/>
                <w:sz w:val="14"/>
                <w:szCs w:val="14"/>
                <w:b w:val="1"/>
                <w:bCs w:val="1"/>
                <w:color w:val="706F6F"/>
              </w:rPr>
              <w:t>Target</w:t>
            </w:r>
          </w:p>
        </w:tc>
        <w:tc>
          <w:tcPr>
            <w:tcW w:w="540" w:type="dxa"/>
            <w:vAlign w:val="bottom"/>
            <w:tcBorders>
              <w:bottom w:val="single" w:sz="8" w:color="006DB6"/>
            </w:tcBorders>
          </w:tcPr>
          <w:p>
            <w:pPr>
              <w:spacing w:after="0"/>
              <w:rPr>
                <w:sz w:val="20"/>
                <w:szCs w:val="20"/>
                <w:color w:val="auto"/>
              </w:rPr>
            </w:pPr>
          </w:p>
        </w:tc>
        <w:tc>
          <w:tcPr>
            <w:tcW w:w="1100" w:type="dxa"/>
            <w:vAlign w:val="bottom"/>
            <w:tcBorders>
              <w:bottom w:val="single" w:sz="8" w:color="006DB6"/>
            </w:tcBorders>
          </w:tcPr>
          <w:p>
            <w:pPr>
              <w:jc w:val="right"/>
              <w:ind w:right="80"/>
              <w:spacing w:after="0"/>
              <w:rPr>
                <w:sz w:val="20"/>
                <w:szCs w:val="20"/>
                <w:color w:val="auto"/>
              </w:rPr>
            </w:pPr>
            <w:r>
              <w:rPr>
                <w:rFonts w:ascii="Arial" w:cs="Arial" w:eastAsia="Arial" w:hAnsi="Arial"/>
                <w:sz w:val="14"/>
                <w:szCs w:val="14"/>
                <w:b w:val="1"/>
                <w:bCs w:val="1"/>
                <w:color w:val="706F6F"/>
              </w:rPr>
              <w:t>Maximum</w:t>
            </w:r>
          </w:p>
        </w:tc>
        <w:tc>
          <w:tcPr>
            <w:tcW w:w="380" w:type="dxa"/>
            <w:vAlign w:val="bottom"/>
            <w:tcBorders>
              <w:bottom w:val="single" w:sz="8" w:color="006DB6"/>
            </w:tcBorders>
          </w:tcPr>
          <w:p>
            <w:pPr>
              <w:spacing w:after="0"/>
              <w:rPr>
                <w:sz w:val="20"/>
                <w:szCs w:val="20"/>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Achievement</w:t>
            </w: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AICP EBITDA (in USD)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75.4</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88.6</w:t>
            </w: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119.7</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81.1</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Division EBITDA Targets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080" w:type="dxa"/>
            <w:vAlign w:val="bottom"/>
          </w:tcPr>
          <w:p>
            <w:pPr>
              <w:ind w:left="160"/>
              <w:spacing w:after="0"/>
              <w:rPr>
                <w:sz w:val="20"/>
                <w:szCs w:val="20"/>
                <w:color w:val="auto"/>
              </w:rPr>
            </w:pPr>
            <w:r>
              <w:rPr>
                <w:rFonts w:ascii="Arial" w:cs="Arial" w:eastAsia="Arial" w:hAnsi="Arial"/>
                <w:sz w:val="16"/>
                <w:szCs w:val="16"/>
                <w:color w:val="auto"/>
              </w:rPr>
              <w:t>Canada (in CAD)</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34.1</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40.1</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95.3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29.9</w:t>
            </w:r>
          </w:p>
        </w:tc>
      </w:tr>
      <w:tr>
        <w:trPr>
          <w:trHeight w:val="252"/>
        </w:trPr>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Australia (in AUD)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98.8</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116.2</w:t>
            </w: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139.5</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132.2</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Global TRIR Targets</w:t>
            </w:r>
          </w:p>
        </w:tc>
        <w:tc>
          <w:tcPr>
            <w:tcW w:w="16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19"/>
                <w:szCs w:val="19"/>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0.70</w:t>
            </w:r>
          </w:p>
        </w:tc>
        <w:tc>
          <w:tcPr>
            <w:tcW w:w="5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43"/>
        </w:trPr>
        <w:tc>
          <w:tcPr>
            <w:tcW w:w="4080" w:type="dxa"/>
            <w:vAlign w:val="bottom"/>
          </w:tcPr>
          <w:p>
            <w:pPr>
              <w:ind w:left="200"/>
              <w:spacing w:after="0"/>
              <w:rPr>
                <w:sz w:val="20"/>
                <w:szCs w:val="20"/>
                <w:color w:val="auto"/>
              </w:rPr>
            </w:pPr>
            <w:r>
              <w:rPr>
                <w:rFonts w:ascii="Arial" w:cs="Arial" w:eastAsia="Arial" w:hAnsi="Arial"/>
                <w:sz w:val="16"/>
                <w:szCs w:val="16"/>
                <w:color w:val="auto"/>
              </w:rPr>
              <w:t>Canada TRIR</w:t>
            </w:r>
          </w:p>
        </w:tc>
        <w:tc>
          <w:tcPr>
            <w:tcW w:w="168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0.70</w:t>
            </w:r>
          </w:p>
        </w:tc>
        <w:tc>
          <w:tcPr>
            <w:tcW w:w="5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0.40</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43"/>
        </w:trPr>
        <w:tc>
          <w:tcPr>
            <w:tcW w:w="4080" w:type="dxa"/>
            <w:vAlign w:val="bottom"/>
          </w:tcPr>
          <w:p>
            <w:pPr>
              <w:ind w:left="200"/>
              <w:spacing w:after="0"/>
              <w:rPr>
                <w:sz w:val="20"/>
                <w:szCs w:val="20"/>
                <w:color w:val="auto"/>
              </w:rPr>
            </w:pPr>
            <w:r>
              <w:rPr>
                <w:rFonts w:ascii="Arial" w:cs="Arial" w:eastAsia="Arial" w:hAnsi="Arial"/>
                <w:sz w:val="16"/>
                <w:szCs w:val="16"/>
                <w:color w:val="auto"/>
              </w:rPr>
              <w:t>Australia TRIR</w:t>
            </w:r>
          </w:p>
        </w:tc>
        <w:tc>
          <w:tcPr>
            <w:tcW w:w="168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46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0.70</w:t>
            </w:r>
          </w:p>
        </w:tc>
        <w:tc>
          <w:tcPr>
            <w:tcW w:w="5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0.40</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For 2024, specific adjustments to EBITDA included impairment expenses, expenses related to unbudgeted variability in stock-based compensation expense, changes in foreign exchange rates, net gains associated with the sale of the McClelland Lake Lodge, severance/recruiting costs and transaction costs associated with strategic initiatives. The adjustments to EBITDA in 2024 were consistent with past practices.</w:t>
      </w:r>
    </w:p>
    <w:p>
      <w:pPr>
        <w:spacing w:after="0" w:line="5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2024 global safety TRIR target was set at a target of 0.70 consistent with 2023. The global safety target is a consolidation of the various region specific TRIR goals from Australia and North America.</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2024, the following performance results under the AICP were considered for award determination purposes:</w:t>
      </w:r>
    </w:p>
    <w:p>
      <w:pPr>
        <w:spacing w:after="0" w:line="12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Consolidated AICP EBITDA of USD $81.1 million (91.5% of budget);</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AICP EBITDA for our Canadian division of CAD $29.9 million (74.6% of budget);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AICP EBITDA for our Australian division of AUD $132.2 million (113.8% of budget);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40"/>
        </w:numPr>
        <w:rPr>
          <w:rFonts w:ascii="Arial" w:cs="Arial" w:eastAsia="Arial" w:hAnsi="Arial"/>
          <w:sz w:val="16"/>
          <w:szCs w:val="16"/>
          <w:color w:val="006DB6"/>
        </w:rPr>
      </w:pPr>
      <w:r>
        <w:rPr>
          <w:rFonts w:ascii="Arial" w:cs="Arial" w:eastAsia="Arial" w:hAnsi="Arial"/>
          <w:sz w:val="16"/>
          <w:szCs w:val="16"/>
          <w:color w:val="auto"/>
        </w:rPr>
        <w:t>TRIR safety performance achievement of 200% payout for the Consolidated Company; 187% payout for Canada and 200% payout for Australia.</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Based on these results, the following AICP payouts were approved by the Compensation Committee. These payouts are stated in U.S. dollars. Mr. McCann’s bonus, which is paid out in Australian dollars, has been converted to U.S. dollars below at an exchange rate of $0.6597 U.S. dollar per Australian dollar, the average exchange rate for 2024. Messrs. Fraser's and Schoening’s bonus, which are paid out in Canadian dollars, have been converted to U.S. dollars below at an exchange rate of $0.7301 U.S. dollar per Canadian dollar, the average exchange rate for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Borders>
              <w:bottom w:val="single" w:sz="8" w:color="006DB6"/>
            </w:tcBorders>
          </w:tcPr>
          <w:p>
            <w:pPr>
              <w:spacing w:after="0"/>
              <w:rPr>
                <w:sz w:val="19"/>
                <w:szCs w:val="19"/>
                <w:color w:val="auto"/>
              </w:rPr>
            </w:pPr>
          </w:p>
        </w:tc>
        <w:tc>
          <w:tcPr>
            <w:tcW w:w="2160" w:type="dxa"/>
            <w:vAlign w:val="bottom"/>
            <w:tcBorders>
              <w:bottom w:val="single" w:sz="8" w:color="006DB6"/>
            </w:tcBorders>
            <w:gridSpan w:val="3"/>
          </w:tcPr>
          <w:p>
            <w:pPr>
              <w:jc w:val="right"/>
              <w:ind w:right="340"/>
              <w:spacing w:after="0"/>
              <w:rPr>
                <w:sz w:val="20"/>
                <w:szCs w:val="20"/>
                <w:color w:val="auto"/>
              </w:rPr>
            </w:pPr>
            <w:r>
              <w:rPr>
                <w:rFonts w:ascii="Arial" w:cs="Arial" w:eastAsia="Arial" w:hAnsi="Arial"/>
                <w:sz w:val="14"/>
                <w:szCs w:val="14"/>
                <w:b w:val="1"/>
                <w:bCs w:val="1"/>
                <w:color w:val="706F6F"/>
              </w:rPr>
              <w:t>Business Performance</w:t>
            </w:r>
          </w:p>
        </w:tc>
        <w:tc>
          <w:tcPr>
            <w:tcW w:w="140" w:type="dxa"/>
            <w:vAlign w:val="bottom"/>
          </w:tcPr>
          <w:p>
            <w:pPr>
              <w:spacing w:after="0"/>
              <w:rPr>
                <w:sz w:val="19"/>
                <w:szCs w:val="19"/>
                <w:color w:val="auto"/>
              </w:rPr>
            </w:pPr>
          </w:p>
        </w:tc>
        <w:tc>
          <w:tcPr>
            <w:tcW w:w="400" w:type="dxa"/>
            <w:vAlign w:val="bottom"/>
            <w:tcBorders>
              <w:bottom w:val="single" w:sz="8" w:color="006DB6"/>
            </w:tcBorders>
          </w:tcPr>
          <w:p>
            <w:pPr>
              <w:spacing w:after="0"/>
              <w:rPr>
                <w:sz w:val="19"/>
                <w:szCs w:val="19"/>
                <w:color w:val="auto"/>
              </w:rPr>
            </w:pPr>
          </w:p>
        </w:tc>
        <w:tc>
          <w:tcPr>
            <w:tcW w:w="2180" w:type="dxa"/>
            <w:vAlign w:val="bottom"/>
            <w:tcBorders>
              <w:bottom w:val="single" w:sz="8" w:color="006DB6"/>
            </w:tcBorders>
            <w:gridSpan w:val="2"/>
          </w:tcPr>
          <w:p>
            <w:pPr>
              <w:jc w:val="right"/>
              <w:ind w:right="600"/>
              <w:spacing w:after="0"/>
              <w:rPr>
                <w:sz w:val="20"/>
                <w:szCs w:val="20"/>
                <w:color w:val="auto"/>
              </w:rPr>
            </w:pPr>
            <w:r>
              <w:rPr>
                <w:rFonts w:ascii="Arial" w:cs="Arial" w:eastAsia="Arial" w:hAnsi="Arial"/>
                <w:sz w:val="14"/>
                <w:szCs w:val="14"/>
                <w:b w:val="1"/>
                <w:bCs w:val="1"/>
                <w:color w:val="706F6F"/>
              </w:rPr>
              <w:t>Total AICP Payout</w:t>
            </w:r>
          </w:p>
        </w:tc>
      </w:tr>
      <w:tr>
        <w:trPr>
          <w:trHeight w:val="236"/>
        </w:trPr>
        <w:tc>
          <w:tcPr>
            <w:tcW w:w="16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32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6F6F"/>
              </w:rPr>
              <w:t>Position</w:t>
            </w:r>
          </w:p>
        </w:tc>
        <w:tc>
          <w:tcPr>
            <w:tcW w:w="240" w:type="dxa"/>
            <w:vAlign w:val="bottom"/>
            <w:tcBorders>
              <w:bottom w:val="single" w:sz="8" w:color="006DB6"/>
            </w:tcBorders>
          </w:tcPr>
          <w:p>
            <w:pPr>
              <w:spacing w:after="0"/>
              <w:rPr>
                <w:sz w:val="20"/>
                <w:szCs w:val="20"/>
                <w:color w:val="auto"/>
              </w:rPr>
            </w:pPr>
          </w:p>
        </w:tc>
        <w:tc>
          <w:tcPr>
            <w:tcW w:w="1060" w:type="dxa"/>
            <w:vAlign w:val="bottom"/>
            <w:tcBorders>
              <w:bottom w:val="single" w:sz="8" w:color="006DB6"/>
            </w:tcBorders>
          </w:tcPr>
          <w:p>
            <w:pPr>
              <w:jc w:val="right"/>
              <w:ind w:right="301"/>
              <w:spacing w:after="0"/>
              <w:rPr>
                <w:sz w:val="20"/>
                <w:szCs w:val="20"/>
                <w:color w:val="auto"/>
              </w:rPr>
            </w:pPr>
            <w:r>
              <w:rPr>
                <w:rFonts w:ascii="Arial" w:cs="Arial" w:eastAsia="Arial" w:hAnsi="Arial"/>
                <w:sz w:val="14"/>
                <w:szCs w:val="14"/>
                <w:b w:val="1"/>
                <w:bCs w:val="1"/>
                <w:color w:val="706F6F"/>
              </w:rPr>
              <w:t>Financial</w:t>
            </w:r>
          </w:p>
        </w:tc>
        <w:tc>
          <w:tcPr>
            <w:tcW w:w="26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gridSpan w:val="2"/>
          </w:tcPr>
          <w:p>
            <w:pPr>
              <w:ind w:left="20"/>
              <w:spacing w:after="0"/>
              <w:rPr>
                <w:sz w:val="20"/>
                <w:szCs w:val="20"/>
                <w:color w:val="auto"/>
              </w:rPr>
            </w:pPr>
            <w:r>
              <w:rPr>
                <w:rFonts w:ascii="Arial" w:cs="Arial" w:eastAsia="Arial" w:hAnsi="Arial"/>
                <w:sz w:val="14"/>
                <w:szCs w:val="14"/>
                <w:b w:val="1"/>
                <w:bCs w:val="1"/>
                <w:color w:val="706F6F"/>
              </w:rPr>
              <w:t>Safety</w:t>
            </w:r>
          </w:p>
        </w:tc>
        <w:tc>
          <w:tcPr>
            <w:tcW w:w="40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601"/>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jc w:val="right"/>
              <w:ind w:right="220"/>
              <w:spacing w:after="0"/>
              <w:rPr>
                <w:sz w:val="20"/>
                <w:szCs w:val="20"/>
                <w:color w:val="auto"/>
              </w:rPr>
            </w:pPr>
            <w:r>
              <w:rPr>
                <w:rFonts w:ascii="Arial" w:cs="Arial" w:eastAsia="Arial" w:hAnsi="Arial"/>
                <w:sz w:val="14"/>
                <w:szCs w:val="14"/>
                <w:b w:val="1"/>
                <w:bCs w:val="1"/>
                <w:color w:val="706F6F"/>
              </w:rPr>
              <w:t>% of Target</w:t>
            </w:r>
          </w:p>
        </w:tc>
      </w:tr>
      <w:tr>
        <w:trPr>
          <w:trHeight w:val="23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258,000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558,000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199"/>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4320" w:type="dxa"/>
            <w:vAlign w:val="bottom"/>
          </w:tcPr>
          <w:p>
            <w:pPr>
              <w:ind w:left="160"/>
              <w:spacing w:after="0"/>
              <w:rPr>
                <w:sz w:val="20"/>
                <w:szCs w:val="20"/>
                <w:color w:val="auto"/>
              </w:rPr>
            </w:pPr>
            <w:r>
              <w:rPr>
                <w:rFonts w:ascii="Arial" w:cs="Arial" w:eastAsia="Arial" w:hAnsi="Arial"/>
                <w:sz w:val="16"/>
                <w:szCs w:val="16"/>
                <w:color w:val="auto"/>
              </w:rPr>
              <w:t>Senior Vice President, Chief Financial Officer and</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47,177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72,191</w:t>
            </w:r>
          </w:p>
        </w:tc>
        <w:tc>
          <w:tcPr>
            <w:tcW w:w="140" w:type="dxa"/>
            <w:vAlign w:val="bottom"/>
          </w:tcPr>
          <w:p>
            <w:pPr>
              <w:spacing w:after="0"/>
              <w:rPr>
                <w:sz w:val="17"/>
                <w:szCs w:val="17"/>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1"/>
              <w:spacing w:after="0"/>
              <w:rPr>
                <w:sz w:val="20"/>
                <w:szCs w:val="20"/>
                <w:color w:val="auto"/>
              </w:rPr>
            </w:pPr>
            <w:r>
              <w:rPr>
                <w:rFonts w:ascii="Arial" w:cs="Arial" w:eastAsia="Arial" w:hAnsi="Arial"/>
                <w:sz w:val="16"/>
                <w:szCs w:val="16"/>
                <w:color w:val="auto"/>
              </w:rPr>
              <w:t>119,368</w:t>
            </w:r>
          </w:p>
        </w:tc>
        <w:tc>
          <w:tcPr>
            <w:tcW w:w="126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5"/>
        </w:trPr>
        <w:tc>
          <w:tcPr>
            <w:tcW w:w="16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Treasurer</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
        </w:trPr>
        <w:tc>
          <w:tcPr>
            <w:tcW w:w="16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Senior Vice President, Canada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16,341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35,532</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51,874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r>
      <w:tr>
        <w:trPr>
          <w:trHeight w:val="237"/>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Senior Vice President, Australia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181,293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87,765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269,058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r>
      <w:tr>
        <w:trPr>
          <w:trHeight w:val="23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Vice President, Chief Accounting Officer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62,478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72,649</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135,127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33"/>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320" w:type="dxa"/>
            <w:vAlign w:val="bottom"/>
          </w:tcPr>
          <w:p>
            <w:pPr>
              <w:ind w:left="160"/>
              <w:spacing w:after="0"/>
              <w:rPr>
                <w:sz w:val="20"/>
                <w:szCs w:val="20"/>
                <w:color w:val="auto"/>
              </w:rPr>
            </w:pPr>
            <w:r>
              <w:rPr>
                <w:rFonts w:ascii="Arial" w:cs="Arial" w:eastAsia="Arial" w:hAnsi="Arial"/>
                <w:sz w:val="16"/>
                <w:szCs w:val="16"/>
                <w:color w:val="auto"/>
              </w:rPr>
              <w:t>Former Senior Vice President, Canada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58,947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128,176</w:t>
            </w:r>
          </w:p>
        </w:tc>
        <w:tc>
          <w:tcPr>
            <w:tcW w:w="140" w:type="dxa"/>
            <w:vAlign w:val="bottom"/>
          </w:tcPr>
          <w:p>
            <w:pPr>
              <w:spacing w:after="0"/>
              <w:rPr>
                <w:sz w:val="20"/>
                <w:szCs w:val="20"/>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1"/>
              <w:spacing w:after="0"/>
              <w:rPr>
                <w:sz w:val="20"/>
                <w:szCs w:val="20"/>
                <w:color w:val="auto"/>
              </w:rPr>
            </w:pPr>
            <w:r>
              <w:rPr>
                <w:rFonts w:ascii="Arial" w:cs="Arial" w:eastAsia="Arial" w:hAnsi="Arial"/>
                <w:sz w:val="16"/>
                <w:szCs w:val="16"/>
                <w:color w:val="auto"/>
              </w:rPr>
              <w:t>187,123</w:t>
            </w:r>
          </w:p>
        </w:tc>
        <w:tc>
          <w:tcPr>
            <w:tcW w:w="1260" w:type="dxa"/>
            <w:vAlign w:val="bottom"/>
          </w:tcPr>
          <w:p>
            <w:pPr>
              <w:jc w:val="right"/>
              <w:spacing w:after="0"/>
              <w:rPr>
                <w:sz w:val="20"/>
                <w:szCs w:val="20"/>
                <w:color w:val="auto"/>
              </w:rPr>
            </w:pPr>
            <w:r>
              <w:rPr>
                <w:rFonts w:ascii="Arial" w:cs="Arial" w:eastAsia="Arial" w:hAnsi="Arial"/>
                <w:sz w:val="16"/>
                <w:szCs w:val="16"/>
                <w:color w:val="auto"/>
              </w:rPr>
              <w:t>55 %</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Long-Term Incentive Plan</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two types of long-term incentives to balance liquidity and dilution considerations and to ensure we deliver tax effective incentives to plan participants. These awards may be cash or share settled, depending on their type. For 2024, Messrs. Dodson, Gerry, McCann and Brewer received equity awards made up of 40% time-based phantom share units and 60% cliff-vested performance share awards. Mr. Fraser, who commence employment on August 19, 2024, and Mr. Schoening, who had announced his upcoming retirement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at the end of 2024, received time-based phantom share units only, and Ms. Stone did not receive any long-term incentive awards in 2024 in light of her termination of employment. All long-term incentive awards made to employees are generally subject to a three-year vesting period, with time-based awards vesting in equal installments on each of the first three anniversaries of the date of grant and performance-based awards vesting on the third anniversary of the date of grant, subject to achievement of the applicable performance goals. All awards are subject to the approval of our Compensation Committee.</w:t>
      </w:r>
    </w:p>
    <w:p>
      <w:pPr>
        <w:spacing w:after="0" w:line="78"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In determining the value of awards granted,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7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For 2024, Civeo granted a combination of phantom share units and performance-based share awards as long-term incentive awards to its NEOs and other key employees. The value of awards made to individuals in this group took into consideration the following factors:</w:t>
      </w:r>
    </w:p>
    <w:p>
      <w:pPr>
        <w:spacing w:after="0" w:line="6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Corporate, business unit and individual performance;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Competitive market practice;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Executive retention;</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Impact of awards and quantum of awards on dilution and liquidity; and</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Tax considerations in the U.S., Canada and Australia.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LTIP awards approved by the Compensation Committee were made at levels consistent with past practices.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706F6F"/>
              </w:rPr>
              <w:t>Phantom</w:t>
            </w:r>
          </w:p>
        </w:tc>
        <w:tc>
          <w:tcPr>
            <w:tcW w:w="1480" w:type="dxa"/>
            <w:vAlign w:val="bottom"/>
          </w:tcPr>
          <w:p>
            <w:pPr>
              <w:jc w:val="right"/>
              <w:ind w:right="181"/>
              <w:spacing w:after="0"/>
              <w:rPr>
                <w:sz w:val="20"/>
                <w:szCs w:val="20"/>
                <w:color w:val="auto"/>
              </w:rPr>
            </w:pPr>
            <w:r>
              <w:rPr>
                <w:rFonts w:ascii="Arial" w:cs="Arial" w:eastAsia="Arial" w:hAnsi="Arial"/>
                <w:sz w:val="14"/>
                <w:szCs w:val="14"/>
                <w:b w:val="1"/>
                <w:bCs w:val="1"/>
                <w:color w:val="706F6F"/>
              </w:rPr>
              <w:t>Performance</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706F6F"/>
              </w:rPr>
              <w:t>Stock Price at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706F6F"/>
              </w:rPr>
              <w:t>Share</w:t>
            </w:r>
          </w:p>
        </w:tc>
        <w:tc>
          <w:tcPr>
            <w:tcW w:w="1480" w:type="dxa"/>
            <w:vAlign w:val="bottom"/>
          </w:tcPr>
          <w:p>
            <w:pPr>
              <w:jc w:val="right"/>
              <w:ind w:right="181"/>
              <w:spacing w:after="0"/>
              <w:rPr>
                <w:sz w:val="20"/>
                <w:szCs w:val="20"/>
                <w:color w:val="auto"/>
              </w:rPr>
            </w:pPr>
            <w:r>
              <w:rPr>
                <w:rFonts w:ascii="Arial" w:cs="Arial" w:eastAsia="Arial" w:hAnsi="Arial"/>
                <w:sz w:val="14"/>
                <w:szCs w:val="14"/>
                <w:b w:val="1"/>
                <w:bCs w:val="1"/>
                <w:color w:val="706F6F"/>
              </w:rPr>
              <w:t>Share Awards at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706F6F"/>
              </w:rPr>
              <w:t>Date of Grant</w:t>
            </w: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Valuation</w:t>
            </w:r>
            <w:r>
              <w:rPr>
                <w:rFonts w:ascii="Arial" w:cs="Arial" w:eastAsia="Arial" w:hAnsi="Arial"/>
                <w:sz w:val="18"/>
                <w:szCs w:val="18"/>
                <w:b w:val="1"/>
                <w:bCs w:val="1"/>
                <w:color w:val="706F6F"/>
                <w:vertAlign w:val="superscript"/>
              </w:rPr>
              <w:t>(2)</w:t>
            </w:r>
          </w:p>
        </w:tc>
        <w:tc>
          <w:tcPr>
            <w:tcW w:w="0" w:type="dxa"/>
            <w:vAlign w:val="bottom"/>
          </w:tcPr>
          <w:p>
            <w:pPr>
              <w:spacing w:after="0"/>
              <w:rPr>
                <w:sz w:val="1"/>
                <w:szCs w:val="1"/>
                <w:color w:val="auto"/>
              </w:rPr>
            </w:pPr>
          </w:p>
        </w:tc>
      </w:tr>
      <w:tr>
        <w:trPr>
          <w:trHeight w:val="219"/>
        </w:trPr>
        <w:tc>
          <w:tcPr>
            <w:tcW w:w="17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540" w:type="dxa"/>
            <w:vAlign w:val="bottom"/>
            <w:tcBorders>
              <w:bottom w:val="single" w:sz="8" w:color="006DB6"/>
            </w:tcBorders>
          </w:tcPr>
          <w:p>
            <w:pPr>
              <w:ind w:left="280"/>
              <w:spacing w:after="0"/>
              <w:rPr>
                <w:sz w:val="20"/>
                <w:szCs w:val="20"/>
                <w:color w:val="auto"/>
              </w:rPr>
            </w:pPr>
            <w:r>
              <w:rPr>
                <w:rFonts w:ascii="Arial" w:cs="Arial" w:eastAsia="Arial" w:hAnsi="Arial"/>
                <w:sz w:val="14"/>
                <w:szCs w:val="14"/>
                <w:b w:val="1"/>
                <w:bCs w:val="1"/>
                <w:color w:val="706F6F"/>
              </w:rPr>
              <w:t>Position</w:t>
            </w:r>
          </w:p>
        </w:tc>
        <w:tc>
          <w:tcPr>
            <w:tcW w:w="9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 xml:space="preserve">Units </w:t>
            </w:r>
            <w:r>
              <w:rPr>
                <w:rFonts w:ascii="Arial" w:cs="Arial" w:eastAsia="Arial" w:hAnsi="Arial"/>
                <w:sz w:val="9"/>
                <w:szCs w:val="9"/>
                <w:b w:val="1"/>
                <w:bCs w:val="1"/>
                <w:color w:val="706F6F"/>
              </w:rPr>
              <w:t>(1)</w:t>
            </w:r>
          </w:p>
        </w:tc>
        <w:tc>
          <w:tcPr>
            <w:tcW w:w="1480" w:type="dxa"/>
            <w:vAlign w:val="bottom"/>
            <w:tcBorders>
              <w:bottom w:val="single" w:sz="8" w:color="006DB6"/>
            </w:tcBorders>
          </w:tcPr>
          <w:p>
            <w:pPr>
              <w:jc w:val="right"/>
              <w:ind w:right="181"/>
              <w:spacing w:after="0"/>
              <w:rPr>
                <w:sz w:val="20"/>
                <w:szCs w:val="20"/>
                <w:color w:val="auto"/>
              </w:rPr>
            </w:pPr>
            <w:r>
              <w:rPr>
                <w:rFonts w:ascii="Arial" w:cs="Arial" w:eastAsia="Arial" w:hAnsi="Arial"/>
                <w:sz w:val="14"/>
                <w:szCs w:val="14"/>
                <w:b w:val="1"/>
                <w:bCs w:val="1"/>
                <w:color w:val="706F6F"/>
              </w:rPr>
              <w:t>Target</w:t>
            </w:r>
          </w:p>
        </w:tc>
        <w:tc>
          <w:tcPr>
            <w:tcW w:w="700" w:type="dxa"/>
            <w:vAlign w:val="bottom"/>
            <w:tcBorders>
              <w:bottom w:val="single" w:sz="8" w:color="006DB6"/>
            </w:tcBorders>
          </w:tcPr>
          <w:p>
            <w:pPr>
              <w:spacing w:after="0"/>
              <w:rPr>
                <w:sz w:val="19"/>
                <w:szCs w:val="19"/>
                <w:color w:val="auto"/>
              </w:rPr>
            </w:pPr>
          </w:p>
        </w:tc>
        <w:tc>
          <w:tcPr>
            <w:tcW w:w="5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36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President and Chief Executive Officer</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42,875</w:t>
            </w: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64,314</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2,559,331</w:t>
            </w:r>
          </w:p>
        </w:tc>
        <w:tc>
          <w:tcPr>
            <w:tcW w:w="0" w:type="dxa"/>
            <w:vAlign w:val="bottom"/>
          </w:tcPr>
          <w:p>
            <w:pPr>
              <w:spacing w:after="0"/>
              <w:rPr>
                <w:sz w:val="1"/>
                <w:szCs w:val="1"/>
                <w:color w:val="auto"/>
              </w:rPr>
            </w:pPr>
          </w:p>
        </w:tc>
      </w:tr>
      <w:tr>
        <w:trPr>
          <w:trHeight w:val="199"/>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4540" w:type="dxa"/>
            <w:vAlign w:val="bottom"/>
          </w:tcPr>
          <w:p>
            <w:pPr>
              <w:ind w:left="280"/>
              <w:spacing w:after="0"/>
              <w:rPr>
                <w:sz w:val="20"/>
                <w:szCs w:val="20"/>
                <w:color w:val="auto"/>
              </w:rPr>
            </w:pPr>
            <w:r>
              <w:rPr>
                <w:rFonts w:ascii="Arial" w:cs="Arial" w:eastAsia="Arial" w:hAnsi="Arial"/>
                <w:sz w:val="16"/>
                <w:szCs w:val="16"/>
                <w:color w:val="auto"/>
              </w:rPr>
              <w:t>Senior Vice President, Chief Financial Officer and</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13,256</w:t>
            </w:r>
          </w:p>
        </w:tc>
        <w:tc>
          <w:tcPr>
            <w:tcW w:w="1480" w:type="dxa"/>
            <w:vAlign w:val="bottom"/>
          </w:tcPr>
          <w:p>
            <w:pPr>
              <w:jc w:val="right"/>
              <w:ind w:right="241"/>
              <w:spacing w:after="0"/>
              <w:rPr>
                <w:sz w:val="20"/>
                <w:szCs w:val="20"/>
                <w:color w:val="auto"/>
              </w:rPr>
            </w:pPr>
            <w:r>
              <w:rPr>
                <w:rFonts w:ascii="Arial" w:cs="Arial" w:eastAsia="Arial" w:hAnsi="Arial"/>
                <w:sz w:val="16"/>
                <w:szCs w:val="16"/>
                <w:color w:val="auto"/>
              </w:rPr>
              <w:t>7,138</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23.44</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576,235</w:t>
            </w:r>
          </w:p>
        </w:tc>
        <w:tc>
          <w:tcPr>
            <w:tcW w:w="0" w:type="dxa"/>
            <w:vAlign w:val="bottom"/>
          </w:tcPr>
          <w:p>
            <w:pPr>
              <w:spacing w:after="0"/>
              <w:rPr>
                <w:sz w:val="1"/>
                <w:szCs w:val="1"/>
                <w:color w:val="auto"/>
              </w:rPr>
            </w:pPr>
          </w:p>
        </w:tc>
      </w:tr>
      <w:tr>
        <w:trPr>
          <w:trHeight w:val="41"/>
        </w:trPr>
        <w:tc>
          <w:tcPr>
            <w:tcW w:w="1780" w:type="dxa"/>
            <w:vAlign w:val="bottom"/>
          </w:tcPr>
          <w:p>
            <w:pPr>
              <w:spacing w:after="0"/>
              <w:rPr>
                <w:sz w:val="3"/>
                <w:szCs w:val="3"/>
                <w:color w:val="auto"/>
              </w:rPr>
            </w:pPr>
          </w:p>
        </w:tc>
        <w:tc>
          <w:tcPr>
            <w:tcW w:w="4540" w:type="dxa"/>
            <w:vAlign w:val="bottom"/>
            <w:vMerge w:val="restart"/>
          </w:tcPr>
          <w:p>
            <w:pPr>
              <w:ind w:left="280"/>
              <w:spacing w:after="0"/>
              <w:rPr>
                <w:sz w:val="20"/>
                <w:szCs w:val="20"/>
                <w:color w:val="auto"/>
              </w:rPr>
            </w:pPr>
            <w:r>
              <w:rPr>
                <w:rFonts w:ascii="Arial" w:cs="Arial" w:eastAsia="Arial" w:hAnsi="Arial"/>
                <w:sz w:val="16"/>
                <w:szCs w:val="16"/>
                <w:color w:val="auto"/>
              </w:rPr>
              <w:t>Treasurer</w:t>
            </w:r>
          </w:p>
        </w:tc>
        <w:tc>
          <w:tcPr>
            <w:tcW w:w="9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4540" w:type="dxa"/>
            <w:vAlign w:val="bottom"/>
            <w:vMerge w:val="continue"/>
          </w:tcPr>
          <w:p>
            <w:pPr>
              <w:spacing w:after="0"/>
              <w:rPr>
                <w:sz w:val="7"/>
                <w:szCs w:val="7"/>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auto"/>
              </w:rPr>
              <w:t>3,821</w:t>
            </w:r>
          </w:p>
        </w:tc>
        <w:tc>
          <w:tcPr>
            <w:tcW w:w="1480" w:type="dxa"/>
            <w:vAlign w:val="bottom"/>
            <w:vMerge w:val="restart"/>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24.34</w:t>
            </w:r>
          </w:p>
        </w:tc>
        <w:tc>
          <w:tcPr>
            <w:tcW w:w="3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780" w:type="dxa"/>
            <w:vAlign w:val="bottom"/>
            <w:tcBorders>
              <w:bottom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4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Senior Vice President, Canada</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19,971</w:t>
            </w: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549,003</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Senior Vice President, Australia</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8,350</w:t>
            </w: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12,525</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498,428</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Barclay H. Brewer</w:t>
            </w:r>
          </w:p>
        </w:tc>
        <w:tc>
          <w:tcPr>
            <w:tcW w:w="4540" w:type="dxa"/>
            <w:vAlign w:val="bottom"/>
          </w:tcPr>
          <w:p>
            <w:pPr>
              <w:ind w:left="280"/>
              <w:spacing w:after="0"/>
              <w:rPr>
                <w:sz w:val="20"/>
                <w:szCs w:val="20"/>
                <w:color w:val="auto"/>
              </w:rPr>
            </w:pPr>
            <w:r>
              <w:rPr>
                <w:rFonts w:ascii="Arial" w:cs="Arial" w:eastAsia="Arial" w:hAnsi="Arial"/>
                <w:sz w:val="16"/>
                <w:szCs w:val="16"/>
                <w:color w:val="auto"/>
              </w:rPr>
              <w:t>Vice President, Chief Accounting Officer</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5,565</w:t>
            </w: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2,998</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282,887</w:t>
            </w:r>
          </w:p>
        </w:tc>
        <w:tc>
          <w:tcPr>
            <w:tcW w:w="0" w:type="dxa"/>
            <w:vAlign w:val="bottom"/>
          </w:tcPr>
          <w:p>
            <w:pPr>
              <w:spacing w:after="0"/>
              <w:rPr>
                <w:sz w:val="1"/>
                <w:szCs w:val="1"/>
                <w:color w:val="auto"/>
              </w:rPr>
            </w:pPr>
          </w:p>
        </w:tc>
      </w:tr>
      <w:tr>
        <w:trPr>
          <w:trHeight w:val="90"/>
        </w:trPr>
        <w:tc>
          <w:tcPr>
            <w:tcW w:w="1780" w:type="dxa"/>
            <w:vAlign w:val="bottom"/>
          </w:tcPr>
          <w:p>
            <w:pPr>
              <w:spacing w:after="0"/>
              <w:rPr>
                <w:sz w:val="7"/>
                <w:szCs w:val="7"/>
                <w:color w:val="auto"/>
              </w:rPr>
            </w:pPr>
          </w:p>
        </w:tc>
        <w:tc>
          <w:tcPr>
            <w:tcW w:w="4540" w:type="dxa"/>
            <w:vAlign w:val="bottom"/>
          </w:tcPr>
          <w:p>
            <w:pPr>
              <w:spacing w:after="0"/>
              <w:rPr>
                <w:sz w:val="7"/>
                <w:szCs w:val="7"/>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auto"/>
              </w:rPr>
              <w:t>3,289</w:t>
            </w:r>
          </w:p>
        </w:tc>
        <w:tc>
          <w:tcPr>
            <w:tcW w:w="1480" w:type="dxa"/>
            <w:vAlign w:val="bottom"/>
            <w:vMerge w:val="restart"/>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24.32</w:t>
            </w:r>
          </w:p>
        </w:tc>
        <w:tc>
          <w:tcPr>
            <w:tcW w:w="3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8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Former Senior Vice President, Canada</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24,246</w:t>
            </w: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568,326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60" w:hanging="252"/>
        <w:spacing w:after="0" w:line="222" w:lineRule="auto"/>
        <w:tabs>
          <w:tab w:leader="none" w:pos="264"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Messrs. Brewer and Gerry each received an additional grant of phantom share units in connection with their promotions. Mr. Fraser received a grant of phantom share units in connection with his appointment as Senior Vice President, Canada.</w:t>
      </w:r>
    </w:p>
    <w:p>
      <w:pPr>
        <w:spacing w:after="0" w:line="94" w:lineRule="exact"/>
        <w:rPr>
          <w:rFonts w:ascii="Arial" w:cs="Arial" w:eastAsia="Arial" w:hAnsi="Arial"/>
          <w:sz w:val="19"/>
          <w:szCs w:val="19"/>
          <w:color w:val="auto"/>
          <w:vertAlign w:val="superscript"/>
        </w:rPr>
      </w:pPr>
    </w:p>
    <w:p>
      <w:pPr>
        <w:ind w:left="260" w:right="20" w:hanging="252"/>
        <w:spacing w:after="0" w:line="245" w:lineRule="auto"/>
        <w:tabs>
          <w:tab w:leader="none" w:pos="264"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This column shows the full grant date fair value of the phantom share units and performance share awards granted to the NEOs during 2024 as computed under FASB ASC Topic 718—Stock Compensation, excluding the impact of estimated forfeitures related to service-based vesting conditions. Generally, the grant date fair value is the amount that Civeo would expense in its financial statements over the vesting schedule of the awards. For purposes of the phantom share units, the value in this column is based upon the closing share price on the date of grant. See Note 18 to Civeo’s consolidated financial statements included in its Annual Report on Form 10-K for the fiscal year ended December 31, 2024 for additional detail regarding assumptions underlying the value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603885</wp:posOffset>
            </wp:positionV>
            <wp:extent cx="394335" cy="1974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Performance Share Award Programs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Performance Share Award Program has been comprised of the following key elements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1658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06285" cy="1165860"/>
                    </a:xfrm>
                    <a:prstGeom prst="rect">
                      <a:avLst/>
                    </a:prstGeom>
                    <a:noFill/>
                  </pic:spPr>
                </pic:pic>
              </a:graphicData>
            </a:graphic>
          </wp:anchor>
        </w:drawing>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Pr>
          <w:p>
            <w:pPr>
              <w:ind w:left="80"/>
              <w:spacing w:after="0"/>
              <w:rPr>
                <w:sz w:val="20"/>
                <w:szCs w:val="20"/>
                <w:color w:val="auto"/>
              </w:rPr>
            </w:pPr>
            <w:r>
              <w:rPr>
                <w:rFonts w:ascii="Arial" w:cs="Arial" w:eastAsia="Arial" w:hAnsi="Arial"/>
                <w:sz w:val="16"/>
                <w:szCs w:val="16"/>
                <w:b w:val="1"/>
                <w:bCs w:val="1"/>
                <w:color w:val="006DB6"/>
              </w:rPr>
              <w:t>Performance metrics</w:t>
            </w:r>
          </w:p>
        </w:tc>
        <w:tc>
          <w:tcPr>
            <w:tcW w:w="3120" w:type="dxa"/>
            <w:vAlign w:val="bottom"/>
          </w:tcPr>
          <w:p>
            <w:pPr>
              <w:ind w:left="440"/>
              <w:spacing w:after="0"/>
              <w:rPr>
                <w:sz w:val="20"/>
                <w:szCs w:val="20"/>
                <w:color w:val="auto"/>
              </w:rPr>
            </w:pPr>
            <w:r>
              <w:rPr>
                <w:rFonts w:ascii="Arial" w:cs="Arial" w:eastAsia="Arial" w:hAnsi="Arial"/>
                <w:sz w:val="16"/>
                <w:szCs w:val="16"/>
                <w:b w:val="1"/>
                <w:bCs w:val="1"/>
                <w:color w:val="006DB6"/>
              </w:rPr>
              <w:t>Performance period</w:t>
            </w:r>
          </w:p>
        </w:tc>
        <w:tc>
          <w:tcPr>
            <w:tcW w:w="4000" w:type="dxa"/>
            <w:vAlign w:val="bottom"/>
          </w:tcPr>
          <w:p>
            <w:pPr>
              <w:ind w:left="1140"/>
              <w:spacing w:after="0"/>
              <w:rPr>
                <w:sz w:val="20"/>
                <w:szCs w:val="20"/>
                <w:color w:val="auto"/>
              </w:rPr>
            </w:pPr>
            <w:r>
              <w:rPr>
                <w:rFonts w:ascii="Arial" w:cs="Arial" w:eastAsia="Arial" w:hAnsi="Arial"/>
                <w:sz w:val="16"/>
                <w:szCs w:val="16"/>
                <w:b w:val="1"/>
                <w:bCs w:val="1"/>
                <w:color w:val="006DB6"/>
              </w:rPr>
              <w:t>Participants</w:t>
            </w:r>
          </w:p>
        </w:tc>
      </w:t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   Relative TSR (compared against our</w:t>
            </w:r>
          </w:p>
        </w:tc>
        <w:tc>
          <w:tcPr>
            <w:tcW w:w="3120" w:type="dxa"/>
            <w:vAlign w:val="bottom"/>
          </w:tcPr>
          <w:p>
            <w:pPr>
              <w:ind w:left="440"/>
              <w:spacing w:after="0"/>
              <w:rPr>
                <w:sz w:val="20"/>
                <w:szCs w:val="20"/>
                <w:color w:val="auto"/>
              </w:rPr>
            </w:pPr>
            <w:r>
              <w:rPr>
                <w:rFonts w:ascii="Arial" w:cs="Arial" w:eastAsia="Arial" w:hAnsi="Arial"/>
                <w:sz w:val="16"/>
                <w:szCs w:val="16"/>
                <w:color w:val="auto"/>
              </w:rPr>
              <w:t>Three years</w:t>
            </w:r>
          </w:p>
        </w:tc>
        <w:tc>
          <w:tcPr>
            <w:tcW w:w="4000" w:type="dxa"/>
            <w:vAlign w:val="bottom"/>
          </w:tcPr>
          <w:p>
            <w:pPr>
              <w:ind w:left="1140"/>
              <w:spacing w:after="0"/>
              <w:rPr>
                <w:sz w:val="20"/>
                <w:szCs w:val="20"/>
                <w:color w:val="auto"/>
              </w:rPr>
            </w:pPr>
            <w:r>
              <w:rPr>
                <w:rFonts w:ascii="Arial" w:cs="Arial" w:eastAsia="Arial" w:hAnsi="Arial"/>
                <w:sz w:val="16"/>
                <w:szCs w:val="16"/>
                <w:color w:val="auto"/>
              </w:rPr>
              <w:t>All NEOs and other senior management</w:t>
            </w:r>
          </w:p>
        </w:tc>
      </w:tr>
      <w:tr>
        <w:trPr>
          <w:trHeight w:val="205"/>
        </w:trPr>
        <w:tc>
          <w:tcPr>
            <w:tcW w:w="3420" w:type="dxa"/>
            <w:vAlign w:val="bottom"/>
          </w:tcPr>
          <w:p>
            <w:pPr>
              <w:ind w:left="340"/>
              <w:spacing w:after="0"/>
              <w:rPr>
                <w:sz w:val="20"/>
                <w:szCs w:val="20"/>
                <w:color w:val="auto"/>
              </w:rPr>
            </w:pPr>
            <w:r>
              <w:rPr>
                <w:rFonts w:ascii="Arial" w:cs="Arial" w:eastAsia="Arial" w:hAnsi="Arial"/>
                <w:sz w:val="16"/>
                <w:szCs w:val="16"/>
                <w:color w:val="auto"/>
              </w:rPr>
              <w:t>defined peer group)</w:t>
            </w:r>
          </w:p>
        </w:tc>
        <w:tc>
          <w:tcPr>
            <w:tcW w:w="3120" w:type="dxa"/>
            <w:vAlign w:val="bottom"/>
          </w:tcPr>
          <w:p>
            <w:pPr>
              <w:spacing w:after="0"/>
              <w:rPr>
                <w:sz w:val="17"/>
                <w:szCs w:val="17"/>
                <w:color w:val="auto"/>
              </w:rPr>
            </w:pPr>
          </w:p>
        </w:tc>
        <w:tc>
          <w:tcPr>
            <w:tcW w:w="4000" w:type="dxa"/>
            <w:vAlign w:val="bottom"/>
          </w:tcPr>
          <w:p>
            <w:pPr>
              <w:spacing w:after="0"/>
              <w:rPr>
                <w:sz w:val="17"/>
                <w:szCs w:val="17"/>
                <w:color w:val="auto"/>
              </w:rPr>
            </w:pPr>
          </w:p>
        </w:tc>
      </w:tr>
    </w:tbl>
    <w:p>
      <w:pPr>
        <w:ind w:left="360" w:right="8300" w:hanging="324"/>
        <w:spacing w:after="0" w:line="255" w:lineRule="auto"/>
        <w:rPr>
          <w:sz w:val="20"/>
          <w:szCs w:val="20"/>
          <w:color w:val="auto"/>
        </w:rPr>
      </w:pPr>
      <w:r>
        <w:rPr>
          <w:rFonts w:ascii="Arial" w:cs="Arial" w:eastAsia="Arial" w:hAnsi="Arial"/>
          <w:sz w:val="16"/>
          <w:szCs w:val="16"/>
          <w:color w:val="auto"/>
        </w:rPr>
        <w:t>– Three-year growth in EBITDA (2024 grants)</w:t>
      </w:r>
    </w:p>
    <w:p>
      <w:pPr>
        <w:ind w:left="360" w:right="7820" w:hanging="324"/>
        <w:spacing w:after="0" w:line="283" w:lineRule="auto"/>
        <w:rPr>
          <w:sz w:val="20"/>
          <w:szCs w:val="20"/>
          <w:color w:val="auto"/>
        </w:rPr>
      </w:pPr>
      <w:r>
        <w:rPr>
          <w:rFonts w:ascii="Arial" w:cs="Arial" w:eastAsia="Arial" w:hAnsi="Arial"/>
          <w:sz w:val="16"/>
          <w:szCs w:val="16"/>
          <w:color w:val="auto"/>
        </w:rPr>
        <w:t>– Cumulative cash flows provided by operating activities (2022 and 2023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194945</wp:posOffset>
            </wp:positionV>
            <wp:extent cx="2288540" cy="796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288540" cy="796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3580" w:type="dxa"/>
            <w:vAlign w:val="bottom"/>
            <w:shd w:val="clear" w:color="auto" w:fill="E8EEF7"/>
          </w:tcPr>
          <w:p>
            <w:pPr>
              <w:ind w:left="100"/>
              <w:spacing w:after="0"/>
              <w:rPr>
                <w:sz w:val="20"/>
                <w:szCs w:val="20"/>
                <w:color w:val="auto"/>
              </w:rPr>
            </w:pPr>
            <w:r>
              <w:rPr>
                <w:rFonts w:ascii="Arial" w:cs="Arial" w:eastAsia="Arial" w:hAnsi="Arial"/>
                <w:sz w:val="16"/>
                <w:szCs w:val="16"/>
                <w:b w:val="1"/>
                <w:bCs w:val="1"/>
                <w:color w:val="006DB6"/>
              </w:rPr>
              <w:t>Vesting</w:t>
            </w:r>
          </w:p>
        </w:tc>
        <w:tc>
          <w:tcPr>
            <w:tcW w:w="200" w:type="dxa"/>
            <w:vAlign w:val="bottom"/>
          </w:tcPr>
          <w:p>
            <w:pPr>
              <w:spacing w:after="0"/>
              <w:rPr>
                <w:sz w:val="24"/>
                <w:szCs w:val="24"/>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b w:val="1"/>
                <w:bCs w:val="1"/>
                <w:color w:val="006DB6"/>
              </w:rPr>
              <w:t>Award amount</w:t>
            </w:r>
          </w:p>
        </w:tc>
      </w:tr>
      <w:tr>
        <w:trPr>
          <w:trHeight w:val="209"/>
        </w:trPr>
        <w:tc>
          <w:tcPr>
            <w:tcW w:w="358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Cliff vesting</w:t>
            </w:r>
          </w:p>
        </w:tc>
        <w:tc>
          <w:tcPr>
            <w:tcW w:w="200" w:type="dxa"/>
            <w:vAlign w:val="bottom"/>
          </w:tcPr>
          <w:p>
            <w:pPr>
              <w:spacing w:after="0"/>
              <w:rPr>
                <w:sz w:val="18"/>
                <w:szCs w:val="18"/>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Generally comprises at least 50% of a named</w:t>
            </w:r>
          </w:p>
        </w:tc>
      </w:tr>
      <w:tr>
        <w:trPr>
          <w:trHeight w:val="189"/>
        </w:trPr>
        <w:tc>
          <w:tcPr>
            <w:tcW w:w="358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 officer’s annual LTIP award as</w:t>
            </w:r>
          </w:p>
        </w:tc>
      </w:tr>
      <w:tr>
        <w:trPr>
          <w:trHeight w:val="215"/>
        </w:trPr>
        <w:tc>
          <w:tcPr>
            <w:tcW w:w="358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determined by the Compensation Committee</w:t>
            </w:r>
          </w:p>
        </w:tc>
      </w:tr>
      <w:tr>
        <w:trPr>
          <w:trHeight w:val="218"/>
        </w:trPr>
        <w:tc>
          <w:tcPr>
            <w:tcW w:w="358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shd w:val="clear" w:color="auto" w:fill="E8EEF7"/>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Payout</w:t>
      </w:r>
    </w:p>
    <w:p>
      <w:pPr>
        <w:spacing w:after="0" w:line="59"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373" w:lineRule="exact"/>
        <w:rPr>
          <w:sz w:val="20"/>
          <w:szCs w:val="20"/>
          <w:color w:val="auto"/>
        </w:rPr>
      </w:pPr>
    </w:p>
    <w:p>
      <w:pPr>
        <w:sectPr>
          <w:pgSz w:w="11900" w:h="16838" w:orient="portrait"/>
          <w:cols w:equalWidth="0" w:num="2">
            <w:col w:w="7400" w:space="300"/>
            <w:col w:w="3540"/>
          </w:cols>
          <w:pgMar w:left="320" w:top="125" w:right="339" w:bottom="1440" w:gutter="0" w:footer="0" w:header="0"/>
          <w:type w:val="continuous"/>
        </w:sectPr>
      </w:pPr>
    </w:p>
    <w:p>
      <w:pPr>
        <w:ind w:right="60"/>
        <w:spacing w:after="0" w:line="304" w:lineRule="auto"/>
        <w:rPr>
          <w:sz w:val="20"/>
          <w:szCs w:val="20"/>
          <w:color w:val="auto"/>
        </w:rPr>
      </w:pPr>
      <w:r>
        <w:rPr>
          <w:rFonts w:ascii="Arial" w:cs="Arial" w:eastAsia="Arial" w:hAnsi="Arial"/>
          <w:sz w:val="16"/>
          <w:szCs w:val="16"/>
          <w:color w:val="auto"/>
        </w:rPr>
        <w:t>Calculation of our relative TSR is conducted following completion of the three-year performance period and includes all dividends paid over the performance period.</w:t>
      </w:r>
    </w:p>
    <w:p>
      <w:pPr>
        <w:spacing w:after="0" w:line="3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Payouts under the performance shares are capped at 100% payout (Target) for the relative TSR component, if Civeo’s absolute TSR over the performance period is negative, irrespective of relative performance. The performance metrics for the 2022 and 2023 performance share grants were weighted 50% to cumulative cash flows provided by operating activities and 50% to relative TSR. In 2024, the Compensation Committee replaced the cumulative cash flows provided by operating activities performance metric with a three-year growth in EBITDA performance metric. The performance metrics for the 2024 performance share awards were weighted 70% to three-year growth in EBITDA and 30% to relative TSR. Performance share awards can be earned in amounts between 0% and 200% of the participant’s target performance share award, with the payout percentage to be determined based on Civeo’s performance with respect to the applicable performance metrics.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 AWARD TIMELINE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11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FY23</w:t>
            </w:r>
          </w:p>
        </w:tc>
        <w:tc>
          <w:tcPr>
            <w:tcW w:w="200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FY24</w:t>
            </w: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FY26</w:t>
            </w:r>
          </w:p>
        </w:tc>
        <w:tc>
          <w:tcPr>
            <w:tcW w:w="0" w:type="dxa"/>
            <w:vAlign w:val="bottom"/>
          </w:tcPr>
          <w:p>
            <w:pPr>
              <w:spacing w:after="0"/>
              <w:rPr>
                <w:sz w:val="1"/>
                <w:szCs w:val="1"/>
                <w:color w:val="auto"/>
              </w:rPr>
            </w:pPr>
          </w:p>
        </w:tc>
      </w:tr>
      <w:tr>
        <w:trPr>
          <w:trHeight w:val="124"/>
        </w:trPr>
        <w:tc>
          <w:tcPr>
            <w:tcW w:w="11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FY22 PSA</w:t>
            </w:r>
          </w:p>
        </w:tc>
        <w:tc>
          <w:tcPr>
            <w:tcW w:w="202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0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6"/>
                <w:szCs w:val="16"/>
                <w:b w:val="1"/>
                <w:bCs w:val="1"/>
                <w:color w:val="auto"/>
                <w:w w:val="99"/>
              </w:rPr>
              <w:t>Year 2</w:t>
            </w:r>
          </w:p>
        </w:tc>
        <w:tc>
          <w:tcPr>
            <w:tcW w:w="200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20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0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shd w:val="clear" w:color="auto" w:fill="BED0E9"/>
          </w:tcPr>
          <w:p>
            <w:pPr>
              <w:spacing w:after="0"/>
              <w:rPr>
                <w:sz w:val="5"/>
                <w:szCs w:val="5"/>
                <w:color w:val="auto"/>
              </w:rPr>
            </w:pPr>
          </w:p>
        </w:tc>
        <w:tc>
          <w:tcPr>
            <w:tcW w:w="2000" w:type="dxa"/>
            <w:vAlign w:val="bottom"/>
            <w:tcBorders>
              <w:right w:val="single" w:sz="8" w:color="auto"/>
            </w:tcBorders>
            <w:shd w:val="clear" w:color="auto" w:fill="94B2DA"/>
          </w:tcPr>
          <w:p>
            <w:pPr>
              <w:spacing w:after="0"/>
              <w:rPr>
                <w:sz w:val="5"/>
                <w:szCs w:val="5"/>
                <w:color w:val="auto"/>
              </w:rPr>
            </w:pPr>
          </w:p>
        </w:tc>
        <w:tc>
          <w:tcPr>
            <w:tcW w:w="2000" w:type="dxa"/>
            <w:vAlign w:val="bottom"/>
            <w:tcBorders>
              <w:right w:val="single" w:sz="8" w:color="auto"/>
            </w:tcBorders>
            <w:shd w:val="clear" w:color="auto" w:fill="006DB6"/>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shd w:val="clear" w:color="auto" w:fill="BED0E9"/>
          </w:tcPr>
          <w:p>
            <w:pPr>
              <w:spacing w:after="0"/>
              <w:rPr>
                <w:sz w:val="20"/>
                <w:szCs w:val="20"/>
                <w:color w:val="auto"/>
              </w:rPr>
            </w:pPr>
          </w:p>
        </w:tc>
        <w:tc>
          <w:tcPr>
            <w:tcW w:w="2000" w:type="dxa"/>
            <w:vAlign w:val="bottom"/>
            <w:tcBorders>
              <w:right w:val="single" w:sz="8" w:color="auto"/>
            </w:tcBorders>
            <w:shd w:val="clear" w:color="auto" w:fill="94B2DA"/>
          </w:tcPr>
          <w:p>
            <w:pPr>
              <w:spacing w:after="0"/>
              <w:rPr>
                <w:sz w:val="20"/>
                <w:szCs w:val="20"/>
                <w:color w:val="auto"/>
              </w:rPr>
            </w:pPr>
          </w:p>
        </w:tc>
        <w:tc>
          <w:tcPr>
            <w:tcW w:w="2020" w:type="dxa"/>
            <w:vAlign w:val="bottom"/>
            <w:tcBorders>
              <w:right w:val="single" w:sz="8" w:color="auto"/>
            </w:tcBorders>
            <w:shd w:val="clear" w:color="auto" w:fill="006DB6"/>
          </w:tcPr>
          <w:p>
            <w:pPr>
              <w:spacing w:after="0"/>
              <w:rPr>
                <w:sz w:val="20"/>
                <w:szCs w:val="20"/>
                <w:color w:val="auto"/>
              </w:rPr>
            </w:pPr>
          </w:p>
        </w:tc>
        <w:tc>
          <w:tcPr>
            <w:tcW w:w="19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FY23 PSA</w:t>
            </w: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6"/>
                <w:szCs w:val="16"/>
                <w:b w:val="1"/>
                <w:bCs w:val="1"/>
                <w:color w:val="auto"/>
                <w:w w:val="99"/>
              </w:rPr>
              <w:t>Year 1</w:t>
            </w:r>
          </w:p>
        </w:tc>
        <w:tc>
          <w:tcPr>
            <w:tcW w:w="200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202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spacing w:after="0"/>
              <w:rPr>
                <w:sz w:val="21"/>
                <w:szCs w:val="21"/>
                <w:color w:val="auto"/>
              </w:rPr>
            </w:pPr>
          </w:p>
        </w:tc>
        <w:tc>
          <w:tcPr>
            <w:tcW w:w="2000" w:type="dxa"/>
            <w:vAlign w:val="bottom"/>
            <w:tcBorders>
              <w:right w:val="single" w:sz="8" w:color="auto"/>
            </w:tcBorders>
            <w:shd w:val="clear" w:color="auto" w:fill="94B2DA"/>
          </w:tcPr>
          <w:p>
            <w:pPr>
              <w:spacing w:after="0"/>
              <w:rPr>
                <w:sz w:val="21"/>
                <w:szCs w:val="21"/>
                <w:color w:val="auto"/>
              </w:rPr>
            </w:pPr>
          </w:p>
        </w:tc>
        <w:tc>
          <w:tcPr>
            <w:tcW w:w="2020" w:type="dxa"/>
            <w:vAlign w:val="bottom"/>
            <w:tcBorders>
              <w:right w:val="single" w:sz="8" w:color="auto"/>
            </w:tcBorders>
            <w:shd w:val="clear" w:color="auto" w:fill="006DB6"/>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FY24 PSA</w:t>
            </w:r>
          </w:p>
        </w:tc>
        <w:tc>
          <w:tcPr>
            <w:tcW w:w="202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vMerge w:val="continue"/>
          </w:tcPr>
          <w:p>
            <w:pPr>
              <w:spacing w:after="0"/>
              <w:rPr>
                <w:sz w:val="21"/>
                <w:szCs w:val="21"/>
                <w:color w:val="auto"/>
              </w:rPr>
            </w:pPr>
          </w:p>
        </w:tc>
        <w:tc>
          <w:tcPr>
            <w:tcW w:w="20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2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196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shd w:val="clear" w:color="auto" w:fill="BED0E9"/>
          </w:tcPr>
          <w:p>
            <w:pPr>
              <w:spacing w:after="0"/>
              <w:rPr>
                <w:sz w:val="9"/>
                <w:szCs w:val="9"/>
                <w:color w:val="auto"/>
              </w:rPr>
            </w:pPr>
          </w:p>
        </w:tc>
        <w:tc>
          <w:tcPr>
            <w:tcW w:w="2020" w:type="dxa"/>
            <w:vAlign w:val="bottom"/>
            <w:tcBorders>
              <w:right w:val="single" w:sz="8" w:color="auto"/>
            </w:tcBorders>
            <w:shd w:val="clear" w:color="auto" w:fill="94B2DA"/>
          </w:tcPr>
          <w:p>
            <w:pPr>
              <w:spacing w:after="0"/>
              <w:rPr>
                <w:sz w:val="9"/>
                <w:szCs w:val="9"/>
                <w:color w:val="auto"/>
              </w:rPr>
            </w:pPr>
          </w:p>
        </w:tc>
        <w:tc>
          <w:tcPr>
            <w:tcW w:w="1960" w:type="dxa"/>
            <w:vAlign w:val="bottom"/>
            <w:tcBorders>
              <w:right w:val="single" w:sz="8" w:color="auto"/>
            </w:tcBorders>
            <w:shd w:val="clear" w:color="auto" w:fill="006DB6"/>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All performance share awards have been approved by the Compensation Committee and the board of directors. For those performance share awards that were granted in 2022, the performance period is January 1, 2022 to December 31, 2024. For those performance share awards that were granted in 2023, the performance period is January 1, 2023 to December 31, 2025. For those performance share awards that were granted in 2024, the performance period is January 1, 2024 to December 31, 2026.</w:t>
      </w:r>
    </w:p>
    <w:p>
      <w:pPr>
        <w:spacing w:after="0" w:line="9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All long-term incentive awards under the EPP are expensed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718—Stock Compensation”). Except in special circumstances, long-term incentive awards are made to participants in these plans annually.</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2022 Performance Share Award Payouts</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February 25, 2025, following the completion of the three-year performance period on December 31, 2024, the Compensation Committee certified final achievement with respect to the performance metrics for the 2022 performance share awards. For the three-year performance period, Civeo achieved cumulative cash flows provided by operating activities of $271.8 million resulting in a payout of 46.6% of target level. Civeo achieved three-year relative TSR at the 30th percentile for the performance period as compared to the 2022 peer group, resulting in a payout of 18.6% of target level. Each metric was weighted at 50%, resulting in a total payout of 65.2% of target level for these awards.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Chief Executive Officer Compensation for 2024</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During its evaluation of Mr. Dodson’s compensation, the Compensation Committee reviewed (i) performance against the 2024 business plan, (ii) TSR performance against a group of peer companies, (iii) pay levels and compensation trends at peer group companies and (iv) progress against the Company’s strategic plan.</w:t>
      </w:r>
    </w:p>
    <w:p>
      <w:pPr>
        <w:spacing w:after="0" w:line="4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graphic provides information about equity and non-equity awards granted to Mr. Dodson in 2024. LTIP Awarded reflects the value of phantom share units and performance shares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262255</wp:posOffset>
            </wp:positionV>
            <wp:extent cx="3291840" cy="14573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918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Benefit Plans</w:t>
      </w:r>
    </w:p>
    <w:p>
      <w:pPr>
        <w:spacing w:after="0" w:line="8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Retirement Plans</w:t>
      </w:r>
    </w:p>
    <w:p>
      <w:pPr>
        <w:spacing w:after="0" w:line="1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Civeo offers a defined contribution 401(k) retirement plan to all of its U.S. employees, including its U.S.-based executives. Those participating in the plan can make contributions from their eligible compensation, including their base salaries and annual cash incentive, up to annual limits defined by the Internal Revenue Service. Civeo makes matching contributions under this plan on the first 6% of the participant’s eligible compensation, providing a 100% match on the employee’s contribution up to 4% of his or her eligible compensation and a 50% match on the employee’s contribution up to an additional 2% of the employee’s eligible compensation. A similar defined contribution plan, which uses the same contribution formula, is in place in Canada and is structured pursuant to regulations established by the Canadian Revenue Agency. In Australia, employees and executives must contribute 11.5% of base salary (and may make additional contributions up to an annual capped limit established by the Australia Taxation Office) to a superannuation fund administered by the Government.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Other Perquisites and Personal Benefits</w:t>
      </w:r>
    </w:p>
    <w:p>
      <w:pPr>
        <w:spacing w:after="0" w:line="11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general, Civeo does not offer any executive perquisites or other personal benefits with an aggregate annual value over $10,000. Some executives are provided paid club memberships, which are used for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365125</wp:posOffset>
            </wp:positionV>
            <wp:extent cx="394335" cy="1968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Procedures for Determining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Decision-Making and Approval Process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All executive compensation decisions for NEOs are made on behalf of Civeo solely by the Compensation Committee. Where appropriate, the Compensation Committee engages Mercer to research and make recommendations on issues considered important to executive compensation, as well as to provide the Compensation Committee with insights on evolving compensation trends in relevant industry sectors.</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Executive Officers</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for all other executive officers.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Compensation Consultant</w:t>
      </w:r>
    </w:p>
    <w:p>
      <w:pPr>
        <w:spacing w:after="0" w:line="141"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The Compensation Committee engages Mercer as its independent compensation consultant. Subsequent to its initial engagement of Mercer, the Compensation Committee has reviewed and confirmed its selection of Mercer on an annual basis.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Mercer as its compensation consultant is not compromised. The Compensation Committee conducted a review of its relationship with Mercer in 2024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2024:</w:t>
      </w:r>
    </w:p>
    <w:p>
      <w:pPr>
        <w:spacing w:after="0" w:line="86"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Mercer did not provide any services to Civeo or management other than services requested by or with the approval of the Compensation Committee;</w:t>
      </w:r>
    </w:p>
    <w:p>
      <w:pPr>
        <w:spacing w:after="0" w:line="72" w:lineRule="exact"/>
        <w:rPr>
          <w:rFonts w:ascii="Arial" w:cs="Arial" w:eastAsia="Arial" w:hAnsi="Arial"/>
          <w:sz w:val="16"/>
          <w:szCs w:val="16"/>
          <w:color w:val="006DB6"/>
        </w:rPr>
      </w:pPr>
    </w:p>
    <w:p>
      <w:pPr>
        <w:ind w:left="200" w:right="600" w:hanging="192"/>
        <w:spacing w:after="0" w:line="299" w:lineRule="auto"/>
        <w:tabs>
          <w:tab w:leader="none" w:pos="17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Mercer maintains a conflicts policy, which was provided to the Compensation Committee, with specific policies and procedures designed to ensure independence;</w:t>
      </w:r>
    </w:p>
    <w:p>
      <w:pPr>
        <w:ind w:left="180" w:hanging="172"/>
        <w:spacing w:after="0"/>
        <w:tabs>
          <w:tab w:leader="none" w:pos="18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Fees paid to Mercer by Civeo during 2024 were less than 1% of Mercer’s total revenue;</w:t>
      </w:r>
    </w:p>
    <w:p>
      <w:pPr>
        <w:spacing w:after="0" w:line="86" w:lineRule="exact"/>
        <w:rPr>
          <w:rFonts w:ascii="Arial" w:cs="Arial" w:eastAsia="Arial" w:hAnsi="Arial"/>
          <w:sz w:val="16"/>
          <w:szCs w:val="16"/>
          <w:color w:val="006DB6"/>
        </w:rPr>
      </w:pPr>
    </w:p>
    <w:p>
      <w:pPr>
        <w:ind w:left="200" w:right="20" w:hanging="192"/>
        <w:spacing w:after="0" w:line="299" w:lineRule="auto"/>
        <w:tabs>
          <w:tab w:leader="none" w:pos="17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had any business or personal relationship with Compensation Committee members (other than in connection with working on matters with us);</w:t>
      </w:r>
    </w:p>
    <w:p>
      <w:pPr>
        <w:ind w:left="200" w:right="520" w:hanging="192"/>
        <w:spacing w:after="0" w:line="299" w:lineRule="auto"/>
        <w:tabs>
          <w:tab w:leader="none" w:pos="17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(or any consultants at Mercer) had any business or personal relationship with any of our executive officers; and</w:t>
      </w:r>
    </w:p>
    <w:p>
      <w:pPr>
        <w:ind w:left="180" w:hanging="172"/>
        <w:spacing w:after="0"/>
        <w:tabs>
          <w:tab w:leader="none" w:pos="180" w:val="left"/>
        </w:tabs>
        <w:numPr>
          <w:ilvl w:val="0"/>
          <w:numId w:val="44"/>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own our common shares.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Since 2015, the Compensation Committee also annually approved the engagement of Mercer to provide benefits consulting services to Civeo. The decision to engage Mercer for these additional services was recommended by management, but approved by the Compensation Committee. During 2024, fees paid to Mercer in the form of commissions by our Canadian insurer and retirement plan fund manager totaled $32,364 and $14,438, respectively, for benefits consulting services provided to our Canadian operations. During 2024, fees paid to Mercer in the form of commissions by our U.S. insurers and retirement plan administrator totaled $79,472 and $34,419, respectively, for benefits consulting services provided to our U.S. operations. In the opinion of the Compensation Committee, the scale of these fees ($160,693 in the aggregate) does not compromise Mercer’s independence with respect to executive and director compensation advisory services it provides directly to the Compensation Committee. This independence is and will continue to be monitored on an ongoing basis. Fees paid to Mercer for compensation consulting services to the Compensation Committee totaled $115,947 in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Other Items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and Change of Control Agreements</w:t>
      </w:r>
    </w:p>
    <w:p>
      <w:pPr>
        <w:spacing w:after="0" w:line="114"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As of December 31, 2024, Civeo maintained Executive Agreements with Messrs. Dodson, Gerry and McCann. Neither Mr. Fraser nor Mr. Brewer were party to such an agreement as of December 31, 2024, but they have entered into similar agreements since fiscal year-end. These agreements are not considered long-term employment agreements. Our U.S. executives are employed “at will” by Civeo. The agreements provide protection in the event of a qualified termination, which is generally defined as an (i) involuntary termination of the executive officer by Civeo other than for Cause (as defined in each agreement) outside the context of a "Change of Control (as defined in each agreement) or (ii) an involuntary termination of the executive officer by Civeo other than for Cause or a voluntary termination by the executive for Good Reason during a specified period of time after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based on the executive officer's base salary and target annual incentive amount in place on the date of termination. Under the terms of their Executive Agreements, Messrs. Dodson, Gerry and McCann are each entitled to receive a lump-sum payment equal to two times (or 1.5 times for Mr. Gerry)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Gerry and McCann will be entitled to receive a lump-sum payment equal to one year’s base salary and target annual bonus amount as well as other benefits described below.</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agreements provide that all restricted stock awards, restricted share units, performance shares, deferred shares, phantom units, options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equity-based awards will vest immediately, and that all restrictions on such awards will lapse upon a qualifying termination during the protection period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following a Change of Control and that outstanding options will remain exercisable for a period of 90 days. The executive officer will also be entitled to (A)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case of Messrs. Dodson and Gerry, health benefits until the earlier of (i) 36 months (in the case of Mr. Dodson) or 18 months in the case of Mr. Gerry and</w:t>
      </w:r>
    </w:p>
    <w:p>
      <w:pPr>
        <w:spacing w:after="0" w:line="5" w:lineRule="exact"/>
        <w:rPr>
          <w:sz w:val="20"/>
          <w:szCs w:val="20"/>
          <w:color w:val="auto"/>
        </w:rPr>
      </w:pPr>
    </w:p>
    <w:p>
      <w:pPr>
        <w:ind w:firstLine="8"/>
        <w:spacing w:after="0" w:line="254" w:lineRule="auto"/>
        <w:tabs>
          <w:tab w:leader="none" w:pos="2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date the executive began receiving comparable benefits from a subsequent employer, (B) in the case of Messrs. Dodson and Gerry, vesting of all employer contributions to our 401(k) plan and any deferred compensation plans to the extent not already vested and (C) for each of Messrs. Dodson, Gerry, McCann, outplacement services equal to a maximum of 15% of the executive’s salary at the time of termination until the earliest to occur of (i) December 31 of the second calendar year following the year of termination (or the date that is 18 months after the date of termination for Mr. Gerry) and (ii) the date the executive accepts subsequent employment. Where a qualified termination occurs outside of the protection period following a Change of Control, (1) Mr. Dodson’s Executive Agreement provides that all restricted stock awards, restricted share units, performance shares, deferred shares, phantom units, options and other equity-based awards will vest immediately, that all restrictions on such awards will lapse and that he will be entitled to health benefits until the earlier of (x) 36 months and (y) the date that Mr. Dodson began receiving comparable benefits from a subsequent employer and (2) Messrs. Gerry's and McCann’s Executive Agreements provide for the full vesting of all restricted stock awards, restricted share units, performance shares, deferred shares, phantom units, options and other equity-based awards to the extent that such equity-based award would have vested over the year following his termination in accordance with their terms and Mr. Gerry will be entitled to health benefits until the earlier of (x) 12 months following termination and (y) the date that Mr. Gerry began receiving comparable benefits from a subsequent employer. The Executive Agreement entered into with Mr. Dodson (which was entered into in 2006 while employed by Oil States International Inc.) entitles Mr. Dodson to be made whole for any excise taxes incurred with respect to severance payments that were in excess of the limits set forth under the Internal Revenue Code. No excise tax gross-up protection is available to any other named executive officer. See “Potential Payments Under Termination or Change of Control” in this proxy statement for additional disclosures of severance and Change of Control payments for NEOs.</w:t>
      </w:r>
    </w:p>
    <w:p>
      <w:pPr>
        <w:spacing w:after="0" w:line="9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Civeo’s Executive Agreements generally have a term of three years and are extended automatically for one additional day on a daily basis, unless notice of non-extension is served by the board of directors. Where notice is served, the agreement will terminate on the third anniversary of the date notice was given. To receive benefits under the Executive Agreement or Change of Control Agreement, the executive officer is required to execute a release of all claims against Civeo.</w:t>
      </w:r>
    </w:p>
    <w:p>
      <w:pPr>
        <w:spacing w:after="0" w:line="6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While Messrs. Fraser and Brewer were not parties to Executive or Change in Control Agreements in fiscal 2024, Mr. Brewer entered into an agreement effective April 2, 2025 and Mr. Fraser entered into an agreement effective April 2, 2025. Mr. Fraser’s Executive Agreement formalized the terms of an offer letter entered into with him in connection with his appointment to the SVP, Canada role and is on terms similar to those of the Executive Agreements of Messrs. Dodson, Gerry and McCann, except that Mr. Fraser’s agreement does not have any specified term. Mr. Brewer’s agreement has terms similar to the Executive Agreements, except that his agreement does not provide for severance payments outside the context of a Change of Control.</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With respect to outstanding performance share awards, 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147320</wp:posOffset>
            </wp:positionV>
            <wp:extent cx="394335" cy="196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on July 26, 2022, Civeo entered into a retention commitment agreement with Mr. Schoening, which was amended in October 2023 (as amended “Retention Agreement”). The Retention Agreement provided that if Mr. Schoening’s employment with the Company had terminated without Cause (as defined in his Change of Control Agreement) at any time prior to December 31, 2024 (the “Retention Date”), then, subject to his execution and non-revocation of a release of claims in favor of the Company, Mr. Schoening would have been eligible to receive certain payment and benefits. Mr. Schoening was not eligible to receive such payments and benefits in connection with his retirement. The Retention Agreement also contemplated his entry into a consulting relationship with the Company to provide part-time advisory and support services.</w:t>
      </w:r>
    </w:p>
    <w:p>
      <w:pPr>
        <w:spacing w:after="0" w:line="8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Mr. Schoening, through his entity Quantev Advisors Ltd., entered into a Consulting Agreement with a subsidiary of the Company effective January 1, 2025, with a term that runs through March 2026. Pursuant to this agreement Mr. Schoening provides transitional support to Mr. Fraser and advice on certain regional strategic matters and corporate organization matters. He receives a monthly fee of CA$16,667 for up to 40 hours of service per month with any additional hours payable at CA$750 per hour. During the consulting period Mr. Schoening’s then outstanding equity awards will continue to vest in accordance with their terms. If Mr. Schoening’s consulting relationship is terminated without cause prior to expiration of the consulting term, his then unvested equity awards will immediately accelerate in full.</w:t>
      </w:r>
    </w:p>
    <w:p>
      <w:pPr>
        <w:spacing w:after="0" w:line="6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Accounting Considerations</w:t>
      </w:r>
    </w:p>
    <w:p>
      <w:pPr>
        <w:spacing w:after="0" w:line="11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Policies and Practices</w:t>
      </w:r>
    </w:p>
    <w:p>
      <w:pPr>
        <w:spacing w:after="0" w:line="12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Insider Trading and Hedging Policy</w:t>
      </w:r>
    </w:p>
    <w:p>
      <w:pPr>
        <w:spacing w:after="0" w:line="7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Civeo has a Policy on Insider Trading that governs the purchase and sale of, and other transactions in, Civeo securities. We believe this policy and the procedures that Civeo follows are reasonably designed to promote compliance with insider trading laws, rules, and regulations. Among other things, the policy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the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 The Policy on Insider Trading was filed as Exhibit 19.1 to our Annual Report on Form 10-K for the fiscal year ended December 31, 2024 filed on February 27, 2025.</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Equity Grant Practices</w:t>
      </w:r>
    </w:p>
    <w:p>
      <w:pPr>
        <w:spacing w:after="0" w:line="12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Committee generally approves the target value of annual equity awards for Civeo’s executive officers, including each of the NEOs, at its meeting in February of each year, with a grant date to be effective shortly after the filing of the Company's Annual Report on Form 10-K for the prior fiscal year. Additionally, awards to non-executive employees are typically presented to the Compensation committee at this same meeting and granted at the same period described above. In special circumstances, including the hiring or promotion of an individual or where the Compensation Committee determines it is in Civeo’s best interest, the Compensation Committee may approve grants to be effective at other times. The Company may change its equity grant practices</w:t>
      </w:r>
    </w:p>
    <w:p>
      <w:pPr>
        <w:spacing w:after="0" w:line="29"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in the future. Civeo did not grant any stock option awards in 2024. Civeo does not time the 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Clawback Policy</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Under Civeo’s clawback policy, in the event that Civeo is required to prepare an accounting restatement due to Civeo’s material non-compliance with any financial reporting requirement under the federal securities laws, Civeo will, subject to limited exceptions,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 The clawback policy is intended to comply with, and will be administered and interpreted consistent with the requirements of Exchange Act Rule 10D-1 and applicable NYSE listing standards.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Share Ownership Requirements</w:t>
      </w:r>
    </w:p>
    <w:p>
      <w:pPr>
        <w:spacing w:after="0" w:line="11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Civeo has established executive share ownership requirements to further align the interests of key executives with those of its shareholders. Our Executive Share Ownership Guidelines require our executives to attain ownership of shares equal in value to an amount calculated based on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282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114935</wp:posOffset>
            </wp:positionV>
            <wp:extent cx="771525" cy="1117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1525" cy="1117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0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Executives who are covered by these guidelines have five years to reach their respective share ownership levels. On an annual basis, the Compensation Committee monitors compliance with these guidelines. As of March 17, 2025, all current executive officers were in compliance with the guidelines as demonstrated in the chart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3260" w:type="dxa"/>
            <w:vAlign w:val="bottom"/>
            <w:tcBorders>
              <w:bottom w:val="single" w:sz="8" w:color="006DB6"/>
            </w:tcBorders>
            <w:gridSpan w:val="2"/>
          </w:tcPr>
          <w:p>
            <w:pPr>
              <w:jc w:val="right"/>
              <w:ind w:right="841"/>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37"/>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Executives</w:t>
            </w:r>
          </w:p>
        </w:tc>
        <w:tc>
          <w:tcPr>
            <w:tcW w:w="1820" w:type="dxa"/>
            <w:vAlign w:val="bottom"/>
            <w:tcBorders>
              <w:bottom w:val="single" w:sz="8" w:color="006DB6"/>
            </w:tcBorders>
          </w:tcPr>
          <w:p>
            <w:pPr>
              <w:jc w:val="right"/>
              <w:ind w:right="162"/>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195,618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437,744</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28,755</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31,811</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27,468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  *</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820" w:type="dxa"/>
            <w:vAlign w:val="bottom"/>
          </w:tcPr>
          <w:p>
            <w:pPr>
              <w:jc w:val="right"/>
              <w:ind w:right="222"/>
              <w:spacing w:after="0"/>
              <w:rPr>
                <w:sz w:val="20"/>
                <w:szCs w:val="20"/>
                <w:color w:val="auto"/>
              </w:rPr>
            </w:pPr>
            <w:r>
              <w:rPr>
                <w:rFonts w:ascii="Arial" w:cs="Arial" w:eastAsia="Arial" w:hAnsi="Arial"/>
                <w:sz w:val="16"/>
                <w:szCs w:val="16"/>
                <w:color w:val="auto"/>
              </w:rPr>
              <w:t>34,413</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86,268</w:t>
            </w:r>
          </w:p>
        </w:tc>
        <w:tc>
          <w:tcPr>
            <w:tcW w:w="1280" w:type="dxa"/>
            <w:vAlign w:val="bottom"/>
          </w:tcPr>
          <w:p>
            <w:pPr>
              <w:ind w:left="800"/>
              <w:spacing w:after="0"/>
              <w:rPr>
                <w:sz w:val="20"/>
                <w:szCs w:val="20"/>
                <w:color w:val="auto"/>
              </w:rPr>
            </w:pPr>
            <w:r>
              <w:rPr>
                <w:rFonts w:ascii="Arial" w:cs="Arial" w:eastAsia="Arial" w:hAnsi="Arial"/>
                <w:sz w:val="16"/>
                <w:szCs w:val="16"/>
                <w:color w:val="auto"/>
              </w:rPr>
              <w:t>Yes</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*Within grace period for compliance</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Committee Report</w:t>
      </w:r>
    </w:p>
    <w:p>
      <w:pPr>
        <w:spacing w:after="0" w:line="146"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i w:val="1"/>
          <w:iCs w:val="1"/>
          <w:color w:val="006DB6"/>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Constance B. Moore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173355</wp:posOffset>
            </wp:positionV>
            <wp:extent cx="394335" cy="1968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Tables</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Summary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compensation of our NEOs for the fiscal years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4"/>
                <w:szCs w:val="14"/>
                <w:b w:val="1"/>
                <w:bCs w:val="1"/>
                <w:color w:val="706F6F"/>
              </w:rPr>
              <w:t>Non-Equity</w:t>
            </w: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706F6F"/>
              </w:rPr>
              <w:t>Stock</w:t>
            </w:r>
          </w:p>
        </w:tc>
        <w:tc>
          <w:tcPr>
            <w:tcW w:w="1360" w:type="dxa"/>
            <w:vAlign w:val="bottom"/>
          </w:tcPr>
          <w:p>
            <w:pPr>
              <w:ind w:left="60"/>
              <w:spacing w:after="0"/>
              <w:rPr>
                <w:sz w:val="20"/>
                <w:szCs w:val="20"/>
                <w:color w:val="auto"/>
              </w:rPr>
            </w:pPr>
            <w:r>
              <w:rPr>
                <w:rFonts w:ascii="Arial" w:cs="Arial" w:eastAsia="Arial" w:hAnsi="Arial"/>
                <w:sz w:val="14"/>
                <w:szCs w:val="14"/>
                <w:b w:val="1"/>
                <w:bCs w:val="1"/>
                <w:color w:val="706F6F"/>
              </w:rPr>
              <w:t>Incentive Plan</w:t>
            </w:r>
          </w:p>
        </w:tc>
        <w:tc>
          <w:tcPr>
            <w:tcW w:w="1220" w:type="dxa"/>
            <w:vAlign w:val="bottom"/>
          </w:tcPr>
          <w:p>
            <w:pPr>
              <w:ind w:left="40"/>
              <w:spacing w:after="0"/>
              <w:rPr>
                <w:sz w:val="20"/>
                <w:szCs w:val="20"/>
                <w:color w:val="auto"/>
              </w:rPr>
            </w:pPr>
            <w:r>
              <w:rPr>
                <w:rFonts w:ascii="Arial" w:cs="Arial" w:eastAsia="Arial" w:hAnsi="Arial"/>
                <w:sz w:val="14"/>
                <w:szCs w:val="14"/>
                <w:b w:val="1"/>
                <w:bCs w:val="1"/>
                <w:color w:val="706F6F"/>
              </w:rPr>
              <w:t>All Other</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ind w:left="160"/>
              <w:spacing w:after="0"/>
              <w:rPr>
                <w:sz w:val="20"/>
                <w:szCs w:val="20"/>
                <w:color w:val="auto"/>
              </w:rPr>
            </w:pPr>
            <w:r>
              <w:rPr>
                <w:rFonts w:ascii="Arial" w:cs="Arial" w:eastAsia="Arial" w:hAnsi="Arial"/>
                <w:sz w:val="14"/>
                <w:szCs w:val="14"/>
                <w:b w:val="1"/>
                <w:bCs w:val="1"/>
                <w:color w:val="706F6F"/>
              </w:rPr>
              <w:t>Salary</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706F6F"/>
              </w:rPr>
              <w:t>Bonus</w:t>
            </w:r>
          </w:p>
        </w:tc>
        <w:tc>
          <w:tcPr>
            <w:tcW w:w="1320" w:type="dxa"/>
            <w:vAlign w:val="bottom"/>
          </w:tcPr>
          <w:p>
            <w:pPr>
              <w:ind w:left="40"/>
              <w:spacing w:after="0"/>
              <w:rPr>
                <w:sz w:val="20"/>
                <w:szCs w:val="20"/>
                <w:color w:val="auto"/>
              </w:rPr>
            </w:pPr>
            <w:r>
              <w:rPr>
                <w:rFonts w:ascii="Arial" w:cs="Arial" w:eastAsia="Arial" w:hAnsi="Arial"/>
                <w:sz w:val="14"/>
                <w:szCs w:val="14"/>
                <w:b w:val="1"/>
                <w:bCs w:val="1"/>
                <w:color w:val="706F6F"/>
              </w:rPr>
              <w:t>Awards</w:t>
            </w:r>
          </w:p>
        </w:tc>
        <w:tc>
          <w:tcPr>
            <w:tcW w:w="1360" w:type="dxa"/>
            <w:vAlign w:val="bottom"/>
          </w:tcPr>
          <w:p>
            <w:pPr>
              <w:ind w:left="60"/>
              <w:spacing w:after="0"/>
              <w:rPr>
                <w:sz w:val="20"/>
                <w:szCs w:val="20"/>
                <w:color w:val="auto"/>
              </w:rPr>
            </w:pPr>
            <w:r>
              <w:rPr>
                <w:rFonts w:ascii="Arial" w:cs="Arial" w:eastAsia="Arial" w:hAnsi="Arial"/>
                <w:sz w:val="14"/>
                <w:szCs w:val="14"/>
                <w:b w:val="1"/>
                <w:bCs w:val="1"/>
                <w:color w:val="706F6F"/>
              </w:rPr>
              <w:t>Compensation</w:t>
            </w:r>
          </w:p>
        </w:tc>
        <w:tc>
          <w:tcPr>
            <w:tcW w:w="1220" w:type="dxa"/>
            <w:vAlign w:val="bottom"/>
          </w:tcPr>
          <w:p>
            <w:pPr>
              <w:ind w:left="40"/>
              <w:spacing w:after="0"/>
              <w:rPr>
                <w:sz w:val="20"/>
                <w:szCs w:val="20"/>
                <w:color w:val="auto"/>
              </w:rPr>
            </w:pPr>
            <w:r>
              <w:rPr>
                <w:rFonts w:ascii="Arial" w:cs="Arial" w:eastAsia="Arial" w:hAnsi="Arial"/>
                <w:sz w:val="14"/>
                <w:szCs w:val="14"/>
                <w:b w:val="1"/>
                <w:bCs w:val="1"/>
                <w:color w:val="706F6F"/>
              </w:rPr>
              <w:t>Compensation</w:t>
            </w:r>
          </w:p>
        </w:tc>
        <w:tc>
          <w:tcPr>
            <w:tcW w:w="460" w:type="dxa"/>
            <w:vAlign w:val="bottom"/>
          </w:tcPr>
          <w:p>
            <w:pPr>
              <w:ind w:left="40"/>
              <w:spacing w:after="0"/>
              <w:rPr>
                <w:sz w:val="20"/>
                <w:szCs w:val="20"/>
                <w:color w:val="auto"/>
              </w:rPr>
            </w:pPr>
            <w:r>
              <w:rPr>
                <w:rFonts w:ascii="Arial" w:cs="Arial" w:eastAsia="Arial" w:hAnsi="Arial"/>
                <w:sz w:val="14"/>
                <w:szCs w:val="14"/>
                <w:b w:val="1"/>
                <w:bCs w:val="1"/>
                <w:color w:val="706F6F"/>
              </w:rPr>
              <w:t>Total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 and Principal Position</w:t>
            </w:r>
          </w:p>
        </w:tc>
        <w:tc>
          <w:tcPr>
            <w:tcW w:w="5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Year</w:t>
            </w:r>
          </w:p>
        </w:tc>
        <w:tc>
          <w:tcPr>
            <w:tcW w:w="132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ind w:left="60"/>
              <w:spacing w:after="0"/>
              <w:rPr>
                <w:sz w:val="20"/>
                <w:szCs w:val="20"/>
                <w:color w:val="auto"/>
              </w:rPr>
            </w:pPr>
            <w:r>
              <w:rPr>
                <w:rFonts w:ascii="Arial" w:cs="Arial" w:eastAsia="Arial" w:hAnsi="Arial"/>
                <w:sz w:val="14"/>
                <w:szCs w:val="14"/>
                <w:b w:val="1"/>
                <w:bCs w:val="1"/>
                <w:color w:val="706F6F"/>
              </w:rPr>
              <w:t>($)</w:t>
            </w:r>
          </w:p>
        </w:tc>
        <w:tc>
          <w:tcPr>
            <w:tcW w:w="132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(4)</w:t>
            </w:r>
          </w:p>
        </w:tc>
        <w:tc>
          <w:tcPr>
            <w:tcW w:w="1360" w:type="dxa"/>
            <w:vAlign w:val="bottom"/>
            <w:tcBorders>
              <w:bottom w:val="single" w:sz="8" w:color="006DB6"/>
            </w:tcBorders>
          </w:tcPr>
          <w:p>
            <w:pPr>
              <w:ind w:left="60"/>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(5)</w:t>
            </w:r>
          </w:p>
        </w:tc>
        <w:tc>
          <w:tcPr>
            <w:tcW w:w="122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(6)</w:t>
            </w:r>
          </w:p>
        </w:tc>
        <w:tc>
          <w:tcPr>
            <w:tcW w:w="460" w:type="dxa"/>
            <w:vAlign w:val="bottom"/>
            <w:tcBorders>
              <w:bottom w:val="single" w:sz="8" w:color="006DB6"/>
            </w:tcBorders>
          </w:tcPr>
          <w:p>
            <w:pPr>
              <w:ind w:left="40"/>
              <w:spacing w:after="0"/>
              <w:rPr>
                <w:sz w:val="20"/>
                <w:szCs w:val="20"/>
                <w:color w:val="auto"/>
              </w:rPr>
            </w:pPr>
            <w:r>
              <w:rPr>
                <w:rFonts w:ascii="Arial" w:cs="Arial" w:eastAsia="Arial" w:hAnsi="Arial"/>
                <w:sz w:val="14"/>
                <w:szCs w:val="14"/>
                <w:b w:val="1"/>
                <w:bCs w:val="1"/>
                <w:color w:val="706F6F"/>
              </w:rPr>
              <w:t>($)</w:t>
            </w:r>
          </w:p>
        </w:tc>
        <w:tc>
          <w:tcPr>
            <w:tcW w:w="88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2,559,331</w:t>
            </w:r>
          </w:p>
        </w:tc>
        <w:tc>
          <w:tcPr>
            <w:tcW w:w="1360" w:type="dxa"/>
            <w:vAlign w:val="bottom"/>
          </w:tcPr>
          <w:p>
            <w:pPr>
              <w:jc w:val="right"/>
              <w:spacing w:after="0"/>
              <w:rPr>
                <w:sz w:val="20"/>
                <w:szCs w:val="20"/>
                <w:color w:val="auto"/>
              </w:rPr>
            </w:pPr>
            <w:r>
              <w:rPr>
                <w:rFonts w:ascii="Arial" w:cs="Arial" w:eastAsia="Arial" w:hAnsi="Arial"/>
                <w:sz w:val="16"/>
                <w:szCs w:val="16"/>
                <w:color w:val="auto"/>
              </w:rPr>
              <w:t>558,000</w:t>
            </w:r>
          </w:p>
        </w:tc>
        <w:tc>
          <w:tcPr>
            <w:tcW w:w="1220" w:type="dxa"/>
            <w:vAlign w:val="bottom"/>
          </w:tcPr>
          <w:p>
            <w:pPr>
              <w:jc w:val="right"/>
              <w:spacing w:after="0"/>
              <w:rPr>
                <w:sz w:val="20"/>
                <w:szCs w:val="20"/>
                <w:color w:val="auto"/>
              </w:rPr>
            </w:pPr>
            <w:r>
              <w:rPr>
                <w:rFonts w:ascii="Arial" w:cs="Arial" w:eastAsia="Arial" w:hAnsi="Arial"/>
                <w:sz w:val="16"/>
                <w:szCs w:val="16"/>
                <w:color w:val="auto"/>
              </w:rPr>
              <w:t>19,997</w:t>
            </w: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3,887,328</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w:t>
            </w: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2023</w:t>
            </w:r>
          </w:p>
        </w:tc>
        <w:tc>
          <w:tcPr>
            <w:tcW w:w="132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jc w:val="right"/>
              <w:spacing w:after="0"/>
              <w:rPr>
                <w:sz w:val="20"/>
                <w:szCs w:val="20"/>
                <w:color w:val="auto"/>
              </w:rPr>
            </w:pPr>
            <w:r>
              <w:rPr>
                <w:rFonts w:ascii="Arial" w:cs="Arial" w:eastAsia="Arial" w:hAnsi="Arial"/>
                <w:sz w:val="16"/>
                <w:szCs w:val="16"/>
                <w:color w:val="auto"/>
              </w:rPr>
              <w:t>1,256,251</w:t>
            </w:r>
          </w:p>
        </w:tc>
        <w:tc>
          <w:tcPr>
            <w:tcW w:w="1320" w:type="dxa"/>
            <w:vAlign w:val="bottom"/>
          </w:tcPr>
          <w:p>
            <w:pPr>
              <w:jc w:val="right"/>
              <w:spacing w:after="0"/>
              <w:rPr>
                <w:sz w:val="20"/>
                <w:szCs w:val="20"/>
                <w:color w:val="auto"/>
              </w:rPr>
            </w:pPr>
            <w:r>
              <w:rPr>
                <w:rFonts w:ascii="Arial" w:cs="Arial" w:eastAsia="Arial" w:hAnsi="Arial"/>
                <w:sz w:val="16"/>
                <w:szCs w:val="16"/>
                <w:color w:val="auto"/>
              </w:rPr>
              <w:t>2,811,698</w:t>
            </w:r>
          </w:p>
        </w:tc>
        <w:tc>
          <w:tcPr>
            <w:tcW w:w="1360" w:type="dxa"/>
            <w:vAlign w:val="bottom"/>
          </w:tcPr>
          <w:p>
            <w:pPr>
              <w:jc w:val="right"/>
              <w:spacing w:after="0"/>
              <w:rPr>
                <w:sz w:val="20"/>
                <w:szCs w:val="20"/>
                <w:color w:val="auto"/>
              </w:rPr>
            </w:pPr>
            <w:r>
              <w:rPr>
                <w:rFonts w:ascii="Arial" w:cs="Arial" w:eastAsia="Arial" w:hAnsi="Arial"/>
                <w:sz w:val="16"/>
                <w:szCs w:val="16"/>
                <w:color w:val="auto"/>
              </w:rPr>
              <w:t>1,474,995</w:t>
            </w:r>
          </w:p>
        </w:tc>
        <w:tc>
          <w:tcPr>
            <w:tcW w:w="1220" w:type="dxa"/>
            <w:vAlign w:val="bottom"/>
          </w:tcPr>
          <w:p>
            <w:pPr>
              <w:jc w:val="right"/>
              <w:spacing w:after="0"/>
              <w:rPr>
                <w:sz w:val="20"/>
                <w:szCs w:val="20"/>
                <w:color w:val="auto"/>
              </w:rPr>
            </w:pPr>
            <w:r>
              <w:rPr>
                <w:rFonts w:ascii="Arial" w:cs="Arial" w:eastAsia="Arial" w:hAnsi="Arial"/>
                <w:sz w:val="16"/>
                <w:szCs w:val="16"/>
                <w:color w:val="auto"/>
              </w:rPr>
              <w:t>18,918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6,311,862</w:t>
            </w: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2022</w:t>
            </w:r>
          </w:p>
        </w:tc>
        <w:tc>
          <w:tcPr>
            <w:tcW w:w="1320" w:type="dxa"/>
            <w:vAlign w:val="bottom"/>
          </w:tcPr>
          <w:p>
            <w:pPr>
              <w:jc w:val="right"/>
              <w:spacing w:after="0"/>
              <w:rPr>
                <w:sz w:val="20"/>
                <w:szCs w:val="20"/>
                <w:color w:val="auto"/>
              </w:rPr>
            </w:pPr>
            <w:r>
              <w:rPr>
                <w:rFonts w:ascii="Arial" w:cs="Arial" w:eastAsia="Arial" w:hAnsi="Arial"/>
                <w:sz w:val="16"/>
                <w:szCs w:val="16"/>
                <w:color w:val="auto"/>
              </w:rPr>
              <w:t>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2,839,301</w:t>
            </w:r>
          </w:p>
        </w:tc>
        <w:tc>
          <w:tcPr>
            <w:tcW w:w="1360" w:type="dxa"/>
            <w:vAlign w:val="bottom"/>
          </w:tcPr>
          <w:p>
            <w:pPr>
              <w:jc w:val="right"/>
              <w:spacing w:after="0"/>
              <w:rPr>
                <w:sz w:val="20"/>
                <w:szCs w:val="20"/>
                <w:color w:val="auto"/>
              </w:rPr>
            </w:pPr>
            <w:r>
              <w:rPr>
                <w:rFonts w:ascii="Arial" w:cs="Arial" w:eastAsia="Arial" w:hAnsi="Arial"/>
                <w:sz w:val="16"/>
                <w:szCs w:val="16"/>
                <w:color w:val="auto"/>
              </w:rPr>
              <w:t>1,110,600</w:t>
            </w:r>
          </w:p>
        </w:tc>
        <w:tc>
          <w:tcPr>
            <w:tcW w:w="1220" w:type="dxa"/>
            <w:vAlign w:val="bottom"/>
          </w:tcPr>
          <w:p>
            <w:pPr>
              <w:jc w:val="right"/>
              <w:spacing w:after="0"/>
              <w:rPr>
                <w:sz w:val="20"/>
                <w:szCs w:val="20"/>
                <w:color w:val="auto"/>
              </w:rPr>
            </w:pPr>
            <w:r>
              <w:rPr>
                <w:rFonts w:ascii="Arial" w:cs="Arial" w:eastAsia="Arial" w:hAnsi="Arial"/>
                <w:sz w:val="16"/>
                <w:szCs w:val="16"/>
                <w:color w:val="auto"/>
              </w:rPr>
              <w:t>17,884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4,717,785</w:t>
            </w:r>
          </w:p>
        </w:tc>
        <w:tc>
          <w:tcPr>
            <w:tcW w:w="0" w:type="dxa"/>
            <w:vAlign w:val="bottom"/>
          </w:tcPr>
          <w:p>
            <w:pPr>
              <w:spacing w:after="0"/>
              <w:rPr>
                <w:sz w:val="1"/>
                <w:szCs w:val="1"/>
                <w:color w:val="auto"/>
              </w:rPr>
            </w:pPr>
          </w:p>
        </w:tc>
      </w:tr>
      <w:tr>
        <w:trPr>
          <w:trHeight w:val="130"/>
        </w:trPr>
        <w:tc>
          <w:tcPr>
            <w:tcW w:w="2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329,721</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576,235</w:t>
            </w:r>
          </w:p>
        </w:tc>
        <w:tc>
          <w:tcPr>
            <w:tcW w:w="1360" w:type="dxa"/>
            <w:vAlign w:val="bottom"/>
          </w:tcPr>
          <w:p>
            <w:pPr>
              <w:jc w:val="right"/>
              <w:spacing w:after="0"/>
              <w:rPr>
                <w:sz w:val="20"/>
                <w:szCs w:val="20"/>
                <w:color w:val="auto"/>
              </w:rPr>
            </w:pPr>
            <w:r>
              <w:rPr>
                <w:rFonts w:ascii="Arial" w:cs="Arial" w:eastAsia="Arial" w:hAnsi="Arial"/>
                <w:sz w:val="16"/>
                <w:szCs w:val="16"/>
                <w:color w:val="auto"/>
              </w:rPr>
              <w:t>119,368</w:t>
            </w:r>
          </w:p>
        </w:tc>
        <w:tc>
          <w:tcPr>
            <w:tcW w:w="1220" w:type="dxa"/>
            <w:vAlign w:val="bottom"/>
          </w:tcPr>
          <w:p>
            <w:pPr>
              <w:jc w:val="right"/>
              <w:spacing w:after="0"/>
              <w:rPr>
                <w:sz w:val="20"/>
                <w:szCs w:val="20"/>
                <w:color w:val="auto"/>
              </w:rPr>
            </w:pPr>
            <w:r>
              <w:rPr>
                <w:rFonts w:ascii="Arial" w:cs="Arial" w:eastAsia="Arial" w:hAnsi="Arial"/>
                <w:sz w:val="16"/>
                <w:szCs w:val="16"/>
                <w:color w:val="auto"/>
              </w:rPr>
              <w:t>357,157</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1,382,481</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Senior Vice President, Chief</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Financial Officer and Treasurer</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Andrew S. Fraser </w:t>
            </w:r>
            <w:r>
              <w:rPr>
                <w:rFonts w:ascii="Arial" w:cs="Arial" w:eastAsia="Arial" w:hAnsi="Arial"/>
                <w:sz w:val="21"/>
                <w:szCs w:val="21"/>
                <w:b w:val="1"/>
                <w:bCs w:val="1"/>
                <w:color w:val="006DB6"/>
                <w:vertAlign w:val="superscript"/>
              </w:rPr>
              <w:t>(2)</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131,699</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549,003</w:t>
            </w:r>
          </w:p>
        </w:tc>
        <w:tc>
          <w:tcPr>
            <w:tcW w:w="1360" w:type="dxa"/>
            <w:vAlign w:val="bottom"/>
          </w:tcPr>
          <w:p>
            <w:pPr>
              <w:jc w:val="right"/>
              <w:spacing w:after="0"/>
              <w:rPr>
                <w:sz w:val="20"/>
                <w:szCs w:val="20"/>
                <w:color w:val="auto"/>
              </w:rPr>
            </w:pPr>
            <w:r>
              <w:rPr>
                <w:rFonts w:ascii="Arial" w:cs="Arial" w:eastAsia="Arial" w:hAnsi="Arial"/>
                <w:sz w:val="16"/>
                <w:szCs w:val="16"/>
                <w:color w:val="auto"/>
              </w:rPr>
              <w:t>51,874</w:t>
            </w:r>
          </w:p>
        </w:tc>
        <w:tc>
          <w:tcPr>
            <w:tcW w:w="1220" w:type="dxa"/>
            <w:vAlign w:val="bottom"/>
          </w:tcPr>
          <w:p>
            <w:pPr>
              <w:jc w:val="right"/>
              <w:spacing w:after="0"/>
              <w:rPr>
                <w:sz w:val="20"/>
                <w:szCs w:val="20"/>
                <w:color w:val="auto"/>
              </w:rPr>
            </w:pPr>
            <w:r>
              <w:rPr>
                <w:rFonts w:ascii="Arial" w:cs="Arial" w:eastAsia="Arial" w:hAnsi="Arial"/>
                <w:sz w:val="16"/>
                <w:szCs w:val="16"/>
                <w:color w:val="auto"/>
              </w:rPr>
              <w:t>6,108</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738,684</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Senior Vice President, Canada</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Peter L. McCann </w:t>
            </w:r>
            <w:r>
              <w:rPr>
                <w:rFonts w:ascii="Arial" w:cs="Arial" w:eastAsia="Arial" w:hAnsi="Arial"/>
                <w:sz w:val="21"/>
                <w:szCs w:val="21"/>
                <w:b w:val="1"/>
                <w:bCs w:val="1"/>
                <w:color w:val="006DB6"/>
                <w:vertAlign w:val="superscript"/>
              </w:rPr>
              <w:t>(1)</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313,358</w:t>
            </w:r>
          </w:p>
        </w:tc>
        <w:tc>
          <w:tcPr>
            <w:tcW w:w="1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498,428</w:t>
            </w:r>
          </w:p>
        </w:tc>
        <w:tc>
          <w:tcPr>
            <w:tcW w:w="1360" w:type="dxa"/>
            <w:vAlign w:val="bottom"/>
          </w:tcPr>
          <w:p>
            <w:pPr>
              <w:jc w:val="right"/>
              <w:spacing w:after="0"/>
              <w:rPr>
                <w:sz w:val="20"/>
                <w:szCs w:val="20"/>
                <w:color w:val="auto"/>
              </w:rPr>
            </w:pPr>
            <w:r>
              <w:rPr>
                <w:rFonts w:ascii="Arial" w:cs="Arial" w:eastAsia="Arial" w:hAnsi="Arial"/>
                <w:sz w:val="16"/>
                <w:szCs w:val="16"/>
                <w:color w:val="auto"/>
              </w:rPr>
              <w:t>269,058</w:t>
            </w:r>
          </w:p>
        </w:tc>
        <w:tc>
          <w:tcPr>
            <w:tcW w:w="1220" w:type="dxa"/>
            <w:vAlign w:val="bottom"/>
          </w:tcPr>
          <w:p>
            <w:pPr>
              <w:jc w:val="right"/>
              <w:spacing w:after="0"/>
              <w:rPr>
                <w:sz w:val="20"/>
                <w:szCs w:val="20"/>
                <w:color w:val="auto"/>
              </w:rPr>
            </w:pPr>
            <w:r>
              <w:rPr>
                <w:rFonts w:ascii="Arial" w:cs="Arial" w:eastAsia="Arial" w:hAnsi="Arial"/>
                <w:sz w:val="16"/>
                <w:szCs w:val="16"/>
                <w:color w:val="auto"/>
              </w:rPr>
              <w:t>18,911</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1,099,755</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Senior Vice President, Australia</w:t>
            </w: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860" w:type="dxa"/>
            <w:vAlign w:val="bottom"/>
            <w:vMerge w:val="continue"/>
          </w:tcPr>
          <w:p>
            <w:pPr>
              <w:spacing w:after="0"/>
              <w:rPr>
                <w:sz w:val="13"/>
                <w:szCs w:val="13"/>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2023</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299,070</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178,133</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437,718</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358,060</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18,210</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1,291,191</w:t>
            </w:r>
          </w:p>
        </w:tc>
        <w:tc>
          <w:tcPr>
            <w:tcW w:w="0" w:type="dxa"/>
            <w:vAlign w:val="bottom"/>
          </w:tcPr>
          <w:p>
            <w:pPr>
              <w:spacing w:after="0"/>
              <w:rPr>
                <w:sz w:val="1"/>
                <w:szCs w:val="1"/>
                <w:color w:val="auto"/>
              </w:rPr>
            </w:pPr>
          </w:p>
        </w:tc>
      </w:tr>
      <w:tr>
        <w:trPr>
          <w:trHeight w:val="55"/>
        </w:trPr>
        <w:tc>
          <w:tcPr>
            <w:tcW w:w="28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2022</w:t>
            </w:r>
          </w:p>
        </w:tc>
        <w:tc>
          <w:tcPr>
            <w:tcW w:w="1320" w:type="dxa"/>
            <w:vAlign w:val="bottom"/>
          </w:tcPr>
          <w:p>
            <w:pPr>
              <w:jc w:val="right"/>
              <w:spacing w:after="0"/>
              <w:rPr>
                <w:sz w:val="20"/>
                <w:szCs w:val="20"/>
                <w:color w:val="auto"/>
              </w:rPr>
            </w:pPr>
            <w:r>
              <w:rPr>
                <w:rFonts w:ascii="Arial" w:cs="Arial" w:eastAsia="Arial" w:hAnsi="Arial"/>
                <w:sz w:val="16"/>
                <w:szCs w:val="16"/>
                <w:color w:val="auto"/>
              </w:rPr>
              <w:t>312,615</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501,764</w:t>
            </w:r>
          </w:p>
        </w:tc>
        <w:tc>
          <w:tcPr>
            <w:tcW w:w="1360" w:type="dxa"/>
            <w:vAlign w:val="bottom"/>
          </w:tcPr>
          <w:p>
            <w:pPr>
              <w:jc w:val="right"/>
              <w:spacing w:after="0"/>
              <w:rPr>
                <w:sz w:val="20"/>
                <w:szCs w:val="20"/>
                <w:color w:val="auto"/>
              </w:rPr>
            </w:pPr>
            <w:r>
              <w:rPr>
                <w:rFonts w:ascii="Arial" w:cs="Arial" w:eastAsia="Arial" w:hAnsi="Arial"/>
                <w:sz w:val="16"/>
                <w:szCs w:val="16"/>
                <w:color w:val="auto"/>
              </w:rPr>
              <w:t>294,601</w:t>
            </w:r>
          </w:p>
        </w:tc>
        <w:tc>
          <w:tcPr>
            <w:tcW w:w="1220" w:type="dxa"/>
            <w:vAlign w:val="bottom"/>
          </w:tcPr>
          <w:p>
            <w:pPr>
              <w:jc w:val="right"/>
              <w:spacing w:after="0"/>
              <w:rPr>
                <w:sz w:val="20"/>
                <w:szCs w:val="20"/>
                <w:color w:val="auto"/>
              </w:rPr>
            </w:pPr>
            <w:r>
              <w:rPr>
                <w:rFonts w:ascii="Arial" w:cs="Arial" w:eastAsia="Arial" w:hAnsi="Arial"/>
                <w:sz w:val="16"/>
                <w:szCs w:val="16"/>
                <w:color w:val="auto"/>
              </w:rPr>
              <w:t>16,972</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1,125,952</w:t>
            </w:r>
          </w:p>
        </w:tc>
        <w:tc>
          <w:tcPr>
            <w:tcW w:w="0" w:type="dxa"/>
            <w:vAlign w:val="bottom"/>
          </w:tcPr>
          <w:p>
            <w:pPr>
              <w:spacing w:after="0"/>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6"/>
                <w:szCs w:val="16"/>
                <w:b w:val="1"/>
                <w:bCs w:val="1"/>
                <w:color w:val="006DB6"/>
              </w:rPr>
              <w:t>Barclay H. Brewer</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302,704</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282,887</w:t>
            </w:r>
          </w:p>
        </w:tc>
        <w:tc>
          <w:tcPr>
            <w:tcW w:w="1360" w:type="dxa"/>
            <w:vAlign w:val="bottom"/>
          </w:tcPr>
          <w:p>
            <w:pPr>
              <w:jc w:val="right"/>
              <w:spacing w:after="0"/>
              <w:rPr>
                <w:sz w:val="20"/>
                <w:szCs w:val="20"/>
                <w:color w:val="auto"/>
              </w:rPr>
            </w:pPr>
            <w:r>
              <w:rPr>
                <w:rFonts w:ascii="Arial" w:cs="Arial" w:eastAsia="Arial" w:hAnsi="Arial"/>
                <w:sz w:val="16"/>
                <w:szCs w:val="16"/>
                <w:color w:val="auto"/>
              </w:rPr>
              <w:t>135,127</w:t>
            </w:r>
          </w:p>
        </w:tc>
        <w:tc>
          <w:tcPr>
            <w:tcW w:w="1220" w:type="dxa"/>
            <w:vAlign w:val="bottom"/>
          </w:tcPr>
          <w:p>
            <w:pPr>
              <w:jc w:val="right"/>
              <w:spacing w:after="0"/>
              <w:rPr>
                <w:sz w:val="20"/>
                <w:szCs w:val="20"/>
                <w:color w:val="auto"/>
              </w:rPr>
            </w:pPr>
            <w:r>
              <w:rPr>
                <w:rFonts w:ascii="Arial" w:cs="Arial" w:eastAsia="Arial" w:hAnsi="Arial"/>
                <w:sz w:val="16"/>
                <w:szCs w:val="16"/>
                <w:color w:val="auto"/>
              </w:rPr>
              <w:t>19,010</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739,728</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Vice President, Chief Accounting</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line="202" w:lineRule="exact"/>
              <w:rPr>
                <w:sz w:val="20"/>
                <w:szCs w:val="20"/>
                <w:color w:val="auto"/>
              </w:rPr>
            </w:pPr>
            <w:r>
              <w:rPr>
                <w:rFonts w:ascii="Arial" w:cs="Arial" w:eastAsia="Arial" w:hAnsi="Arial"/>
                <w:sz w:val="16"/>
                <w:szCs w:val="16"/>
                <w:b w:val="1"/>
                <w:bCs w:val="1"/>
                <w:color w:val="006DB6"/>
              </w:rPr>
              <w:t xml:space="preserve">Allan D. Schoening </w:t>
            </w:r>
            <w:r>
              <w:rPr>
                <w:rFonts w:ascii="Arial" w:cs="Arial" w:eastAsia="Arial" w:hAnsi="Arial"/>
                <w:sz w:val="21"/>
                <w:szCs w:val="21"/>
                <w:b w:val="1"/>
                <w:bCs w:val="1"/>
                <w:color w:val="006DB6"/>
                <w:vertAlign w:val="superscript"/>
              </w:rPr>
              <w:t>(2)</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372,351</w:t>
            </w:r>
          </w:p>
        </w:tc>
        <w:tc>
          <w:tcPr>
            <w:tcW w:w="1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568,326</w:t>
            </w:r>
          </w:p>
        </w:tc>
        <w:tc>
          <w:tcPr>
            <w:tcW w:w="1360" w:type="dxa"/>
            <w:vAlign w:val="bottom"/>
          </w:tcPr>
          <w:p>
            <w:pPr>
              <w:jc w:val="right"/>
              <w:spacing w:after="0"/>
              <w:rPr>
                <w:sz w:val="20"/>
                <w:szCs w:val="20"/>
                <w:color w:val="auto"/>
              </w:rPr>
            </w:pPr>
            <w:r>
              <w:rPr>
                <w:rFonts w:ascii="Arial" w:cs="Arial" w:eastAsia="Arial" w:hAnsi="Arial"/>
                <w:sz w:val="16"/>
                <w:szCs w:val="16"/>
                <w:color w:val="auto"/>
              </w:rPr>
              <w:t>187,123</w:t>
            </w:r>
          </w:p>
        </w:tc>
        <w:tc>
          <w:tcPr>
            <w:tcW w:w="1220" w:type="dxa"/>
            <w:vAlign w:val="bottom"/>
          </w:tcPr>
          <w:p>
            <w:pPr>
              <w:jc w:val="right"/>
              <w:spacing w:after="0"/>
              <w:rPr>
                <w:sz w:val="20"/>
                <w:szCs w:val="20"/>
                <w:color w:val="auto"/>
              </w:rPr>
            </w:pPr>
            <w:r>
              <w:rPr>
                <w:rFonts w:ascii="Arial" w:cs="Arial" w:eastAsia="Arial" w:hAnsi="Arial"/>
                <w:sz w:val="16"/>
                <w:szCs w:val="16"/>
                <w:color w:val="auto"/>
              </w:rPr>
              <w:t>167,473</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1,295,273</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Former Senior Vice President, Canada</w:t>
            </w: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2023</w:t>
            </w:r>
          </w:p>
        </w:tc>
        <w:tc>
          <w:tcPr>
            <w:tcW w:w="1320" w:type="dxa"/>
            <w:vAlign w:val="bottom"/>
          </w:tcPr>
          <w:p>
            <w:pPr>
              <w:jc w:val="right"/>
              <w:spacing w:after="0"/>
              <w:rPr>
                <w:sz w:val="20"/>
                <w:szCs w:val="20"/>
                <w:color w:val="auto"/>
              </w:rPr>
            </w:pPr>
            <w:r>
              <w:rPr>
                <w:rFonts w:ascii="Arial" w:cs="Arial" w:eastAsia="Arial" w:hAnsi="Arial"/>
                <w:sz w:val="16"/>
                <w:szCs w:val="16"/>
                <w:color w:val="auto"/>
              </w:rPr>
              <w:t>377,961</w:t>
            </w:r>
          </w:p>
        </w:tc>
        <w:tc>
          <w:tcPr>
            <w:tcW w:w="1260" w:type="dxa"/>
            <w:vAlign w:val="bottom"/>
          </w:tcPr>
          <w:p>
            <w:pPr>
              <w:jc w:val="right"/>
              <w:spacing w:after="0"/>
              <w:rPr>
                <w:sz w:val="20"/>
                <w:szCs w:val="20"/>
                <w:color w:val="auto"/>
              </w:rPr>
            </w:pPr>
            <w:r>
              <w:rPr>
                <w:rFonts w:ascii="Arial" w:cs="Arial" w:eastAsia="Arial" w:hAnsi="Arial"/>
                <w:sz w:val="16"/>
                <w:szCs w:val="16"/>
                <w:color w:val="auto"/>
              </w:rPr>
              <w:t>268,079</w:t>
            </w:r>
          </w:p>
        </w:tc>
        <w:tc>
          <w:tcPr>
            <w:tcW w:w="1320" w:type="dxa"/>
            <w:vAlign w:val="bottom"/>
          </w:tcPr>
          <w:p>
            <w:pPr>
              <w:jc w:val="right"/>
              <w:spacing w:after="0"/>
              <w:rPr>
                <w:sz w:val="20"/>
                <w:szCs w:val="20"/>
                <w:color w:val="auto"/>
              </w:rPr>
            </w:pPr>
            <w:r>
              <w:rPr>
                <w:rFonts w:ascii="Arial" w:cs="Arial" w:eastAsia="Arial" w:hAnsi="Arial"/>
                <w:sz w:val="16"/>
                <w:szCs w:val="16"/>
                <w:color w:val="auto"/>
              </w:rPr>
              <w:t>637,030</w:t>
            </w:r>
          </w:p>
        </w:tc>
        <w:tc>
          <w:tcPr>
            <w:tcW w:w="1360" w:type="dxa"/>
            <w:vAlign w:val="bottom"/>
          </w:tcPr>
          <w:p>
            <w:pPr>
              <w:jc w:val="right"/>
              <w:spacing w:after="0"/>
              <w:rPr>
                <w:sz w:val="20"/>
                <w:szCs w:val="20"/>
                <w:color w:val="auto"/>
              </w:rPr>
            </w:pPr>
            <w:r>
              <w:rPr>
                <w:rFonts w:ascii="Arial" w:cs="Arial" w:eastAsia="Arial" w:hAnsi="Arial"/>
                <w:sz w:val="16"/>
                <w:szCs w:val="16"/>
                <w:color w:val="auto"/>
              </w:rPr>
              <w:t>522,795</w:t>
            </w:r>
          </w:p>
        </w:tc>
        <w:tc>
          <w:tcPr>
            <w:tcW w:w="1220" w:type="dxa"/>
            <w:vAlign w:val="bottom"/>
          </w:tcPr>
          <w:p>
            <w:pPr>
              <w:jc w:val="right"/>
              <w:spacing w:after="0"/>
              <w:rPr>
                <w:sz w:val="20"/>
                <w:szCs w:val="20"/>
                <w:color w:val="auto"/>
              </w:rPr>
            </w:pPr>
            <w:r>
              <w:rPr>
                <w:rFonts w:ascii="Arial" w:cs="Arial" w:eastAsia="Arial" w:hAnsi="Arial"/>
                <w:sz w:val="16"/>
                <w:szCs w:val="16"/>
                <w:color w:val="auto"/>
              </w:rPr>
              <w:t>42,054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1,847,919</w:t>
            </w:r>
          </w:p>
        </w:tc>
        <w:tc>
          <w:tcPr>
            <w:tcW w:w="0" w:type="dxa"/>
            <w:vAlign w:val="bottom"/>
          </w:tcPr>
          <w:p>
            <w:pPr>
              <w:spacing w:after="0"/>
              <w:rPr>
                <w:sz w:val="1"/>
                <w:szCs w:val="1"/>
                <w:color w:val="auto"/>
              </w:rPr>
            </w:pPr>
          </w:p>
        </w:tc>
      </w:tr>
      <w:tr>
        <w:trPr>
          <w:trHeight w:val="28"/>
        </w:trPr>
        <w:tc>
          <w:tcPr>
            <w:tcW w:w="2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2022</w:t>
            </w:r>
          </w:p>
        </w:tc>
        <w:tc>
          <w:tcPr>
            <w:tcW w:w="1320" w:type="dxa"/>
            <w:vAlign w:val="bottom"/>
          </w:tcPr>
          <w:p>
            <w:pPr>
              <w:jc w:val="right"/>
              <w:spacing w:after="0"/>
              <w:rPr>
                <w:sz w:val="20"/>
                <w:szCs w:val="20"/>
                <w:color w:val="auto"/>
              </w:rPr>
            </w:pPr>
            <w:r>
              <w:rPr>
                <w:rFonts w:ascii="Arial" w:cs="Arial" w:eastAsia="Arial" w:hAnsi="Arial"/>
                <w:sz w:val="16"/>
                <w:szCs w:val="16"/>
                <w:color w:val="auto"/>
              </w:rPr>
              <w:t>392,139</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685,239</w:t>
            </w:r>
          </w:p>
        </w:tc>
        <w:tc>
          <w:tcPr>
            <w:tcW w:w="1360" w:type="dxa"/>
            <w:vAlign w:val="bottom"/>
          </w:tcPr>
          <w:p>
            <w:pPr>
              <w:jc w:val="right"/>
              <w:spacing w:after="0"/>
              <w:rPr>
                <w:sz w:val="20"/>
                <w:szCs w:val="20"/>
                <w:color w:val="auto"/>
              </w:rPr>
            </w:pPr>
            <w:r>
              <w:rPr>
                <w:rFonts w:ascii="Arial" w:cs="Arial" w:eastAsia="Arial" w:hAnsi="Arial"/>
                <w:sz w:val="16"/>
                <w:szCs w:val="16"/>
                <w:color w:val="auto"/>
              </w:rPr>
              <w:t>480,480</w:t>
            </w:r>
          </w:p>
        </w:tc>
        <w:tc>
          <w:tcPr>
            <w:tcW w:w="1220" w:type="dxa"/>
            <w:vAlign w:val="bottom"/>
          </w:tcPr>
          <w:p>
            <w:pPr>
              <w:jc w:val="right"/>
              <w:spacing w:after="0"/>
              <w:rPr>
                <w:sz w:val="20"/>
                <w:szCs w:val="20"/>
                <w:color w:val="auto"/>
              </w:rPr>
            </w:pPr>
            <w:r>
              <w:rPr>
                <w:rFonts w:ascii="Arial" w:cs="Arial" w:eastAsia="Arial" w:hAnsi="Arial"/>
                <w:sz w:val="16"/>
                <w:szCs w:val="16"/>
                <w:color w:val="auto"/>
              </w:rPr>
              <w:t>43,508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1,601,366</w:t>
            </w:r>
          </w:p>
        </w:tc>
        <w:tc>
          <w:tcPr>
            <w:tcW w:w="0" w:type="dxa"/>
            <w:vAlign w:val="bottom"/>
          </w:tcPr>
          <w:p>
            <w:pPr>
              <w:spacing w:after="0"/>
              <w:rPr>
                <w:sz w:val="1"/>
                <w:szCs w:val="1"/>
                <w:color w:val="auto"/>
              </w:rPr>
            </w:pPr>
          </w:p>
        </w:tc>
      </w:tr>
      <w:tr>
        <w:trPr>
          <w:trHeight w:val="130"/>
        </w:trPr>
        <w:tc>
          <w:tcPr>
            <w:tcW w:w="2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Carolyn J. Stone </w:t>
            </w:r>
            <w:r>
              <w:rPr>
                <w:rFonts w:ascii="Arial" w:cs="Arial" w:eastAsia="Arial" w:hAnsi="Arial"/>
                <w:sz w:val="21"/>
                <w:szCs w:val="21"/>
                <w:b w:val="1"/>
                <w:bCs w:val="1"/>
                <w:color w:val="006DB6"/>
                <w:vertAlign w:val="superscript"/>
              </w:rPr>
              <w:t>(3)</w:t>
            </w:r>
          </w:p>
        </w:tc>
        <w:tc>
          <w:tcPr>
            <w:tcW w:w="560" w:type="dxa"/>
            <w:vAlign w:val="bottom"/>
          </w:tcPr>
          <w:p>
            <w:pPr>
              <w:ind w:left="20"/>
              <w:spacing w:after="0"/>
              <w:rPr>
                <w:sz w:val="20"/>
                <w:szCs w:val="20"/>
                <w:color w:val="auto"/>
              </w:rPr>
            </w:pPr>
            <w:r>
              <w:rPr>
                <w:rFonts w:ascii="Arial" w:cs="Arial" w:eastAsia="Arial" w:hAnsi="Arial"/>
                <w:sz w:val="16"/>
                <w:szCs w:val="16"/>
                <w:color w:val="auto"/>
              </w:rPr>
              <w:t>2024</w:t>
            </w:r>
          </w:p>
        </w:tc>
        <w:tc>
          <w:tcPr>
            <w:tcW w:w="1320" w:type="dxa"/>
            <w:vAlign w:val="bottom"/>
          </w:tcPr>
          <w:p>
            <w:pPr>
              <w:jc w:val="right"/>
              <w:spacing w:after="0"/>
              <w:rPr>
                <w:sz w:val="20"/>
                <w:szCs w:val="20"/>
                <w:color w:val="auto"/>
              </w:rPr>
            </w:pPr>
            <w:r>
              <w:rPr>
                <w:rFonts w:ascii="Arial" w:cs="Arial" w:eastAsia="Arial" w:hAnsi="Arial"/>
                <w:sz w:val="16"/>
                <w:szCs w:val="16"/>
                <w:color w:val="auto"/>
              </w:rPr>
              <w:t>91,538</w:t>
            </w:r>
          </w:p>
        </w:tc>
        <w:tc>
          <w:tcPr>
            <w:tcW w:w="1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1,204,669</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1,296,207</w:t>
            </w:r>
          </w:p>
        </w:tc>
        <w:tc>
          <w:tcPr>
            <w:tcW w:w="0" w:type="dxa"/>
            <w:vAlign w:val="bottom"/>
          </w:tcPr>
          <w:p>
            <w:pPr>
              <w:spacing w:after="0"/>
              <w:rPr>
                <w:sz w:val="1"/>
                <w:szCs w:val="1"/>
                <w:color w:val="auto"/>
              </w:rPr>
            </w:pPr>
          </w:p>
        </w:tc>
      </w:tr>
      <w:tr>
        <w:trPr>
          <w:trHeight w:val="41"/>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Former Senior Vice President, Chief</w:t>
            </w: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860" w:type="dxa"/>
            <w:vAlign w:val="bottom"/>
            <w:vMerge w:val="continue"/>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2023</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425,000</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255,000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808,543</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585,081</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18,902</w:t>
            </w:r>
          </w:p>
        </w:tc>
        <w:tc>
          <w:tcPr>
            <w:tcW w:w="4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2,092,526</w:t>
            </w:r>
          </w:p>
        </w:tc>
        <w:tc>
          <w:tcPr>
            <w:tcW w:w="0" w:type="dxa"/>
            <w:vAlign w:val="bottom"/>
          </w:tcPr>
          <w:p>
            <w:pPr>
              <w:spacing w:after="0"/>
              <w:rPr>
                <w:sz w:val="1"/>
                <w:szCs w:val="1"/>
                <w:color w:val="auto"/>
              </w:rPr>
            </w:pPr>
          </w:p>
        </w:tc>
      </w:tr>
      <w:tr>
        <w:trPr>
          <w:trHeight w:val="80"/>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Financial Officer and Treasurer</w:t>
            </w:r>
          </w:p>
        </w:tc>
        <w:tc>
          <w:tcPr>
            <w:tcW w:w="5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8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860" w:type="dxa"/>
            <w:vAlign w:val="bottom"/>
            <w:vMerge w:val="continue"/>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2022</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416,173</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816,477</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461,388</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17,521</w:t>
            </w:r>
          </w:p>
        </w:tc>
        <w:tc>
          <w:tcPr>
            <w:tcW w:w="46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1,711,559</w:t>
            </w: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305"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Compensation reported for Mr. McCann, other than share awards, was paid in Australian dollars and is reflected in this table in U.S. dollars using the average exchange rate for each year. The U.S. dollar to Australian dollar average exchange rate for 2024, 2023, and 2022 was $0.6597, $0.6646, and $0.6947 respectively.</w:t>
      </w:r>
    </w:p>
    <w:p>
      <w:pPr>
        <w:spacing w:after="0" w:line="49" w:lineRule="exact"/>
        <w:rPr>
          <w:rFonts w:ascii="Arial" w:cs="Arial" w:eastAsia="Arial" w:hAnsi="Arial"/>
          <w:sz w:val="9"/>
          <w:szCs w:val="9"/>
          <w:color w:val="auto"/>
        </w:rPr>
      </w:pPr>
    </w:p>
    <w:p>
      <w:pPr>
        <w:ind w:left="260" w:right="140" w:hanging="252"/>
        <w:spacing w:after="0" w:line="231"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Compensation reported for Messrs. Fraser and Schoening, other than share awards, was paid in Canadian dollars and is reflected in this table in U.S. dollars using the average exchange rate for each year. The U.S. dollar to Canadian dollar average exchange rate for 2024, 2023 and 2022 was $0.7301, $0.7411 and $0.7689 respectively.</w:t>
      </w:r>
    </w:p>
    <w:p>
      <w:pPr>
        <w:spacing w:after="0" w:line="93" w:lineRule="exact"/>
        <w:rPr>
          <w:rFonts w:ascii="Arial" w:cs="Arial" w:eastAsia="Arial" w:hAnsi="Arial"/>
          <w:sz w:val="19"/>
          <w:szCs w:val="19"/>
          <w:color w:val="auto"/>
          <w:vertAlign w:val="superscript"/>
        </w:rPr>
      </w:pPr>
    </w:p>
    <w:p>
      <w:pPr>
        <w:ind w:left="260" w:right="60" w:hanging="252"/>
        <w:spacing w:after="0" w:line="222"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Ms. Stone’s employment was terminated without cause on March 4, 2024, and she was succeeded by Mr. Brewer who served as Interim Chief Financial Officer until August 1, 2024.</w:t>
      </w:r>
    </w:p>
    <w:p>
      <w:pPr>
        <w:spacing w:after="0" w:line="94" w:lineRule="exact"/>
        <w:rPr>
          <w:rFonts w:ascii="Arial" w:cs="Arial" w:eastAsia="Arial" w:hAnsi="Arial"/>
          <w:sz w:val="19"/>
          <w:szCs w:val="19"/>
          <w:color w:val="auto"/>
          <w:vertAlign w:val="superscript"/>
        </w:rPr>
      </w:pPr>
    </w:p>
    <w:p>
      <w:pPr>
        <w:ind w:left="260" w:hanging="252"/>
        <w:spacing w:after="0" w:line="262"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This column reflects the aggregate grant date fair value of performance shares and phantom share units, as applicable, granted in each year shown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and does not necessarily correspond to the actual value that will be recognized by the NEOs. Pursuant to SEC rules, the amounts shown exclude the impact of estimated forfeitures related to service-based vesting conditions. These amounts reflect Civeo’s future accounting expense for these awards and do not necessarily correspond to the actual value that will be recognized by the NEOs. See Note 18 to Civeo’s consolidated financial statements included in its Annual Report on Form 10-K for the fiscal year ended December 31, 2024 for additional detail regarding assumptions underlying the value of these awards. If the maximum performance level were achieved for the performance shares included in this column, the following amounts, including phantom share units, would have been included for Messrs. Dodson, Gerry, McCann, Brewer respectively in 2024, $4,020,030, $738,353</w:t>
      </w:r>
      <w:r>
        <w:rPr>
          <w:rFonts w:ascii="Arial" w:cs="Arial" w:eastAsia="Arial" w:hAnsi="Arial"/>
          <w:sz w:val="16"/>
          <w:szCs w:val="16"/>
          <w:color w:val="auto"/>
        </w:rPr>
        <w:t>,</w:t>
      </w:r>
      <w:r>
        <w:rPr>
          <w:rFonts w:ascii="Arial" w:cs="Arial" w:eastAsia="Arial" w:hAnsi="Arial"/>
          <w:sz w:val="14"/>
          <w:szCs w:val="14"/>
          <w:color w:val="auto"/>
        </w:rPr>
        <w:t xml:space="preserve"> $782,896, and $350,978. Messrs. Fraser and Schoening were not granted any performance shares in 2024, and Ms. Stone was not granted any stock awards in 2024.</w:t>
      </w:r>
    </w:p>
    <w:p>
      <w:pPr>
        <w:spacing w:after="0" w:line="256" w:lineRule="exact"/>
        <w:rPr>
          <w:rFonts w:ascii="Arial" w:cs="Arial" w:eastAsia="Arial" w:hAnsi="Arial"/>
          <w:sz w:val="9"/>
          <w:szCs w:val="9"/>
          <w:color w:val="auto"/>
        </w:rPr>
      </w:pPr>
    </w:p>
    <w:p>
      <w:pPr>
        <w:ind w:left="260" w:right="140" w:hanging="252"/>
        <w:spacing w:after="0" w:line="234"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Amounts for “Non-Equity Incentive Plan Compensation” were earned for the applicable fiscal year pursuant to Civeo’s AICP and were paid to each of the NEOs, as applicable, in 2025, 2024 and 2023, respectively. For a description of Civeo’s AICP, see “Compensation Discussion and Analysis—Compensation Program Components— Annual Incentive Compensation Plan.”</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“All Other Compensation” column reflect the following for each NEO for 2024:</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706F6F"/>
              </w:rPr>
              <w:t>Retirement</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706F6F"/>
              </w:rPr>
              <w:t>Non-Registered</w:t>
            </w: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706F6F"/>
              </w:rPr>
              <w:t>Life Insurance</w:t>
            </w: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706F6F"/>
              </w:rPr>
              <w:t>Separation</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706F6F"/>
              </w:rPr>
              <w:t>Plan Match</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706F6F"/>
              </w:rPr>
              <w:t>Savings Plan</w:t>
            </w:r>
          </w:p>
        </w:tc>
        <w:tc>
          <w:tcPr>
            <w:tcW w:w="600" w:type="dxa"/>
            <w:vAlign w:val="bottom"/>
          </w:tcPr>
          <w:p>
            <w:pPr>
              <w:ind w:left="40"/>
              <w:spacing w:after="0"/>
              <w:rPr>
                <w:sz w:val="20"/>
                <w:szCs w:val="20"/>
                <w:color w:val="auto"/>
              </w:rPr>
            </w:pPr>
            <w:r>
              <w:rPr>
                <w:rFonts w:ascii="Arial" w:cs="Arial" w:eastAsia="Arial" w:hAnsi="Arial"/>
                <w:sz w:val="13"/>
                <w:szCs w:val="13"/>
                <w:b w:val="1"/>
                <w:bCs w:val="1"/>
                <w:color w:val="706F6F"/>
              </w:rPr>
              <w:t>Benefits</w:t>
            </w:r>
          </w:p>
        </w:tc>
        <w:tc>
          <w:tcPr>
            <w:tcW w:w="460" w:type="dxa"/>
            <w:vAlign w:val="bottom"/>
          </w:tcPr>
          <w:p>
            <w:pPr>
              <w:spacing w:after="0"/>
              <w:rPr>
                <w:sz w:val="12"/>
                <w:szCs w:val="12"/>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706F6F"/>
              </w:rPr>
              <w:t>Payment</w:t>
            </w:r>
          </w:p>
        </w:tc>
        <w:tc>
          <w:tcPr>
            <w:tcW w:w="2120" w:type="dxa"/>
            <w:vAlign w:val="bottom"/>
            <w:gridSpan w:val="4"/>
          </w:tcPr>
          <w:p>
            <w:pPr>
              <w:ind w:left="20"/>
              <w:spacing w:after="0"/>
              <w:rPr>
                <w:sz w:val="20"/>
                <w:szCs w:val="20"/>
                <w:color w:val="auto"/>
              </w:rPr>
            </w:pPr>
            <w:r>
              <w:rPr>
                <w:rFonts w:ascii="Arial" w:cs="Arial" w:eastAsia="Arial" w:hAnsi="Arial"/>
                <w:sz w:val="13"/>
                <w:szCs w:val="13"/>
                <w:b w:val="1"/>
                <w:bCs w:val="1"/>
                <w:color w:val="706F6F"/>
              </w:rPr>
              <w:t>Vacation Payout Taxes Paid</w:t>
            </w:r>
          </w:p>
        </w:tc>
        <w:tc>
          <w:tcPr>
            <w:tcW w:w="400" w:type="dxa"/>
            <w:vAlign w:val="bottom"/>
          </w:tcPr>
          <w:p>
            <w:pPr>
              <w:ind w:left="20"/>
              <w:spacing w:after="0"/>
              <w:rPr>
                <w:sz w:val="20"/>
                <w:szCs w:val="20"/>
                <w:color w:val="auto"/>
              </w:rPr>
            </w:pPr>
            <w:r>
              <w:rPr>
                <w:rFonts w:ascii="Arial" w:cs="Arial" w:eastAsia="Arial" w:hAnsi="Arial"/>
                <w:sz w:val="13"/>
                <w:szCs w:val="13"/>
                <w:b w:val="1"/>
                <w:bCs w:val="1"/>
                <w:color w:val="706F6F"/>
              </w:rPr>
              <w:t>Total</w:t>
            </w:r>
          </w:p>
        </w:tc>
        <w:tc>
          <w:tcPr>
            <w:tcW w:w="800" w:type="dxa"/>
            <w:vAlign w:val="bottom"/>
          </w:tcPr>
          <w:p>
            <w:pPr>
              <w:spacing w:after="0"/>
              <w:rPr>
                <w:sz w:val="12"/>
                <w:szCs w:val="12"/>
                <w:color w:val="auto"/>
              </w:rPr>
            </w:pPr>
          </w:p>
        </w:tc>
      </w:tr>
      <w:tr>
        <w:trPr>
          <w:trHeight w:val="214"/>
        </w:trPr>
        <w:tc>
          <w:tcPr>
            <w:tcW w:w="160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Name</w:t>
            </w:r>
          </w:p>
        </w:tc>
        <w:tc>
          <w:tcPr>
            <w:tcW w:w="800" w:type="dxa"/>
            <w:vAlign w:val="bottom"/>
            <w:tcBorders>
              <w:bottom w:val="single" w:sz="8" w:color="006DB6"/>
            </w:tcBorders>
          </w:tcPr>
          <w:p>
            <w:pPr>
              <w:ind w:left="260"/>
              <w:spacing w:after="0"/>
              <w:rPr>
                <w:sz w:val="20"/>
                <w:szCs w:val="20"/>
                <w:color w:val="auto"/>
              </w:rPr>
            </w:pPr>
            <w:r>
              <w:rPr>
                <w:rFonts w:ascii="Arial" w:cs="Arial" w:eastAsia="Arial" w:hAnsi="Arial"/>
                <w:sz w:val="13"/>
                <w:szCs w:val="13"/>
                <w:b w:val="1"/>
                <w:bCs w:val="1"/>
                <w:color w:val="706F6F"/>
              </w:rPr>
              <w:t>Year</w:t>
            </w:r>
          </w:p>
        </w:tc>
        <w:tc>
          <w:tcPr>
            <w:tcW w:w="660" w:type="dxa"/>
            <w:vAlign w:val="bottom"/>
            <w:tcBorders>
              <w:bottom w:val="single" w:sz="8" w:color="006DB6"/>
            </w:tcBorders>
          </w:tcPr>
          <w:p>
            <w:pPr>
              <w:ind w:left="240"/>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(a)</w:t>
            </w:r>
          </w:p>
        </w:tc>
        <w:tc>
          <w:tcPr>
            <w:tcW w:w="660" w:type="dxa"/>
            <w:vAlign w:val="bottom"/>
            <w:tcBorders>
              <w:bottom w:val="single" w:sz="8" w:color="006DB6"/>
            </w:tcBorders>
          </w:tcPr>
          <w:p>
            <w:pPr>
              <w:spacing w:after="0"/>
              <w:rPr>
                <w:sz w:val="18"/>
                <w:szCs w:val="18"/>
                <w:color w:val="auto"/>
              </w:rPr>
            </w:pPr>
          </w:p>
        </w:tc>
        <w:tc>
          <w:tcPr>
            <w:tcW w:w="720" w:type="dxa"/>
            <w:vAlign w:val="bottom"/>
            <w:tcBorders>
              <w:bottom w:val="single" w:sz="8" w:color="006DB6"/>
            </w:tcBorders>
          </w:tcPr>
          <w:p>
            <w:pPr>
              <w:ind w:left="40"/>
              <w:spacing w:after="0"/>
              <w:rPr>
                <w:sz w:val="20"/>
                <w:szCs w:val="20"/>
                <w:color w:val="auto"/>
              </w:rPr>
            </w:pPr>
            <w:r>
              <w:rPr>
                <w:rFonts w:ascii="Arial" w:cs="Arial" w:eastAsia="Arial" w:hAnsi="Arial"/>
                <w:sz w:val="13"/>
                <w:szCs w:val="13"/>
                <w:b w:val="1"/>
                <w:bCs w:val="1"/>
                <w:color w:val="706F6F"/>
                <w:w w:val="93"/>
              </w:rPr>
              <w:t>Match ($)</w:t>
            </w:r>
            <w:r>
              <w:rPr>
                <w:rFonts w:ascii="Arial" w:cs="Arial" w:eastAsia="Arial" w:hAnsi="Arial"/>
                <w:sz w:val="16"/>
                <w:szCs w:val="16"/>
                <w:b w:val="1"/>
                <w:bCs w:val="1"/>
                <w:color w:val="706F6F"/>
                <w:w w:val="93"/>
                <w:vertAlign w:val="superscript"/>
              </w:rPr>
              <w:t>(b)</w:t>
            </w:r>
          </w:p>
        </w:tc>
        <w:tc>
          <w:tcPr>
            <w:tcW w:w="480" w:type="dxa"/>
            <w:vAlign w:val="bottom"/>
            <w:tcBorders>
              <w:bottom w:val="single" w:sz="8" w:color="006DB6"/>
            </w:tcBorders>
          </w:tcPr>
          <w:p>
            <w:pPr>
              <w:spacing w:after="0"/>
              <w:rPr>
                <w:sz w:val="18"/>
                <w:szCs w:val="18"/>
                <w:color w:val="auto"/>
              </w:rPr>
            </w:pPr>
          </w:p>
        </w:tc>
        <w:tc>
          <w:tcPr>
            <w:tcW w:w="600" w:type="dxa"/>
            <w:vAlign w:val="bottom"/>
            <w:tcBorders>
              <w:bottom w:val="single" w:sz="8" w:color="006DB6"/>
            </w:tcBorders>
          </w:tcPr>
          <w:p>
            <w:pPr>
              <w:ind w:left="40"/>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(c)</w:t>
            </w:r>
          </w:p>
        </w:tc>
        <w:tc>
          <w:tcPr>
            <w:tcW w:w="460" w:type="dxa"/>
            <w:vAlign w:val="bottom"/>
            <w:tcBorders>
              <w:bottom w:val="single" w:sz="8" w:color="006DB6"/>
            </w:tcBorders>
          </w:tcPr>
          <w:p>
            <w:pPr>
              <w:spacing w:after="0"/>
              <w:rPr>
                <w:sz w:val="18"/>
                <w:szCs w:val="18"/>
                <w:color w:val="auto"/>
              </w:rPr>
            </w:pPr>
          </w:p>
        </w:tc>
        <w:tc>
          <w:tcPr>
            <w:tcW w:w="380" w:type="dxa"/>
            <w:vAlign w:val="bottom"/>
            <w:tcBorders>
              <w:bottom w:val="single" w:sz="8" w:color="006DB6"/>
            </w:tcBorders>
          </w:tcPr>
          <w:p>
            <w:pPr>
              <w:ind w:left="40"/>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(d)</w:t>
            </w:r>
          </w:p>
        </w:tc>
        <w:tc>
          <w:tcPr>
            <w:tcW w:w="780" w:type="dxa"/>
            <w:vAlign w:val="bottom"/>
            <w:tcBorders>
              <w:bottom w:val="single" w:sz="8" w:color="006DB6"/>
            </w:tcBorders>
          </w:tcPr>
          <w:p>
            <w:pPr>
              <w:spacing w:after="0"/>
              <w:rPr>
                <w:sz w:val="18"/>
                <w:szCs w:val="18"/>
                <w:color w:val="auto"/>
              </w:rPr>
            </w:pPr>
          </w:p>
        </w:tc>
        <w:tc>
          <w:tcPr>
            <w:tcW w:w="28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w w:val="82"/>
              </w:rPr>
              <w:t>($)</w:t>
            </w:r>
            <w:r>
              <w:rPr>
                <w:rFonts w:ascii="Arial" w:cs="Arial" w:eastAsia="Arial" w:hAnsi="Arial"/>
                <w:sz w:val="16"/>
                <w:szCs w:val="16"/>
                <w:b w:val="1"/>
                <w:bCs w:val="1"/>
                <w:color w:val="706F6F"/>
                <w:w w:val="82"/>
                <w:vertAlign w:val="superscript"/>
              </w:rPr>
              <w:t>(e)</w:t>
            </w:r>
          </w:p>
        </w:tc>
        <w:tc>
          <w:tcPr>
            <w:tcW w:w="740" w:type="dxa"/>
            <w:vAlign w:val="bottom"/>
            <w:tcBorders>
              <w:bottom w:val="single" w:sz="8" w:color="006DB6"/>
            </w:tcBorders>
          </w:tcPr>
          <w:p>
            <w:pPr>
              <w:spacing w:after="0"/>
              <w:rPr>
                <w:sz w:val="18"/>
                <w:szCs w:val="18"/>
                <w:color w:val="auto"/>
              </w:rPr>
            </w:pPr>
          </w:p>
        </w:tc>
        <w:tc>
          <w:tcPr>
            <w:tcW w:w="38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w:t>
            </w:r>
            <w:r>
              <w:rPr>
                <w:rFonts w:ascii="Arial" w:cs="Arial" w:eastAsia="Arial" w:hAnsi="Arial"/>
                <w:sz w:val="16"/>
                <w:szCs w:val="16"/>
                <w:b w:val="1"/>
                <w:bCs w:val="1"/>
                <w:color w:val="706F6F"/>
                <w:vertAlign w:val="superscript"/>
              </w:rPr>
              <w:t>(f)</w:t>
            </w:r>
          </w:p>
        </w:tc>
        <w:tc>
          <w:tcPr>
            <w:tcW w:w="720" w:type="dxa"/>
            <w:vAlign w:val="bottom"/>
            <w:tcBorders>
              <w:bottom w:val="single" w:sz="8" w:color="006DB6"/>
            </w:tcBorders>
          </w:tcPr>
          <w:p>
            <w:pPr>
              <w:spacing w:after="0"/>
              <w:rPr>
                <w:sz w:val="18"/>
                <w:szCs w:val="18"/>
                <w:color w:val="auto"/>
              </w:rPr>
            </w:pPr>
          </w:p>
        </w:tc>
        <w:tc>
          <w:tcPr>
            <w:tcW w:w="40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w:t>
            </w:r>
          </w:p>
        </w:tc>
        <w:tc>
          <w:tcPr>
            <w:tcW w:w="800" w:type="dxa"/>
            <w:vAlign w:val="bottom"/>
            <w:tcBorders>
              <w:bottom w:val="single" w:sz="8" w:color="006DB6"/>
            </w:tcBorders>
          </w:tcPr>
          <w:p>
            <w:pPr>
              <w:spacing w:after="0"/>
              <w:rPr>
                <w:sz w:val="18"/>
                <w:szCs w:val="18"/>
                <w:color w:val="auto"/>
              </w:rPr>
            </w:pP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Bradley J. Dodson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17,250</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19,997</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E. Collin Gerry</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18,324</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337,323</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357,157</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Andrew S. Fraser</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6,108</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6,108</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Peter L. McCann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18,911</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18,911</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Barclay H. Brewer</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17,319</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19,010</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Allan D. Schoening</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11,860</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38,371</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117,242</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167,473</w:t>
            </w:r>
          </w:p>
        </w:tc>
      </w:tr>
      <w:tr>
        <w:trPr>
          <w:trHeight w:val="223"/>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Carolyn J. Stone</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17,250</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1,170,519</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16,346</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1,204,669</w:t>
            </w:r>
          </w:p>
        </w:tc>
      </w:tr>
    </w:tbl>
    <w:p>
      <w:pPr>
        <w:spacing w:after="0" w:line="85" w:lineRule="exact"/>
        <w:rPr>
          <w:sz w:val="20"/>
          <w:szCs w:val="20"/>
          <w:color w:val="auto"/>
        </w:rPr>
      </w:pPr>
    </w:p>
    <w:p>
      <w:pPr>
        <w:ind w:left="520" w:hanging="253"/>
        <w:spacing w:after="0"/>
        <w:tabs>
          <w:tab w:leader="none" w:pos="537"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Represents the matching contributions allocated by Civeo, as applicable, to Messrs. Dodson, Gerry, Fraser, Brewer and Schoening and Ms. Stone pursuant to the 401(k) Retirement Plan and Canadian Retirement Plan, as more fully described in “Compensation Discussion and Analysis Compensation Program Components— Retirement Plans” and “—Deferred Compensation Plan,” included herein. For Mr. McCann, represents a contribution to his Australian Superannuation fund as required by Australian law.</w:t>
      </w:r>
    </w:p>
    <w:p>
      <w:pPr>
        <w:spacing w:after="0" w:line="95" w:lineRule="exact"/>
        <w:rPr>
          <w:rFonts w:ascii="Arial" w:cs="Arial" w:eastAsia="Arial" w:hAnsi="Arial"/>
          <w:sz w:val="19"/>
          <w:szCs w:val="19"/>
          <w:color w:val="auto"/>
          <w:vertAlign w:val="superscript"/>
        </w:rPr>
      </w:pPr>
    </w:p>
    <w:p>
      <w:pPr>
        <w:ind w:left="520" w:right="200" w:hanging="253"/>
        <w:spacing w:after="0" w:line="231" w:lineRule="auto"/>
        <w:tabs>
          <w:tab w:leader="none" w:pos="52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Represents contributions made to our Canadian Non-Registered Savings Plan in excess of contribution limits applicable to the Canadian Retirement Plan under the Canadian Tax Act.</w:t>
      </w:r>
    </w:p>
    <w:p>
      <w:pPr>
        <w:spacing w:after="0" w:line="80" w:lineRule="exact"/>
        <w:rPr>
          <w:rFonts w:ascii="Arial" w:cs="Arial" w:eastAsia="Arial" w:hAnsi="Arial"/>
          <w:sz w:val="19"/>
          <w:szCs w:val="19"/>
          <w:color w:val="auto"/>
          <w:vertAlign w:val="superscript"/>
        </w:rPr>
      </w:pPr>
    </w:p>
    <w:p>
      <w:pPr>
        <w:ind w:left="540" w:hanging="273"/>
        <w:spacing w:after="0"/>
        <w:tabs>
          <w:tab w:leader="none" w:pos="540"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Company-paid premiums for life insurance benefits.</w:t>
      </w:r>
    </w:p>
    <w:p>
      <w:pPr>
        <w:spacing w:after="0" w:line="122" w:lineRule="exact"/>
        <w:rPr>
          <w:rFonts w:ascii="Arial" w:cs="Arial" w:eastAsia="Arial" w:hAnsi="Arial"/>
          <w:sz w:val="9"/>
          <w:szCs w:val="9"/>
          <w:color w:val="auto"/>
        </w:rPr>
      </w:pPr>
    </w:p>
    <w:p>
      <w:pPr>
        <w:ind w:left="520" w:right="620" w:hanging="253"/>
        <w:spacing w:after="0" w:line="305" w:lineRule="auto"/>
        <w:tabs>
          <w:tab w:leader="none" w:pos="524"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payments and benefits in connection with Ms. Stone's termination of employment. For more information on Ms. Stone’s payments and benefits in connection with her departure, see “Agreements with Former Executives.”</w:t>
      </w:r>
    </w:p>
    <w:p>
      <w:pPr>
        <w:spacing w:after="0" w:line="49" w:lineRule="exact"/>
        <w:rPr>
          <w:rFonts w:ascii="Arial" w:cs="Arial" w:eastAsia="Arial" w:hAnsi="Arial"/>
          <w:sz w:val="9"/>
          <w:szCs w:val="9"/>
          <w:color w:val="auto"/>
        </w:rPr>
      </w:pPr>
    </w:p>
    <w:p>
      <w:pPr>
        <w:ind w:left="520" w:right="300" w:hanging="253"/>
        <w:spacing w:after="0" w:line="231" w:lineRule="auto"/>
        <w:tabs>
          <w:tab w:leader="none" w:pos="52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Represents a payout for accrued and unused vacation to Mr. Schoening and Ms. Stone in connection with his retirement from the Company and her termination of employment.</w:t>
      </w:r>
    </w:p>
    <w:p>
      <w:pPr>
        <w:spacing w:after="0" w:line="80" w:lineRule="exact"/>
        <w:rPr>
          <w:rFonts w:ascii="Arial" w:cs="Arial" w:eastAsia="Arial" w:hAnsi="Arial"/>
          <w:sz w:val="19"/>
          <w:szCs w:val="19"/>
          <w:color w:val="auto"/>
          <w:vertAlign w:val="superscript"/>
        </w:rPr>
      </w:pPr>
    </w:p>
    <w:p>
      <w:pPr>
        <w:ind w:left="540" w:hanging="273"/>
        <w:spacing w:after="0"/>
        <w:tabs>
          <w:tab w:leader="none" w:pos="540" w:val="left"/>
        </w:tabs>
        <w:numPr>
          <w:ilvl w:val="0"/>
          <w:numId w:val="47"/>
        </w:numPr>
        <w:rPr>
          <w:rFonts w:ascii="Arial" w:cs="Arial" w:eastAsia="Arial" w:hAnsi="Arial"/>
          <w:sz w:val="11"/>
          <w:szCs w:val="11"/>
          <w:color w:val="auto"/>
        </w:rPr>
      </w:pPr>
      <w:r>
        <w:rPr>
          <w:rFonts w:ascii="Arial" w:cs="Arial" w:eastAsia="Arial" w:hAnsi="Arial"/>
          <w:sz w:val="14"/>
          <w:szCs w:val="14"/>
          <w:color w:val="auto"/>
        </w:rPr>
        <w:t>Represents Canadian tax equalization payments made in 2024 in respect of the officer’s previous international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4112895</wp:posOffset>
            </wp:positionV>
            <wp:extent cx="394335" cy="1974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2" w:name="page53"/>
    <w:bookmarkEnd w:id="52"/>
    <w:p>
      <w:pPr>
        <w:ind w:left="9320"/>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Grants of Plan Based Awards for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equity and non-equity awards granted to our NEOs in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All Other</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Stock</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Grant</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706F6F"/>
              </w:rPr>
              <w:t>Estimated Future Payouts</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2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706F6F"/>
              </w:rPr>
              <w:t>Estimated Future Payouts Under</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Number of</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Date</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gridSpan w:val="5"/>
            <w:vMerge w:val="restart"/>
          </w:tcPr>
          <w:p>
            <w:pPr>
              <w:jc w:val="right"/>
              <w:ind w:right="160"/>
              <w:spacing w:after="0" w:line="159" w:lineRule="exact"/>
              <w:rPr>
                <w:sz w:val="20"/>
                <w:szCs w:val="20"/>
                <w:color w:val="auto"/>
              </w:rPr>
            </w:pPr>
            <w:r>
              <w:rPr>
                <w:rFonts w:ascii="Arial" w:cs="Arial" w:eastAsia="Arial" w:hAnsi="Arial"/>
                <w:sz w:val="14"/>
                <w:szCs w:val="14"/>
                <w:b w:val="1"/>
                <w:bCs w:val="1"/>
                <w:color w:val="706F6F"/>
              </w:rPr>
              <w:t>Under Non-Equity Incentive</w:t>
            </w:r>
          </w:p>
        </w:tc>
        <w:tc>
          <w:tcPr>
            <w:tcW w:w="26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2620" w:type="dxa"/>
            <w:vAlign w:val="bottom"/>
            <w:gridSpan w:val="3"/>
            <w:vMerge w:val="continue"/>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Shares of</w:t>
            </w:r>
          </w:p>
        </w:tc>
        <w:tc>
          <w:tcPr>
            <w:tcW w:w="3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Fair Value</w:t>
            </w:r>
          </w:p>
        </w:tc>
        <w:tc>
          <w:tcPr>
            <w:tcW w:w="0" w:type="dxa"/>
            <w:vAlign w:val="bottom"/>
          </w:tcPr>
          <w:p>
            <w:pPr>
              <w:spacing w:after="0"/>
              <w:rPr>
                <w:sz w:val="1"/>
                <w:szCs w:val="1"/>
                <w:color w:val="auto"/>
              </w:rPr>
            </w:pPr>
          </w:p>
        </w:tc>
      </w:tr>
      <w:tr>
        <w:trPr>
          <w:trHeight w:val="160"/>
        </w:trPr>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706F6F"/>
              </w:rPr>
              <w:t>Plan Awards</w:t>
            </w:r>
            <w:r>
              <w:rPr>
                <w:rFonts w:ascii="Arial" w:cs="Arial" w:eastAsia="Arial" w:hAnsi="Arial"/>
                <w:sz w:val="18"/>
                <w:szCs w:val="18"/>
                <w:b w:val="1"/>
                <w:bCs w:val="1"/>
                <w:color w:val="706F6F"/>
                <w:vertAlign w:val="superscript"/>
              </w:rPr>
              <w:t>(1)</w:t>
            </w:r>
          </w:p>
        </w:tc>
        <w:tc>
          <w:tcPr>
            <w:tcW w:w="262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706F6F"/>
              </w:rPr>
              <w:t>Equity Incentive Plan Awards</w:t>
            </w:r>
            <w:r>
              <w:rPr>
                <w:rFonts w:ascii="Arial" w:cs="Arial" w:eastAsia="Arial" w:hAnsi="Arial"/>
                <w:sz w:val="18"/>
                <w:szCs w:val="18"/>
                <w:b w:val="1"/>
                <w:bCs w:val="1"/>
                <w:color w:val="706F6F"/>
                <w:vertAlign w:val="superscript"/>
              </w:rPr>
              <w:t>(2)</w:t>
            </w:r>
          </w:p>
        </w:tc>
        <w:tc>
          <w:tcPr>
            <w:tcW w:w="1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Borders>
              <w:bottom w:val="single" w:sz="8" w:color="006DB6"/>
            </w:tcBorders>
          </w:tcPr>
          <w:p>
            <w:pPr>
              <w:spacing w:after="0"/>
              <w:rPr>
                <w:sz w:val="5"/>
                <w:szCs w:val="5"/>
                <w:color w:val="auto"/>
              </w:rPr>
            </w:pPr>
          </w:p>
        </w:tc>
        <w:tc>
          <w:tcPr>
            <w:tcW w:w="500" w:type="dxa"/>
            <w:vAlign w:val="bottom"/>
            <w:tcBorders>
              <w:bottom w:val="single" w:sz="8" w:color="006DB6"/>
            </w:tcBorders>
          </w:tcPr>
          <w:p>
            <w:pPr>
              <w:spacing w:after="0"/>
              <w:rPr>
                <w:sz w:val="5"/>
                <w:szCs w:val="5"/>
                <w:color w:val="auto"/>
              </w:rPr>
            </w:pPr>
          </w:p>
        </w:tc>
        <w:tc>
          <w:tcPr>
            <w:tcW w:w="240" w:type="dxa"/>
            <w:vAlign w:val="bottom"/>
            <w:tcBorders>
              <w:bottom w:val="single" w:sz="8" w:color="006DB6"/>
            </w:tcBorders>
          </w:tcPr>
          <w:p>
            <w:pPr>
              <w:spacing w:after="0"/>
              <w:rPr>
                <w:sz w:val="5"/>
                <w:szCs w:val="5"/>
                <w:color w:val="auto"/>
              </w:rPr>
            </w:pPr>
          </w:p>
        </w:tc>
        <w:tc>
          <w:tcPr>
            <w:tcW w:w="780" w:type="dxa"/>
            <w:vAlign w:val="bottom"/>
            <w:tcBorders>
              <w:bottom w:val="single" w:sz="8" w:color="006DB6"/>
            </w:tcBorders>
          </w:tcPr>
          <w:p>
            <w:pPr>
              <w:spacing w:after="0"/>
              <w:rPr>
                <w:sz w:val="5"/>
                <w:szCs w:val="5"/>
                <w:color w:val="auto"/>
              </w:rPr>
            </w:pPr>
          </w:p>
        </w:tc>
        <w:tc>
          <w:tcPr>
            <w:tcW w:w="260" w:type="dxa"/>
            <w:vAlign w:val="bottom"/>
            <w:tcBorders>
              <w:bottom w:val="single" w:sz="8" w:color="006DB6"/>
            </w:tcBorders>
          </w:tcPr>
          <w:p>
            <w:pPr>
              <w:spacing w:after="0"/>
              <w:rPr>
                <w:sz w:val="5"/>
                <w:szCs w:val="5"/>
                <w:color w:val="auto"/>
              </w:rPr>
            </w:pPr>
          </w:p>
        </w:tc>
        <w:tc>
          <w:tcPr>
            <w:tcW w:w="800" w:type="dxa"/>
            <w:vAlign w:val="bottom"/>
            <w:tcBorders>
              <w:bottom w:val="single" w:sz="8" w:color="006DB6"/>
            </w:tcBorders>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Borders>
              <w:bottom w:val="single" w:sz="8" w:color="006DB6"/>
            </w:tcBorders>
          </w:tcPr>
          <w:p>
            <w:pPr>
              <w:spacing w:after="0"/>
              <w:rPr>
                <w:sz w:val="5"/>
                <w:szCs w:val="5"/>
                <w:color w:val="auto"/>
              </w:rPr>
            </w:pPr>
          </w:p>
        </w:tc>
        <w:tc>
          <w:tcPr>
            <w:tcW w:w="740" w:type="dxa"/>
            <w:vAlign w:val="bottom"/>
            <w:tcBorders>
              <w:bottom w:val="single" w:sz="8" w:color="006DB6"/>
            </w:tcBorders>
          </w:tcPr>
          <w:p>
            <w:pPr>
              <w:spacing w:after="0"/>
              <w:rPr>
                <w:sz w:val="5"/>
                <w:szCs w:val="5"/>
                <w:color w:val="auto"/>
              </w:rPr>
            </w:pPr>
          </w:p>
        </w:tc>
        <w:tc>
          <w:tcPr>
            <w:tcW w:w="820" w:type="dxa"/>
            <w:vAlign w:val="bottom"/>
            <w:tcBorders>
              <w:bottom w:val="single" w:sz="8" w:color="006DB6"/>
            </w:tcBorders>
          </w:tcPr>
          <w:p>
            <w:pPr>
              <w:spacing w:after="0"/>
              <w:rPr>
                <w:sz w:val="5"/>
                <w:szCs w:val="5"/>
                <w:color w:val="auto"/>
              </w:rPr>
            </w:pPr>
          </w:p>
        </w:tc>
        <w:tc>
          <w:tcPr>
            <w:tcW w:w="1000" w:type="dxa"/>
            <w:vAlign w:val="bottom"/>
          </w:tcPr>
          <w:p>
            <w:pPr>
              <w:jc w:val="right"/>
              <w:spacing w:after="0" w:line="61" w:lineRule="exact"/>
              <w:rPr>
                <w:sz w:val="20"/>
                <w:szCs w:val="20"/>
                <w:color w:val="auto"/>
              </w:rPr>
            </w:pPr>
            <w:r>
              <w:rPr>
                <w:rFonts w:ascii="Arial" w:cs="Arial" w:eastAsia="Arial" w:hAnsi="Arial"/>
                <w:sz w:val="7"/>
                <w:szCs w:val="7"/>
                <w:b w:val="1"/>
                <w:bCs w:val="1"/>
                <w:color w:val="706F6F"/>
              </w:rPr>
              <w:t>Stock or</w:t>
            </w:r>
          </w:p>
        </w:tc>
        <w:tc>
          <w:tcPr>
            <w:tcW w:w="300" w:type="dxa"/>
            <w:vAlign w:val="bottom"/>
          </w:tcPr>
          <w:p>
            <w:pPr>
              <w:spacing w:after="0"/>
              <w:rPr>
                <w:sz w:val="5"/>
                <w:szCs w:val="5"/>
                <w:color w:val="auto"/>
              </w:rPr>
            </w:pPr>
          </w:p>
        </w:tc>
        <w:tc>
          <w:tcPr>
            <w:tcW w:w="880" w:type="dxa"/>
            <w:vAlign w:val="bottom"/>
          </w:tcPr>
          <w:p>
            <w:pPr>
              <w:jc w:val="right"/>
              <w:spacing w:after="0" w:line="61" w:lineRule="exact"/>
              <w:rPr>
                <w:sz w:val="20"/>
                <w:szCs w:val="20"/>
                <w:color w:val="auto"/>
              </w:rPr>
            </w:pPr>
            <w:r>
              <w:rPr>
                <w:rFonts w:ascii="Arial" w:cs="Arial" w:eastAsia="Arial" w:hAnsi="Arial"/>
                <w:sz w:val="7"/>
                <w:szCs w:val="7"/>
                <w:b w:val="1"/>
                <w:bCs w:val="1"/>
                <w:color w:val="706F6F"/>
              </w:rPr>
              <w:t>of Stock</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706F6F"/>
              </w:rPr>
              <w:t>Threshold</w:t>
            </w:r>
          </w:p>
        </w:tc>
        <w:tc>
          <w:tcPr>
            <w:tcW w:w="2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706F6F"/>
              </w:rPr>
              <w:t>Target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06F6F"/>
              </w:rPr>
              <w:t>Maximum</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706F6F"/>
              </w:rPr>
              <w:t>Threshold</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706F6F"/>
              </w:rPr>
              <w:t>Target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706F6F"/>
              </w:rPr>
              <w:t>Maximum</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Units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0" w:type="dxa"/>
            <w:vAlign w:val="bottom"/>
          </w:tcPr>
          <w:p>
            <w:pPr>
              <w:spacing w:after="0"/>
              <w:rPr>
                <w:sz w:val="1"/>
                <w:szCs w:val="1"/>
                <w:color w:val="auto"/>
              </w:rPr>
            </w:pPr>
          </w:p>
        </w:tc>
      </w:tr>
      <w:tr>
        <w:trPr>
          <w:trHeight w:val="219"/>
        </w:trPr>
        <w:tc>
          <w:tcPr>
            <w:tcW w:w="10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1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Award Type</w:t>
            </w:r>
          </w:p>
        </w:tc>
        <w:tc>
          <w:tcPr>
            <w:tcW w:w="10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Date</w:t>
            </w:r>
          </w:p>
        </w:tc>
        <w:tc>
          <w:tcPr>
            <w:tcW w:w="560" w:type="dxa"/>
            <w:vAlign w:val="bottom"/>
            <w:tcBorders>
              <w:bottom w:val="single" w:sz="8" w:color="006DB6"/>
            </w:tcBorders>
          </w:tcPr>
          <w:p>
            <w:pPr>
              <w:spacing w:after="0"/>
              <w:rPr>
                <w:sz w:val="19"/>
                <w:szCs w:val="19"/>
                <w:color w:val="auto"/>
              </w:rPr>
            </w:pPr>
          </w:p>
        </w:tc>
        <w:tc>
          <w:tcPr>
            <w:tcW w:w="500" w:type="dxa"/>
            <w:vAlign w:val="bottom"/>
            <w:tcBorders>
              <w:bottom w:val="single" w:sz="8" w:color="006DB6"/>
            </w:tcBorders>
          </w:tcPr>
          <w:p>
            <w:pPr>
              <w:jc w:val="right"/>
              <w:ind w:right="28"/>
              <w:spacing w:after="0"/>
              <w:rPr>
                <w:sz w:val="20"/>
                <w:szCs w:val="20"/>
                <w:color w:val="auto"/>
              </w:rPr>
            </w:pPr>
            <w:r>
              <w:rPr>
                <w:rFonts w:ascii="Arial" w:cs="Arial" w:eastAsia="Arial" w:hAnsi="Arial"/>
                <w:sz w:val="14"/>
                <w:szCs w:val="14"/>
                <w:b w:val="1"/>
                <w:bCs w:val="1"/>
                <w:color w:val="706F6F"/>
              </w:rPr>
              <w:t>($)</w:t>
            </w:r>
          </w:p>
        </w:tc>
        <w:tc>
          <w:tcPr>
            <w:tcW w:w="240" w:type="dxa"/>
            <w:vAlign w:val="bottom"/>
            <w:tcBorders>
              <w:bottom w:val="single" w:sz="8" w:color="006DB6"/>
            </w:tcBorders>
          </w:tcPr>
          <w:p>
            <w:pPr>
              <w:spacing w:after="0"/>
              <w:rPr>
                <w:sz w:val="19"/>
                <w:szCs w:val="19"/>
                <w:color w:val="auto"/>
              </w:rPr>
            </w:pPr>
          </w:p>
        </w:tc>
        <w:tc>
          <w:tcPr>
            <w:tcW w:w="780" w:type="dxa"/>
            <w:vAlign w:val="bottom"/>
            <w:tcBorders>
              <w:bottom w:val="single" w:sz="8" w:color="006DB6"/>
            </w:tcBorders>
          </w:tcPr>
          <w:p>
            <w:pPr>
              <w:jc w:val="right"/>
              <w:ind w:right="8"/>
              <w:spacing w:after="0"/>
              <w:rPr>
                <w:sz w:val="20"/>
                <w:szCs w:val="20"/>
                <w:color w:val="auto"/>
              </w:rPr>
            </w:pPr>
            <w:r>
              <w:rPr>
                <w:rFonts w:ascii="Arial" w:cs="Arial" w:eastAsia="Arial" w:hAnsi="Arial"/>
                <w:sz w:val="14"/>
                <w:szCs w:val="14"/>
                <w:b w:val="1"/>
                <w:bCs w:val="1"/>
                <w:color w:val="706F6F"/>
              </w:rPr>
              <w:t>($)</w:t>
            </w:r>
          </w:p>
        </w:tc>
        <w:tc>
          <w:tcPr>
            <w:tcW w:w="260" w:type="dxa"/>
            <w:vAlign w:val="bottom"/>
            <w:tcBorders>
              <w:bottom w:val="single" w:sz="8" w:color="006DB6"/>
            </w:tcBorders>
          </w:tcPr>
          <w:p>
            <w:pPr>
              <w:spacing w:after="0"/>
              <w:rPr>
                <w:sz w:val="19"/>
                <w:szCs w:val="19"/>
                <w:color w:val="auto"/>
              </w:rPr>
            </w:pPr>
          </w:p>
        </w:tc>
        <w:tc>
          <w:tcPr>
            <w:tcW w:w="8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4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right"/>
              <w:ind w:right="48"/>
              <w:spacing w:after="0"/>
              <w:rPr>
                <w:sz w:val="20"/>
                <w:szCs w:val="20"/>
                <w:color w:val="auto"/>
              </w:rPr>
            </w:pPr>
            <w:r>
              <w:rPr>
                <w:rFonts w:ascii="Arial" w:cs="Arial" w:eastAsia="Arial" w:hAnsi="Arial"/>
                <w:sz w:val="14"/>
                <w:szCs w:val="14"/>
                <w:b w:val="1"/>
                <w:bCs w:val="1"/>
                <w:color w:val="706F6F"/>
              </w:rPr>
              <w:t>(#)</w:t>
            </w:r>
          </w:p>
        </w:tc>
        <w:tc>
          <w:tcPr>
            <w:tcW w:w="740" w:type="dxa"/>
            <w:vAlign w:val="bottom"/>
            <w:tcBorders>
              <w:bottom w:val="single" w:sz="8" w:color="006DB6"/>
            </w:tcBorders>
          </w:tcPr>
          <w:p>
            <w:pPr>
              <w:jc w:val="right"/>
              <w:ind w:right="68"/>
              <w:spacing w:after="0"/>
              <w:rPr>
                <w:sz w:val="20"/>
                <w:szCs w:val="20"/>
                <w:color w:val="auto"/>
              </w:rPr>
            </w:pPr>
            <w:r>
              <w:rPr>
                <w:rFonts w:ascii="Arial" w:cs="Arial" w:eastAsia="Arial" w:hAnsi="Arial"/>
                <w:sz w:val="14"/>
                <w:szCs w:val="14"/>
                <w:b w:val="1"/>
                <w:bCs w:val="1"/>
                <w:color w:val="706F6F"/>
              </w:rPr>
              <w:t>(#)</w:t>
            </w:r>
          </w:p>
        </w:tc>
        <w:tc>
          <w:tcPr>
            <w:tcW w:w="8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000" w:type="dxa"/>
            <w:vAlign w:val="bottom"/>
            <w:tcBorders>
              <w:bottom w:val="single" w:sz="8" w:color="006DB6"/>
            </w:tcBorders>
          </w:tcPr>
          <w:p>
            <w:pPr>
              <w:jc w:val="right"/>
              <w:spacing w:after="0" w:line="212"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w:t>
            </w:r>
            <w:r>
              <w:rPr>
                <w:rFonts w:ascii="Arial" w:cs="Arial" w:eastAsia="Arial" w:hAnsi="Arial"/>
                <w:sz w:val="9"/>
                <w:szCs w:val="9"/>
                <w:color w:val="706F6F"/>
              </w:rPr>
              <w:t>3</w:t>
            </w:r>
            <w:r>
              <w:rPr>
                <w:rFonts w:ascii="Arial" w:cs="Arial" w:eastAsia="Arial" w:hAnsi="Arial"/>
                <w:sz w:val="9"/>
                <w:szCs w:val="9"/>
                <w:b w:val="1"/>
                <w:bCs w:val="1"/>
                <w:color w:val="706F6F"/>
              </w:rPr>
              <w:t>)</w:t>
            </w:r>
          </w:p>
        </w:tc>
        <w:tc>
          <w:tcPr>
            <w:tcW w:w="300" w:type="dxa"/>
            <w:vAlign w:val="bottom"/>
            <w:tcBorders>
              <w:bottom w:val="single" w:sz="8" w:color="006DB6"/>
            </w:tcBorders>
          </w:tcPr>
          <w:p>
            <w:pPr>
              <w:spacing w:after="0"/>
              <w:rPr>
                <w:sz w:val="19"/>
                <w:szCs w:val="19"/>
                <w:color w:val="auto"/>
              </w:rPr>
            </w:pPr>
          </w:p>
        </w:tc>
        <w:tc>
          <w:tcPr>
            <w:tcW w:w="880" w:type="dxa"/>
            <w:vAlign w:val="bottom"/>
            <w:tcBorders>
              <w:bottom w:val="single" w:sz="8" w:color="006DB6"/>
            </w:tcBorders>
          </w:tcPr>
          <w:p>
            <w:pPr>
              <w:jc w:val="right"/>
              <w:spacing w:after="0" w:line="212"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w:t>
            </w:r>
            <w:r>
              <w:rPr>
                <w:rFonts w:ascii="Arial" w:cs="Arial" w:eastAsia="Arial" w:hAnsi="Arial"/>
                <w:sz w:val="9"/>
                <w:szCs w:val="9"/>
                <w:color w:val="706F6F"/>
              </w:rPr>
              <w:t>4</w:t>
            </w:r>
            <w:r>
              <w:rPr>
                <w:rFonts w:ascii="Arial" w:cs="Arial" w:eastAsia="Arial" w:hAnsi="Arial"/>
                <w:sz w:val="9"/>
                <w:szCs w:val="9"/>
                <w:b w:val="1"/>
                <w:bCs w:val="1"/>
                <w:color w:val="706F6F"/>
              </w:rPr>
              <w:t>)</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Bradley J.</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750,000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Dodson</w:t>
            </w:r>
          </w:p>
        </w:tc>
        <w:tc>
          <w:tcPr>
            <w:tcW w:w="11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22,510</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64,314</w:t>
            </w:r>
          </w:p>
        </w:tc>
        <w:tc>
          <w:tcPr>
            <w:tcW w:w="820" w:type="dxa"/>
            <w:vAlign w:val="bottom"/>
          </w:tcPr>
          <w:p>
            <w:pPr>
              <w:jc w:val="right"/>
              <w:spacing w:after="0"/>
              <w:rPr>
                <w:sz w:val="20"/>
                <w:szCs w:val="20"/>
                <w:color w:val="auto"/>
              </w:rPr>
            </w:pPr>
            <w:r>
              <w:rPr>
                <w:rFonts w:ascii="Arial" w:cs="Arial" w:eastAsia="Arial" w:hAnsi="Arial"/>
                <w:sz w:val="14"/>
                <w:szCs w:val="14"/>
                <w:color w:val="auto"/>
              </w:rPr>
              <w:t>128,628</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1,554,341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42,875</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1,004,990</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E. Collin</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228,000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456,000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Gerry</w:t>
            </w:r>
          </w:p>
        </w:tc>
        <w:tc>
          <w:tcPr>
            <w:tcW w:w="11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2,498</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7,138</w:t>
            </w:r>
          </w:p>
        </w:tc>
        <w:tc>
          <w:tcPr>
            <w:tcW w:w="820" w:type="dxa"/>
            <w:vAlign w:val="bottom"/>
          </w:tcPr>
          <w:p>
            <w:pPr>
              <w:jc w:val="right"/>
              <w:spacing w:after="0"/>
              <w:rPr>
                <w:sz w:val="20"/>
                <w:szCs w:val="20"/>
                <w:color w:val="auto"/>
              </w:rPr>
            </w:pPr>
            <w:r>
              <w:rPr>
                <w:rFonts w:ascii="Arial" w:cs="Arial" w:eastAsia="Arial" w:hAnsi="Arial"/>
                <w:sz w:val="14"/>
                <w:szCs w:val="14"/>
                <w:color w:val="auto"/>
              </w:rPr>
              <w:t>14,276</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172,511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13,256</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310,721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6/10/2024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3,821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93,003</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Andrew S.</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255,535</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511,070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Fraser</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8/19/2024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19,971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549,003</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Peter L.</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230,895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461,790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McCann</w:t>
            </w:r>
            <w:r>
              <w:rPr>
                <w:rFonts w:ascii="Arial" w:cs="Arial" w:eastAsia="Arial" w:hAnsi="Arial"/>
                <w:sz w:val="9"/>
                <w:szCs w:val="9"/>
                <w:b w:val="1"/>
                <w:bCs w:val="1"/>
                <w:color w:val="006DB6"/>
              </w:rPr>
              <w:t>(5)</w:t>
            </w:r>
          </w:p>
        </w:tc>
        <w:tc>
          <w:tcPr>
            <w:tcW w:w="11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4,384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12,525</w:t>
            </w:r>
          </w:p>
        </w:tc>
        <w:tc>
          <w:tcPr>
            <w:tcW w:w="820" w:type="dxa"/>
            <w:vAlign w:val="bottom"/>
          </w:tcPr>
          <w:p>
            <w:pPr>
              <w:jc w:val="right"/>
              <w:spacing w:after="0"/>
              <w:rPr>
                <w:sz w:val="20"/>
                <w:szCs w:val="20"/>
                <w:color w:val="auto"/>
              </w:rPr>
            </w:pPr>
            <w:r>
              <w:rPr>
                <w:rFonts w:ascii="Arial" w:cs="Arial" w:eastAsia="Arial" w:hAnsi="Arial"/>
                <w:sz w:val="14"/>
                <w:szCs w:val="14"/>
                <w:color w:val="auto"/>
              </w:rPr>
              <w:t>25,050</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302,704</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8,350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195,724</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Barclay H.</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168,000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336,000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Brewer</w:t>
            </w:r>
          </w:p>
        </w:tc>
        <w:tc>
          <w:tcPr>
            <w:tcW w:w="11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1,049</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2,998</w:t>
            </w:r>
          </w:p>
        </w:tc>
        <w:tc>
          <w:tcPr>
            <w:tcW w:w="820" w:type="dxa"/>
            <w:vAlign w:val="bottom"/>
          </w:tcPr>
          <w:p>
            <w:pPr>
              <w:jc w:val="right"/>
              <w:spacing w:after="0"/>
              <w:rPr>
                <w:sz w:val="20"/>
                <w:szCs w:val="20"/>
                <w:color w:val="auto"/>
              </w:rPr>
            </w:pPr>
            <w:r>
              <w:rPr>
                <w:rFonts w:ascii="Arial" w:cs="Arial" w:eastAsia="Arial" w:hAnsi="Arial"/>
                <w:sz w:val="14"/>
                <w:szCs w:val="14"/>
                <w:color w:val="auto"/>
              </w:rPr>
              <w:t>5,996</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72,455</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5,565</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130,444</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6/11/2024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3,289</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79,988</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Allan D.</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260,646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521,292</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Schoening</w:t>
            </w:r>
            <w:r>
              <w:rPr>
                <w:rFonts w:ascii="Arial" w:cs="Arial" w:eastAsia="Arial" w:hAnsi="Arial"/>
                <w:sz w:val="9"/>
                <w:szCs w:val="9"/>
                <w:b w:val="1"/>
                <w:bCs w:val="1"/>
                <w:color w:val="006DB6"/>
              </w:rPr>
              <w:t>(6)</w:t>
            </w:r>
          </w:p>
        </w:tc>
        <w:tc>
          <w:tcPr>
            <w:tcW w:w="112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rPr>
              <w:t>3/2/2024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24,246</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568,326</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Carolyn J.</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297,500</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595,000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Stone</w:t>
            </w:r>
            <w:r>
              <w:rPr>
                <w:rFonts w:ascii="Arial" w:cs="Arial" w:eastAsia="Arial" w:hAnsi="Arial"/>
                <w:sz w:val="18"/>
                <w:szCs w:val="18"/>
                <w:b w:val="1"/>
                <w:bCs w:val="1"/>
                <w:color w:val="006DB6"/>
                <w:vertAlign w:val="superscript"/>
              </w:rPr>
              <w:t>(7)</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AICP</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40" w:hanging="252"/>
        <w:spacing w:after="0" w:line="245"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columns “Target” and “Maximum” reflect the target and maximum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2024;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51" w:lineRule="exact"/>
        <w:rPr>
          <w:rFonts w:ascii="Arial" w:cs="Arial" w:eastAsia="Arial" w:hAnsi="Arial"/>
          <w:sz w:val="19"/>
          <w:szCs w:val="19"/>
          <w:color w:val="auto"/>
          <w:vertAlign w:val="superscript"/>
        </w:rPr>
      </w:pPr>
    </w:p>
    <w:p>
      <w:pPr>
        <w:jc w:val="both"/>
        <w:ind w:left="260" w:right="360" w:hanging="252"/>
        <w:spacing w:after="0" w:line="276"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amounts shown in the “Threshold”, “Target” and “Maximum” columns reflect the potential number of shares that may be earned pursuant to 2024 grants under our Performance Share Award Program based on achievement of performance goals with respect to our relative TSR and growth in EBITDA over the applicable three-year performance period (see discussion in “Compensation Discussion and Analysis - Compensation Program Components-Performance Share Award Programs”). Earned shares will vest in full on the third anniversary of the grant date.</w:t>
      </w:r>
    </w:p>
    <w:p>
      <w:pPr>
        <w:spacing w:after="0" w:line="28" w:lineRule="exact"/>
        <w:rPr>
          <w:rFonts w:ascii="Arial" w:cs="Arial" w:eastAsia="Arial" w:hAnsi="Arial"/>
          <w:sz w:val="9"/>
          <w:szCs w:val="9"/>
          <w:color w:val="auto"/>
        </w:rPr>
      </w:pPr>
    </w:p>
    <w:p>
      <w:pPr>
        <w:ind w:left="260" w:right="860" w:hanging="252"/>
        <w:spacing w:after="0" w:line="231"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Amounts included in the “All Other Stock Awards” column reflect phantom unit awards that vest annually at a rate of one-third per year on each of the first three anniversaries of the grant date.</w:t>
      </w:r>
    </w:p>
    <w:p>
      <w:pPr>
        <w:spacing w:after="0" w:line="53" w:lineRule="exact"/>
        <w:rPr>
          <w:rFonts w:ascii="Arial" w:cs="Arial" w:eastAsia="Arial" w:hAnsi="Arial"/>
          <w:sz w:val="19"/>
          <w:szCs w:val="19"/>
          <w:color w:val="auto"/>
          <w:vertAlign w:val="superscript"/>
        </w:rPr>
      </w:pPr>
    </w:p>
    <w:p>
      <w:pPr>
        <w:ind w:left="260" w:right="20" w:hanging="252"/>
        <w:spacing w:after="0" w:line="245"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NEOs during 2024. Pursuant to SEC rules, the amounts shown exclude the impact of estimated forfeitures related to service-based vesting conditions. Generally, the full grant date fair value is the amount that Civeo would expense in its financial statements over the vesting schedule of the awards. See Note 18 to Civeo’s consolidated financial statements included in its Annual Report on Form 10-K for the year ended December 31, 2024 for additional detail regarding assumptions underlying the value of these awards.</w:t>
      </w:r>
    </w:p>
    <w:p>
      <w:pPr>
        <w:spacing w:after="0" w:line="51" w:lineRule="exact"/>
        <w:rPr>
          <w:rFonts w:ascii="Arial" w:cs="Arial" w:eastAsia="Arial" w:hAnsi="Arial"/>
          <w:sz w:val="19"/>
          <w:szCs w:val="19"/>
          <w:color w:val="auto"/>
          <w:vertAlign w:val="superscript"/>
        </w:rPr>
      </w:pPr>
    </w:p>
    <w:p>
      <w:pPr>
        <w:ind w:left="260" w:right="200" w:hanging="252"/>
        <w:spacing w:after="0" w:line="231"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Mr. McCann’s AICP award amounts were paid in Australian dollars and are reflected in this table in U.S. dollars using an average exchange rate for 2024 of $0.6597 U.S. dollar per Australian dollar.</w:t>
      </w:r>
    </w:p>
    <w:p>
      <w:pPr>
        <w:spacing w:after="0" w:line="53" w:lineRule="exact"/>
        <w:rPr>
          <w:rFonts w:ascii="Arial" w:cs="Arial" w:eastAsia="Arial" w:hAnsi="Arial"/>
          <w:sz w:val="19"/>
          <w:szCs w:val="19"/>
          <w:color w:val="auto"/>
          <w:vertAlign w:val="superscript"/>
        </w:rPr>
      </w:pPr>
    </w:p>
    <w:p>
      <w:pPr>
        <w:ind w:left="260" w:right="60" w:hanging="252"/>
        <w:spacing w:after="0" w:line="231"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Mr. Schoening’s and Mr. Fraser's AICP award amounts were paid in Canadian dollars and are reflected in this table in U.S. dollars using an average exchange rate for 2024 of $0.7301 U.S. dollar per Canadian dollar.</w:t>
      </w:r>
    </w:p>
    <w:p>
      <w:pPr>
        <w:spacing w:after="0" w:line="4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8"/>
        </w:numPr>
        <w:rPr>
          <w:rFonts w:ascii="Arial" w:cs="Arial" w:eastAsia="Arial" w:hAnsi="Arial"/>
          <w:sz w:val="21"/>
          <w:szCs w:val="21"/>
          <w:color w:val="auto"/>
          <w:vertAlign w:val="superscript"/>
        </w:rPr>
      </w:pPr>
      <w:r>
        <w:rPr>
          <w:rFonts w:ascii="Arial" w:cs="Arial" w:eastAsia="Arial" w:hAnsi="Arial"/>
          <w:sz w:val="14"/>
          <w:szCs w:val="14"/>
          <w:color w:val="auto"/>
        </w:rPr>
        <w:t>Ms. Stone's termination resulted in forfeiture of any AICP payout and no grant of phantom share units and performance share awards were granted to her in 2024.</w:t>
      </w:r>
    </w:p>
    <w:p>
      <w:pPr>
        <w:sectPr>
          <w:pgSz w:w="11900" w:h="16838" w:orient="portrait"/>
          <w:cols w:equalWidth="0" w:num="1">
            <w:col w:w="11240"/>
          </w:cols>
          <w:pgMar w:left="320" w:top="125" w:right="339" w:bottom="1440" w:gutter="0" w:footer="0" w:header="0"/>
        </w:sectPr>
      </w:pPr>
    </w:p>
    <w:p>
      <w:pPr>
        <w:spacing w:after="0" w:line="336"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Outstanding Equity Awards at 2024 Fiscal Year End</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table provides information on the holdings of share awards by our NEOs as of December 31, 2024. Upon her termination, Carolyn Stone forfeited her equity awards and is not included in the table below.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31, 2024, which was $22.72.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20" w:type="dxa"/>
            <w:vAlign w:val="bottom"/>
          </w:tcPr>
          <w:p>
            <w:pPr>
              <w:spacing w:after="0"/>
              <w:rPr>
                <w:sz w:val="19"/>
                <w:szCs w:val="19"/>
                <w:color w:val="auto"/>
              </w:rPr>
            </w:pPr>
          </w:p>
        </w:tc>
        <w:tc>
          <w:tcPr>
            <w:tcW w:w="1660" w:type="dxa"/>
            <w:vAlign w:val="bottom"/>
            <w:tcBorders>
              <w:bottom w:val="single" w:sz="8" w:color="006DB6"/>
            </w:tcBorders>
          </w:tcPr>
          <w:p>
            <w:pPr>
              <w:spacing w:after="0"/>
              <w:rPr>
                <w:sz w:val="19"/>
                <w:szCs w:val="19"/>
                <w:color w:val="auto"/>
              </w:rPr>
            </w:pPr>
          </w:p>
        </w:tc>
        <w:tc>
          <w:tcPr>
            <w:tcW w:w="560" w:type="dxa"/>
            <w:vAlign w:val="bottom"/>
            <w:tcBorders>
              <w:bottom w:val="single" w:sz="8" w:color="006DB6"/>
            </w:tcBorders>
          </w:tcPr>
          <w:p>
            <w:pPr>
              <w:spacing w:after="0"/>
              <w:rPr>
                <w:sz w:val="19"/>
                <w:szCs w:val="19"/>
                <w:color w:val="auto"/>
              </w:rPr>
            </w:pPr>
          </w:p>
        </w:tc>
        <w:tc>
          <w:tcPr>
            <w:tcW w:w="960" w:type="dxa"/>
            <w:vAlign w:val="bottom"/>
            <w:tcBorders>
              <w:bottom w:val="single" w:sz="8" w:color="006DB6"/>
            </w:tcBorders>
          </w:tcPr>
          <w:p>
            <w:pPr>
              <w:spacing w:after="0"/>
              <w:rPr>
                <w:sz w:val="19"/>
                <w:szCs w:val="19"/>
                <w:color w:val="auto"/>
              </w:rPr>
            </w:pPr>
          </w:p>
        </w:tc>
        <w:tc>
          <w:tcPr>
            <w:tcW w:w="1620" w:type="dxa"/>
            <w:vAlign w:val="bottom"/>
            <w:tcBorders>
              <w:bottom w:val="single" w:sz="8" w:color="006DB6"/>
            </w:tcBorders>
          </w:tcPr>
          <w:p>
            <w:pPr>
              <w:jc w:val="right"/>
              <w:ind w:right="68"/>
              <w:spacing w:after="0"/>
              <w:rPr>
                <w:sz w:val="20"/>
                <w:szCs w:val="20"/>
                <w:color w:val="auto"/>
              </w:rPr>
            </w:pPr>
            <w:r>
              <w:rPr>
                <w:rFonts w:ascii="Arial" w:cs="Arial" w:eastAsia="Arial" w:hAnsi="Arial"/>
                <w:sz w:val="14"/>
                <w:szCs w:val="14"/>
                <w:b w:val="1"/>
                <w:bCs w:val="1"/>
                <w:color w:val="706F6F"/>
              </w:rPr>
              <w:t>Stock Awards</w:t>
            </w:r>
          </w:p>
        </w:tc>
        <w:tc>
          <w:tcPr>
            <w:tcW w:w="1220" w:type="dxa"/>
            <w:vAlign w:val="bottom"/>
            <w:tcBorders>
              <w:bottom w:val="single" w:sz="8" w:color="006DB6"/>
            </w:tcBorders>
          </w:tcPr>
          <w:p>
            <w:pPr>
              <w:spacing w:after="0"/>
              <w:rPr>
                <w:sz w:val="19"/>
                <w:szCs w:val="19"/>
                <w:color w:val="auto"/>
              </w:rPr>
            </w:pPr>
          </w:p>
        </w:tc>
        <w:tc>
          <w:tcPr>
            <w:tcW w:w="460" w:type="dxa"/>
            <w:vAlign w:val="bottom"/>
            <w:tcBorders>
              <w:bottom w:val="single" w:sz="8" w:color="006DB6"/>
            </w:tcBorders>
          </w:tcPr>
          <w:p>
            <w:pPr>
              <w:spacing w:after="0"/>
              <w:rPr>
                <w:sz w:val="19"/>
                <w:szCs w:val="19"/>
                <w:color w:val="auto"/>
              </w:rPr>
            </w:pPr>
          </w:p>
        </w:tc>
        <w:tc>
          <w:tcPr>
            <w:tcW w:w="960" w:type="dxa"/>
            <w:vAlign w:val="bottom"/>
            <w:tcBorders>
              <w:bottom w:val="single" w:sz="8" w:color="006DB6"/>
            </w:tcBorders>
          </w:tcPr>
          <w:p>
            <w:pPr>
              <w:spacing w:after="0"/>
              <w:rPr>
                <w:sz w:val="19"/>
                <w:szCs w:val="19"/>
                <w:color w:val="auto"/>
              </w:rPr>
            </w:pPr>
          </w:p>
        </w:tc>
        <w:tc>
          <w:tcPr>
            <w:tcW w:w="940" w:type="dxa"/>
            <w:vAlign w:val="bottom"/>
            <w:tcBorders>
              <w:bottom w:val="single" w:sz="8" w:color="006DB6"/>
            </w:tcBorders>
          </w:tcPr>
          <w:p>
            <w:pPr>
              <w:spacing w:after="0"/>
              <w:rPr>
                <w:sz w:val="19"/>
                <w:szCs w:val="19"/>
                <w:color w:val="auto"/>
              </w:rPr>
            </w:pPr>
          </w:p>
        </w:tc>
      </w:tr>
      <w:tr>
        <w:trPr>
          <w:trHeight w:val="193"/>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Equity Incentive Plan</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Equity Incentive Plan</w:t>
            </w:r>
          </w:p>
        </w:tc>
      </w:tr>
      <w:tr>
        <w:trPr>
          <w:trHeight w:val="175"/>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Awards: Number of</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Awards: Market or Payout</w:t>
            </w:r>
          </w:p>
        </w:tc>
      </w:tr>
      <w:tr>
        <w:trPr>
          <w:trHeight w:val="176"/>
        </w:trPr>
        <w:tc>
          <w:tcPr>
            <w:tcW w:w="2320" w:type="dxa"/>
            <w:vAlign w:val="bottom"/>
          </w:tcPr>
          <w:p>
            <w:pPr>
              <w:spacing w:after="0"/>
              <w:rPr>
                <w:sz w:val="15"/>
                <w:szCs w:val="15"/>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Number of Shares or Units</w:t>
            </w:r>
          </w:p>
        </w:tc>
        <w:tc>
          <w:tcPr>
            <w:tcW w:w="4260" w:type="dxa"/>
            <w:vAlign w:val="bottom"/>
            <w:gridSpan w:val="4"/>
          </w:tcPr>
          <w:p>
            <w:pPr>
              <w:jc w:val="right"/>
              <w:ind w:right="25"/>
              <w:spacing w:after="0"/>
              <w:rPr>
                <w:sz w:val="20"/>
                <w:szCs w:val="20"/>
                <w:color w:val="auto"/>
              </w:rPr>
            </w:pPr>
            <w:r>
              <w:rPr>
                <w:rFonts w:ascii="Arial" w:cs="Arial" w:eastAsia="Arial" w:hAnsi="Arial"/>
                <w:sz w:val="14"/>
                <w:szCs w:val="14"/>
                <w:b w:val="1"/>
                <w:bCs w:val="1"/>
                <w:color w:val="706F6F"/>
              </w:rPr>
              <w:t>Market Value of Shares or Unearned Shares or Units of</w:t>
            </w:r>
          </w:p>
        </w:tc>
        <w:tc>
          <w:tcPr>
            <w:tcW w:w="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706F6F"/>
              </w:rPr>
              <w:t>Value of</w:t>
            </w:r>
          </w:p>
        </w:tc>
      </w:tr>
      <w:tr>
        <w:trPr>
          <w:trHeight w:val="175"/>
        </w:trPr>
        <w:tc>
          <w:tcPr>
            <w:tcW w:w="2320" w:type="dxa"/>
            <w:vAlign w:val="bottom"/>
          </w:tcPr>
          <w:p>
            <w:pPr>
              <w:spacing w:after="0"/>
              <w:rPr>
                <w:sz w:val="15"/>
                <w:szCs w:val="15"/>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of Stock that Have Not</w:t>
            </w:r>
          </w:p>
        </w:tc>
        <w:tc>
          <w:tcPr>
            <w:tcW w:w="25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706F6F"/>
              </w:rPr>
              <w:t>Units of Stock that Have Not</w:t>
            </w:r>
          </w:p>
        </w:tc>
        <w:tc>
          <w:tcPr>
            <w:tcW w:w="16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Stock that</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Unearned Shares, Units or</w:t>
            </w:r>
          </w:p>
        </w:tc>
      </w:tr>
      <w:tr>
        <w:trPr>
          <w:trHeight w:val="162"/>
        </w:trPr>
        <w:tc>
          <w:tcPr>
            <w:tcW w:w="2320" w:type="dxa"/>
            <w:vAlign w:val="bottom"/>
          </w:tcPr>
          <w:p>
            <w:pPr>
              <w:spacing w:after="0"/>
              <w:rPr>
                <w:sz w:val="14"/>
                <w:szCs w:val="14"/>
                <w:color w:val="auto"/>
              </w:rPr>
            </w:pPr>
          </w:p>
        </w:tc>
        <w:tc>
          <w:tcPr>
            <w:tcW w:w="222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706F6F"/>
              </w:rPr>
              <w:t>Vested</w:t>
            </w:r>
          </w:p>
        </w:tc>
        <w:tc>
          <w:tcPr>
            <w:tcW w:w="960" w:type="dxa"/>
            <w:vAlign w:val="bottom"/>
          </w:tcPr>
          <w:p>
            <w:pPr>
              <w:spacing w:after="0"/>
              <w:rPr>
                <w:sz w:val="14"/>
                <w:szCs w:val="14"/>
                <w:color w:val="auto"/>
              </w:rPr>
            </w:pPr>
          </w:p>
        </w:tc>
        <w:tc>
          <w:tcPr>
            <w:tcW w:w="1620" w:type="dxa"/>
            <w:vAlign w:val="bottom"/>
          </w:tcPr>
          <w:p>
            <w:pPr>
              <w:jc w:val="right"/>
              <w:ind w:right="368"/>
              <w:spacing w:after="0"/>
              <w:rPr>
                <w:sz w:val="20"/>
                <w:szCs w:val="20"/>
                <w:color w:val="auto"/>
              </w:rPr>
            </w:pPr>
            <w:r>
              <w:rPr>
                <w:rFonts w:ascii="Arial" w:cs="Arial" w:eastAsia="Arial" w:hAnsi="Arial"/>
                <w:sz w:val="14"/>
                <w:szCs w:val="14"/>
                <w:b w:val="1"/>
                <w:bCs w:val="1"/>
                <w:color w:val="706F6F"/>
              </w:rPr>
              <w:t>Vested</w:t>
            </w:r>
          </w:p>
        </w:tc>
        <w:tc>
          <w:tcPr>
            <w:tcW w:w="16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706F6F"/>
              </w:rPr>
              <w:t>Have Not Vested</w:t>
            </w:r>
          </w:p>
        </w:tc>
        <w:tc>
          <w:tcPr>
            <w:tcW w:w="9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706F6F"/>
              </w:rPr>
              <w:t>Other Rights</w:t>
            </w:r>
          </w:p>
        </w:tc>
      </w:tr>
      <w:tr>
        <w:trPr>
          <w:trHeight w:val="219"/>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60" w:type="dxa"/>
            <w:vAlign w:val="bottom"/>
            <w:tcBorders>
              <w:bottom w:val="single" w:sz="8" w:color="006DB6"/>
            </w:tcBorders>
          </w:tcPr>
          <w:p>
            <w:pPr>
              <w:spacing w:after="0"/>
              <w:rPr>
                <w:sz w:val="19"/>
                <w:szCs w:val="19"/>
                <w:color w:val="auto"/>
              </w:rPr>
            </w:pPr>
          </w:p>
        </w:tc>
        <w:tc>
          <w:tcPr>
            <w:tcW w:w="560" w:type="dxa"/>
            <w:vAlign w:val="bottom"/>
            <w:tcBorders>
              <w:bottom w:val="single" w:sz="8" w:color="006DB6"/>
            </w:tcBorders>
          </w:tcPr>
          <w:p>
            <w:pPr>
              <w:jc w:val="right"/>
              <w:ind w:right="165"/>
              <w:spacing w:after="0"/>
              <w:rPr>
                <w:sz w:val="20"/>
                <w:szCs w:val="20"/>
                <w:color w:val="auto"/>
              </w:rPr>
            </w:pPr>
            <w:r>
              <w:rPr>
                <w:rFonts w:ascii="Arial" w:cs="Arial" w:eastAsia="Arial" w:hAnsi="Arial"/>
                <w:sz w:val="14"/>
                <w:szCs w:val="14"/>
                <w:b w:val="1"/>
                <w:bCs w:val="1"/>
                <w:color w:val="706F6F"/>
              </w:rPr>
              <w:t>(#)</w:t>
            </w:r>
          </w:p>
        </w:tc>
        <w:tc>
          <w:tcPr>
            <w:tcW w:w="960" w:type="dxa"/>
            <w:vAlign w:val="bottom"/>
            <w:tcBorders>
              <w:bottom w:val="single" w:sz="8" w:color="006DB6"/>
            </w:tcBorders>
          </w:tcPr>
          <w:p>
            <w:pPr>
              <w:spacing w:after="0"/>
              <w:rPr>
                <w:sz w:val="19"/>
                <w:szCs w:val="19"/>
                <w:color w:val="auto"/>
              </w:rPr>
            </w:pPr>
          </w:p>
        </w:tc>
        <w:tc>
          <w:tcPr>
            <w:tcW w:w="1620" w:type="dxa"/>
            <w:vAlign w:val="bottom"/>
            <w:tcBorders>
              <w:bottom w:val="single" w:sz="8" w:color="006DB6"/>
            </w:tcBorders>
          </w:tcPr>
          <w:p>
            <w:pPr>
              <w:jc w:val="right"/>
              <w:ind w:right="368"/>
              <w:spacing w:after="0"/>
              <w:rPr>
                <w:sz w:val="20"/>
                <w:szCs w:val="20"/>
                <w:color w:val="auto"/>
              </w:rPr>
            </w:pPr>
            <w:r>
              <w:rPr>
                <w:rFonts w:ascii="Arial" w:cs="Arial" w:eastAsia="Arial" w:hAnsi="Arial"/>
                <w:sz w:val="14"/>
                <w:szCs w:val="14"/>
                <w:b w:val="1"/>
                <w:bCs w:val="1"/>
                <w:color w:val="706F6F"/>
              </w:rPr>
              <w:t>($)</w:t>
            </w:r>
          </w:p>
        </w:tc>
        <w:tc>
          <w:tcPr>
            <w:tcW w:w="1220" w:type="dxa"/>
            <w:vAlign w:val="bottom"/>
            <w:tcBorders>
              <w:bottom w:val="single" w:sz="8" w:color="006DB6"/>
            </w:tcBorders>
          </w:tcPr>
          <w:p>
            <w:pPr>
              <w:spacing w:after="0"/>
              <w:rPr>
                <w:sz w:val="19"/>
                <w:szCs w:val="19"/>
                <w:color w:val="auto"/>
              </w:rPr>
            </w:pPr>
          </w:p>
        </w:tc>
        <w:tc>
          <w:tcPr>
            <w:tcW w:w="460" w:type="dxa"/>
            <w:vAlign w:val="bottom"/>
            <w:tcBorders>
              <w:bottom w:val="single" w:sz="8" w:color="006DB6"/>
            </w:tcBorders>
          </w:tcPr>
          <w:p>
            <w:pPr>
              <w:jc w:val="right"/>
              <w:ind w:right="25"/>
              <w:spacing w:after="0"/>
              <w:rPr>
                <w:sz w:val="20"/>
                <w:szCs w:val="20"/>
                <w:color w:val="auto"/>
              </w:rPr>
            </w:pPr>
            <w:r>
              <w:rPr>
                <w:rFonts w:ascii="Arial" w:cs="Arial" w:eastAsia="Arial" w:hAnsi="Arial"/>
                <w:sz w:val="14"/>
                <w:szCs w:val="14"/>
                <w:b w:val="1"/>
                <w:bCs w:val="1"/>
                <w:color w:val="706F6F"/>
              </w:rPr>
              <w:t>(#)</w:t>
            </w:r>
          </w:p>
        </w:tc>
        <w:tc>
          <w:tcPr>
            <w:tcW w:w="1900" w:type="dxa"/>
            <w:vAlign w:val="bottom"/>
            <w:tcBorders>
              <w:bottom w:val="single" w:sz="8" w:color="006DB6"/>
            </w:tcBorders>
            <w:gridSpan w:val="2"/>
          </w:tcPr>
          <w:p>
            <w:pPr>
              <w:jc w:val="right"/>
              <w:spacing w:after="0"/>
              <w:rPr>
                <w:sz w:val="20"/>
                <w:szCs w:val="20"/>
                <w:color w:val="auto"/>
              </w:rPr>
            </w:pPr>
            <w:r>
              <w:rPr>
                <w:rFonts w:ascii="Arial" w:cs="Arial" w:eastAsia="Arial" w:hAnsi="Arial"/>
                <w:sz w:val="14"/>
                <w:szCs w:val="14"/>
                <w:b w:val="1"/>
                <w:bCs w:val="1"/>
                <w:color w:val="706F6F"/>
              </w:rPr>
              <w:t>that Have Not Vested ($)</w:t>
            </w:r>
          </w:p>
        </w:tc>
      </w:tr>
      <w:tr>
        <w:trPr>
          <w:trHeight w:val="239"/>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19,060</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433,043</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26,973</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612,827</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42,875</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974,120</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57,181</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1,299,152</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40,459</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919,228</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64,314</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(6)</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1,461,214</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E. Collin Gerry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4,981</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113,168</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7,402</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168,173</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13,256</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301,176</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3,821</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(7)</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86,813</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4,982</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113,191</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3,701</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84,087</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7,138</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(6)</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162,175</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Andrew S. Fraser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19,971</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(8)</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453,741</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0"/>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3,369</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76,544</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4,199</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95,401</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8,350</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189,712</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10,105</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229,586</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6,299</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143,113</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12,525</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(6)</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284,568</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2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4,600</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104,512</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6,111</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138,842</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24,246</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550,869</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13,800</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313,536</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9,167</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208,274</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Barclay H. Brewer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47,939</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3,116</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70,796</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5,565</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126,437</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3,289</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(7)</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74,726</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2,110</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47,939</w:t>
            </w:r>
          </w:p>
        </w:tc>
      </w:tr>
      <w:tr>
        <w:trPr>
          <w:trHeight w:val="21"/>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1,558</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35,398</w:t>
            </w:r>
          </w:p>
        </w:tc>
      </w:tr>
      <w:tr>
        <w:trPr>
          <w:trHeight w:val="21"/>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2,998</w:t>
            </w:r>
          </w:p>
        </w:tc>
        <w:tc>
          <w:tcPr>
            <w:tcW w:w="460" w:type="dxa"/>
            <w:vAlign w:val="bottom"/>
          </w:tcPr>
          <w:p>
            <w:pPr>
              <w:jc w:val="right"/>
              <w:ind w:right="225"/>
              <w:spacing w:after="0"/>
              <w:rPr>
                <w:sz w:val="20"/>
                <w:szCs w:val="20"/>
                <w:color w:val="auto"/>
              </w:rPr>
            </w:pPr>
            <w:r>
              <w:rPr>
                <w:rFonts w:ascii="Arial" w:cs="Arial" w:eastAsia="Arial" w:hAnsi="Arial"/>
                <w:sz w:val="11"/>
                <w:szCs w:val="11"/>
                <w:color w:val="auto"/>
              </w:rPr>
              <w:t>(6)</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68,115</w:t>
            </w: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right="260" w:hanging="252"/>
        <w:spacing w:after="0" w:line="231"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February 25, 2022 that vests at the rate of 33.33% per year, with vesting dates of February 25, 2023, February 25, 2024 and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159385</wp:posOffset>
            </wp:positionV>
            <wp:extent cx="394335" cy="1968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7" w:lineRule="exact"/>
        <w:rPr>
          <w:sz w:val="20"/>
          <w:szCs w:val="20"/>
          <w:color w:val="auto"/>
        </w:rPr>
      </w:pPr>
    </w:p>
    <w:p>
      <w:pPr>
        <w:ind w:left="260" w:right="28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February 25, 2022 that vested on February 25, 2025, which is reported assuming target level achievement of the relative TSR performance metric and the cumulative cash flows provided by operating activities performance hurdle</w:t>
      </w:r>
    </w:p>
    <w:p>
      <w:pPr>
        <w:spacing w:after="0" w:line="93" w:lineRule="exact"/>
        <w:rPr>
          <w:rFonts w:ascii="Arial" w:cs="Arial" w:eastAsia="Arial" w:hAnsi="Arial"/>
          <w:sz w:val="19"/>
          <w:szCs w:val="19"/>
          <w:color w:val="auto"/>
          <w:vertAlign w:val="superscript"/>
        </w:rPr>
      </w:pPr>
    </w:p>
    <w:p>
      <w:pPr>
        <w:ind w:left="260" w:right="26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February 23, 2023 that vests at the rate of 33.33% per year, with vesting dates of February 23, 2024, February 23, 2025 and February 23, 2026.</w:t>
      </w:r>
    </w:p>
    <w:p>
      <w:pPr>
        <w:spacing w:after="0" w:line="94"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February 23, 2023 that vests on February 23, 2026, which is reported assuming target level achievement of the relative TSR performance metric and the cumulative cash flows provided by operating activities performance hurdle.</w:t>
      </w:r>
    </w:p>
    <w:p>
      <w:pPr>
        <w:spacing w:after="0" w:line="6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March 2, 2024 that vests at the rate of 33.33% per year, with vesting dates of March 2, 2025, March 2, 2026 and March 2, 2027.</w:t>
      </w:r>
    </w:p>
    <w:p>
      <w:pPr>
        <w:spacing w:after="0" w:line="93" w:lineRule="exact"/>
        <w:rPr>
          <w:rFonts w:ascii="Arial" w:cs="Arial" w:eastAsia="Arial" w:hAnsi="Arial"/>
          <w:sz w:val="19"/>
          <w:szCs w:val="19"/>
          <w:color w:val="auto"/>
          <w:vertAlign w:val="superscript"/>
        </w:rPr>
      </w:pPr>
    </w:p>
    <w:p>
      <w:pPr>
        <w:ind w:left="260" w:right="16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March 2, 2024 that vests on March 2, 2027, which is reported assuming target level achievement of the relative TSR performance metric and the three-year growth in EBITDA performance hurdle.</w:t>
      </w:r>
    </w:p>
    <w:p>
      <w:pPr>
        <w:spacing w:after="0" w:line="94" w:lineRule="exact"/>
        <w:rPr>
          <w:rFonts w:ascii="Arial" w:cs="Arial" w:eastAsia="Arial" w:hAnsi="Arial"/>
          <w:sz w:val="19"/>
          <w:szCs w:val="19"/>
          <w:color w:val="auto"/>
          <w:vertAlign w:val="superscript"/>
        </w:rPr>
      </w:pPr>
    </w:p>
    <w:p>
      <w:pPr>
        <w:ind w:left="260" w:right="32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June 10, 2024 grant to Mr. Gerry and June 11, 2024 granted to Mr. Brewer, in each case that vests on March 2, 2025, March 2, 2026 and March 2, 2027.</w:t>
      </w:r>
    </w:p>
    <w:p>
      <w:pPr>
        <w:spacing w:after="0" w:line="6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August 19, 2024 that vests at the rate of 33.33% per year, with vesting dates of August 19, 2025, August 19, 2026 and August 19, 2027.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Stock Vested</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table provides information for our NEOs for the period from January 1, 2024 to December 31, 2024 regarding the number of our common shares acquired upon the vesting of stock awards and the value realized, each before payment of any applicable withholding tax. No NEOs have any options outstanding or have exercised any options in the fiscal year. Reported values for the stock awards were calculated based on the number of stock awards vesting multiplied by the closing share price on the date of vesting.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3960" w:type="dxa"/>
            <w:vAlign w:val="bottom"/>
            <w:tcBorders>
              <w:bottom w:val="single" w:sz="8" w:color="006DB6"/>
            </w:tcBorders>
          </w:tcPr>
          <w:p>
            <w:pPr>
              <w:jc w:val="right"/>
              <w:ind w:right="368"/>
              <w:spacing w:after="0"/>
              <w:rPr>
                <w:sz w:val="20"/>
                <w:szCs w:val="20"/>
                <w:color w:val="auto"/>
              </w:rPr>
            </w:pPr>
            <w:r>
              <w:rPr>
                <w:rFonts w:ascii="Arial" w:cs="Arial" w:eastAsia="Arial" w:hAnsi="Arial"/>
                <w:sz w:val="14"/>
                <w:szCs w:val="14"/>
                <w:b w:val="1"/>
                <w:bCs w:val="1"/>
                <w:color w:val="706F6F"/>
              </w:rPr>
              <w:t>Stock Awards</w:t>
            </w:r>
          </w:p>
        </w:tc>
        <w:tc>
          <w:tcPr>
            <w:tcW w:w="640" w:type="dxa"/>
            <w:vAlign w:val="bottom"/>
            <w:tcBorders>
              <w:bottom w:val="single" w:sz="8" w:color="006DB6"/>
            </w:tcBorders>
          </w:tcPr>
          <w:p>
            <w:pPr>
              <w:spacing w:after="0"/>
              <w:rPr>
                <w:sz w:val="19"/>
                <w:szCs w:val="19"/>
                <w:color w:val="auto"/>
              </w:rPr>
            </w:pPr>
          </w:p>
        </w:tc>
        <w:tc>
          <w:tcPr>
            <w:tcW w:w="150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Number of Shares</w:t>
            </w:r>
          </w:p>
        </w:tc>
        <w:tc>
          <w:tcPr>
            <w:tcW w:w="6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Value</w:t>
            </w:r>
          </w:p>
        </w:tc>
        <w:tc>
          <w:tcPr>
            <w:tcW w:w="0" w:type="dxa"/>
            <w:vAlign w:val="bottom"/>
          </w:tcPr>
          <w:p>
            <w:pPr>
              <w:spacing w:after="0"/>
              <w:rPr>
                <w:sz w:val="1"/>
                <w:szCs w:val="1"/>
                <w:color w:val="auto"/>
              </w:rPr>
            </w:pPr>
          </w:p>
        </w:tc>
      </w:tr>
      <w:tr>
        <w:trPr>
          <w:trHeight w:val="17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Acquired on Vesting</w:t>
            </w: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Realized on Vesting</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006DB6"/>
            </w:tcBorders>
            <w:vMerge w:val="continue"/>
          </w:tcPr>
          <w:p>
            <w:pPr>
              <w:spacing w:after="0"/>
              <w:rPr>
                <w:sz w:val="17"/>
                <w:szCs w:val="17"/>
                <w:color w:val="auto"/>
              </w:rPr>
            </w:pPr>
          </w:p>
        </w:tc>
        <w:tc>
          <w:tcPr>
            <w:tcW w:w="3960" w:type="dxa"/>
            <w:vAlign w:val="bottom"/>
            <w:tcBorders>
              <w:bottom w:val="single" w:sz="8" w:color="006DB6"/>
            </w:tcBorders>
          </w:tcPr>
          <w:p>
            <w:pPr>
              <w:jc w:val="right"/>
              <w:ind w:right="1068"/>
              <w:spacing w:after="0"/>
              <w:rPr>
                <w:sz w:val="20"/>
                <w:szCs w:val="20"/>
                <w:color w:val="auto"/>
              </w:rPr>
            </w:pPr>
            <w:r>
              <w:rPr>
                <w:rFonts w:ascii="Arial" w:cs="Arial" w:eastAsia="Arial" w:hAnsi="Arial"/>
                <w:sz w:val="14"/>
                <w:szCs w:val="14"/>
                <w:b w:val="1"/>
                <w:bCs w:val="1"/>
                <w:color w:val="706F6F"/>
              </w:rPr>
              <w:t>(#)</w:t>
            </w:r>
          </w:p>
        </w:tc>
        <w:tc>
          <w:tcPr>
            <w:tcW w:w="640" w:type="dxa"/>
            <w:vAlign w:val="bottom"/>
            <w:tcBorders>
              <w:bottom w:val="single" w:sz="8" w:color="006DB6"/>
            </w:tcBorders>
          </w:tcPr>
          <w:p>
            <w:pPr>
              <w:spacing w:after="0"/>
              <w:rPr>
                <w:sz w:val="17"/>
                <w:szCs w:val="17"/>
                <w:color w:val="auto"/>
              </w:rPr>
            </w:pPr>
          </w:p>
        </w:tc>
        <w:tc>
          <w:tcPr>
            <w:tcW w:w="15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115,239</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2,590,450</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E. Collin Gerry</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19,253</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432,430</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S. Fraser</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20,082</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451,444</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8,146</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182,963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27,613</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620,727</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28,120</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631,952</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Non-Qualified Deferred Compensation</w:t>
      </w:r>
    </w:p>
    <w:p>
      <w:pPr>
        <w:spacing w:after="0" w:line="14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Civeo maintains a non-qualified defined contribution style of plan in Canada in which Mr. Schoening is a participant. The investment alternatives available under such Canadian non-qualified deferred compensation plan during 2024 were the same mutual funds available to all employees under the Canadian non-qualified deferred compensation plan. Selection of these funds are at the discretion of the executive. Payout terms, withdrawals and other distributions are made at the discretion of the executive subject to corresponding plan terms and conditions.</w:t>
      </w:r>
    </w:p>
    <w:p>
      <w:pPr>
        <w:spacing w:after="0" w:line="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Detailed below is 2024 activity with respect to the Canadian non-qualified Deferred Compensation Plan for Mr. Schoening. All amounts listed below for Mr. Schoening have been converted to U.S. dollars using an exchange rate of $0.7301. Messrs. Dodson, Gerry, Fraser, McCann and Brewer and Ms. Stone did not participate in this plan or any other non-qualified deferred compensation plan during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Executive</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Registrant</w:t>
            </w:r>
          </w:p>
        </w:tc>
        <w:tc>
          <w:tcPr>
            <w:tcW w:w="186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706F6F"/>
              </w:rPr>
              <w:t>Aggregate Earnings</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Aggregate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Aggregate Balance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Contributions in</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Contribution in</w:t>
            </w:r>
          </w:p>
        </w:tc>
        <w:tc>
          <w:tcPr>
            <w:tcW w:w="620" w:type="dxa"/>
            <w:vAlign w:val="bottom"/>
          </w:tcPr>
          <w:p>
            <w:pPr>
              <w:spacing w:after="0"/>
              <w:rPr>
                <w:sz w:val="15"/>
                <w:szCs w:val="15"/>
                <w:color w:val="auto"/>
              </w:rPr>
            </w:pPr>
          </w:p>
        </w:tc>
        <w:tc>
          <w:tcPr>
            <w:tcW w:w="1240" w:type="dxa"/>
            <w:vAlign w:val="bottom"/>
          </w:tcPr>
          <w:p>
            <w:pPr>
              <w:jc w:val="right"/>
              <w:ind w:right="206"/>
              <w:spacing w:after="0"/>
              <w:rPr>
                <w:sz w:val="20"/>
                <w:szCs w:val="20"/>
                <w:color w:val="auto"/>
              </w:rPr>
            </w:pPr>
            <w:r>
              <w:rPr>
                <w:rFonts w:ascii="Arial" w:cs="Arial" w:eastAsia="Arial" w:hAnsi="Arial"/>
                <w:sz w:val="14"/>
                <w:szCs w:val="14"/>
                <w:b w:val="1"/>
                <w:bCs w:val="1"/>
                <w:color w:val="706F6F"/>
              </w:rPr>
              <w:t>(Loss) in Last</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Withdrawals/</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At Last Fiscal</w:t>
            </w:r>
          </w:p>
        </w:tc>
        <w:tc>
          <w:tcPr>
            <w:tcW w:w="0" w:type="dxa"/>
            <w:vAlign w:val="bottom"/>
          </w:tcPr>
          <w:p>
            <w:pPr>
              <w:spacing w:after="0"/>
              <w:rPr>
                <w:sz w:val="1"/>
                <w:szCs w:val="1"/>
                <w:color w:val="auto"/>
              </w:rPr>
            </w:pPr>
          </w:p>
        </w:tc>
      </w:tr>
      <w:tr>
        <w:trPr>
          <w:trHeight w:val="173"/>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Last Fiscal Year</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Last Fiscal Year</w:t>
            </w:r>
          </w:p>
        </w:tc>
        <w:tc>
          <w:tcPr>
            <w:tcW w:w="620" w:type="dxa"/>
            <w:vAlign w:val="bottom"/>
          </w:tcPr>
          <w:p>
            <w:pPr>
              <w:spacing w:after="0"/>
              <w:rPr>
                <w:sz w:val="15"/>
                <w:szCs w:val="15"/>
                <w:color w:val="auto"/>
              </w:rPr>
            </w:pPr>
          </w:p>
        </w:tc>
        <w:tc>
          <w:tcPr>
            <w:tcW w:w="1240" w:type="dxa"/>
            <w:vAlign w:val="bottom"/>
          </w:tcPr>
          <w:p>
            <w:pPr>
              <w:jc w:val="right"/>
              <w:ind w:right="206"/>
              <w:spacing w:after="0"/>
              <w:rPr>
                <w:sz w:val="20"/>
                <w:szCs w:val="20"/>
                <w:color w:val="auto"/>
              </w:rPr>
            </w:pPr>
            <w:r>
              <w:rPr>
                <w:rFonts w:ascii="Arial" w:cs="Arial" w:eastAsia="Arial" w:hAnsi="Arial"/>
                <w:sz w:val="14"/>
                <w:szCs w:val="14"/>
                <w:b w:val="1"/>
                <w:bCs w:val="1"/>
                <w:color w:val="706F6F"/>
              </w:rPr>
              <w:t>Fiscal Year</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Distributions</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Year End</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006DB6"/>
            </w:tcBorders>
            <w:vMerge w:val="continue"/>
          </w:tcPr>
          <w:p>
            <w:pPr>
              <w:spacing w:after="0"/>
              <w:rPr>
                <w:sz w:val="18"/>
                <w:szCs w:val="18"/>
                <w:color w:val="auto"/>
              </w:rPr>
            </w:pPr>
          </w:p>
        </w:tc>
        <w:tc>
          <w:tcPr>
            <w:tcW w:w="2180" w:type="dxa"/>
            <w:vAlign w:val="bottom"/>
            <w:tcBorders>
              <w:bottom w:val="single" w:sz="8" w:color="006DB6"/>
            </w:tcBorders>
          </w:tcPr>
          <w:p>
            <w:pPr>
              <w:jc w:val="right"/>
              <w:ind w:right="16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(1)</w:t>
            </w:r>
          </w:p>
        </w:tc>
        <w:tc>
          <w:tcPr>
            <w:tcW w:w="1560" w:type="dxa"/>
            <w:vAlign w:val="bottom"/>
            <w:tcBorders>
              <w:bottom w:val="single" w:sz="8" w:color="006DB6"/>
            </w:tcBorders>
          </w:tcPr>
          <w:p>
            <w:pPr>
              <w:jc w:val="right"/>
              <w:ind w:right="14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(2)</w:t>
            </w:r>
          </w:p>
        </w:tc>
        <w:tc>
          <w:tcPr>
            <w:tcW w:w="620" w:type="dxa"/>
            <w:vAlign w:val="bottom"/>
            <w:tcBorders>
              <w:bottom w:val="single" w:sz="8" w:color="006DB6"/>
            </w:tcBorders>
          </w:tcPr>
          <w:p>
            <w:pPr>
              <w:spacing w:after="0"/>
              <w:rPr>
                <w:sz w:val="18"/>
                <w:szCs w:val="18"/>
                <w:color w:val="auto"/>
              </w:rPr>
            </w:pPr>
          </w:p>
        </w:tc>
        <w:tc>
          <w:tcPr>
            <w:tcW w:w="1240" w:type="dxa"/>
            <w:vAlign w:val="bottom"/>
            <w:tcBorders>
              <w:bottom w:val="single" w:sz="8" w:color="006DB6"/>
            </w:tcBorders>
          </w:tcPr>
          <w:p>
            <w:pPr>
              <w:jc w:val="right"/>
              <w:ind w:right="20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(3)</w:t>
            </w:r>
          </w:p>
        </w:tc>
        <w:tc>
          <w:tcPr>
            <w:tcW w:w="1440" w:type="dxa"/>
            <w:vAlign w:val="bottom"/>
            <w:tcBorders>
              <w:bottom w:val="single" w:sz="8" w:color="006DB6"/>
            </w:tcBorders>
          </w:tcPr>
          <w:p>
            <w:pPr>
              <w:jc w:val="right"/>
              <w:ind w:right="186"/>
              <w:spacing w:after="0"/>
              <w:rPr>
                <w:sz w:val="20"/>
                <w:szCs w:val="20"/>
                <w:color w:val="auto"/>
              </w:rPr>
            </w:pPr>
            <w:r>
              <w:rPr>
                <w:rFonts w:ascii="Arial" w:cs="Arial" w:eastAsia="Arial" w:hAnsi="Arial"/>
                <w:sz w:val="14"/>
                <w:szCs w:val="14"/>
                <w:b w:val="1"/>
                <w:bCs w:val="1"/>
                <w:color w:val="706F6F"/>
              </w:rPr>
              <w:t>($)</w:t>
            </w:r>
          </w:p>
        </w:tc>
        <w:tc>
          <w:tcPr>
            <w:tcW w:w="600" w:type="dxa"/>
            <w:vAlign w:val="bottom"/>
            <w:tcBorders>
              <w:bottom w:val="single" w:sz="8" w:color="006DB6"/>
            </w:tcBorders>
          </w:tcPr>
          <w:p>
            <w:pPr>
              <w:spacing w:after="0"/>
              <w:rPr>
                <w:sz w:val="18"/>
                <w:szCs w:val="18"/>
                <w:color w:val="auto"/>
              </w:rPr>
            </w:pPr>
          </w:p>
        </w:tc>
        <w:tc>
          <w:tcPr>
            <w:tcW w:w="1000" w:type="dxa"/>
            <w:vAlign w:val="bottom"/>
            <w:tcBorders>
              <w:bottom w:val="single" w:sz="8" w:color="006DB6"/>
            </w:tcBorders>
          </w:tcPr>
          <w:p>
            <w:pPr>
              <w:jc w:val="right"/>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(4)</w:t>
            </w:r>
          </w:p>
        </w:tc>
        <w:tc>
          <w:tcPr>
            <w:tcW w:w="0" w:type="dxa"/>
            <w:vAlign w:val="bottom"/>
          </w:tcPr>
          <w:p>
            <w:pPr>
              <w:spacing w:after="0"/>
              <w:rPr>
                <w:sz w:val="1"/>
                <w:szCs w:val="1"/>
                <w:color w:val="auto"/>
              </w:rPr>
            </w:pPr>
          </w:p>
        </w:tc>
      </w:tr>
      <w:tr>
        <w:trPr>
          <w:trHeight w:val="23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21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color w:val="auto"/>
              </w:rPr>
              <w:t>$   48,757</w:t>
            </w:r>
          </w:p>
        </w:tc>
        <w:tc>
          <w:tcPr>
            <w:tcW w:w="15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rPr>
              <w:t>$   38,371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color w:val="auto"/>
              </w:rPr>
              <w:t>127,179</w:t>
            </w:r>
          </w:p>
        </w:tc>
        <w:tc>
          <w:tcPr>
            <w:tcW w:w="144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681,885</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460" w:hanging="252"/>
        <w:spacing w:after="0" w:line="231"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All contribution amounts for the last fiscal year reported in this column are also included in the “Salary” and “Non-Equity Incentive Plan Compensation” columns in the Summary Compensation Table for 2024.</w:t>
      </w:r>
    </w:p>
    <w:p>
      <w:pPr>
        <w:spacing w:after="0" w:line="2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The amount reported for in this column is also included in the “All Other Compensation” column of the Summary Compensation Table for 2024.</w:t>
      </w:r>
    </w:p>
    <w:p>
      <w:pPr>
        <w:spacing w:after="0" w:line="57" w:lineRule="exact"/>
        <w:rPr>
          <w:rFonts w:ascii="Arial" w:cs="Arial" w:eastAsia="Arial" w:hAnsi="Arial"/>
          <w:sz w:val="19"/>
          <w:szCs w:val="19"/>
          <w:color w:val="auto"/>
          <w:vertAlign w:val="superscript"/>
        </w:rPr>
      </w:pPr>
    </w:p>
    <w:p>
      <w:pPr>
        <w:ind w:left="260" w:right="200" w:hanging="252"/>
        <w:spacing w:after="0" w:line="228"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This column represents net unrealized appreciation, loss, dividends and distributions for Mr. Schoening for mutual fund investments for 2024 associated with investments held in the Canadian non-qualified deferred compensation plan and is not reported in the Summary Compensation Table as such amount is not above-market.</w:t>
      </w:r>
    </w:p>
    <w:p>
      <w:pPr>
        <w:spacing w:after="0" w:line="6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$358,028 of the aggregate balance was reported for Mr. Schoening previously as compensation in our “Summary Compensation Table” in prior years’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382270</wp:posOffset>
            </wp:positionV>
            <wp:extent cx="394335" cy="1968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Potential Payments upon Termination or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Agreements</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table below reflects the amount of compensation that would have been payable to Messrs. Dodson, Gerry, and McCann pursuant to their Executive Agreements in the event of a qualified termination on December 31, 2024, which is defined as (i) an involuntary termination of the executive officer by Civeo other than for Cause (or resignation for Good Reason, with respect to Mr. Gerry) outside the context of a Change in Control or (ii) either an involuntary termination other than for Cause or a voluntary termination by the executive for Good Reason, in each case, during a specified period of time after a “Change of Control” of Civeo. The table below also reflects the amount of compensation that would have been payable to Mr. Fraser under the terms of his offer letter as in effect on December 31, 2024 and to Mr. Brewer under his equity award agreements. The scope and terms of compensation due to each named executive officer upon non-change of control voluntary terminations, early retirement, retirement, for Cause termination and in the event of disability or death of the executive are the same as for all salaried employees.</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amounts shown in the table assume that such qualified termination was effective as of December 31, 2024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Agreements, see “Compensation Discussion and Analysis—Executive and Change of Control Agreements.”</w:t>
      </w:r>
    </w:p>
    <w:p>
      <w:pPr>
        <w:spacing w:after="0" w:line="6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For purposes of the Executive Agreements, Cause generally includes conviction of or plea of nolo contendere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generally includes material reduction in the executive’s authorities, duties or responsibilities, material reduction in the executive’s compensation and benefits, failure of a successor to assume the agreement or a relocation of the executive’s principal place of employment more than 50 miles from its previous location.</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Equity Awards</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Civeo phantom unit awards provide that such awards become fully vested on the termination of an employee’s employment due to the employee's death or a disability that entitles the employee to receive benefits under a long-term disability plan of Civeo. All outstanding awards would fully vest following a Change of Control where such awards are not assumed or converted following the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Agreements with Former Executives</w:t>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As previously announced, the Company terminated Ms. Stone’s employment without cause effective March 4, 2024. In connection with her termination of employment, Ms. Stone and the Company entered into a Separation, Waiver and Release Agreement (the “Stone Separation Agreement”) pursuant to which she received: (i) a lump sum cash severance payment of $690,467; (ii) payments equal to $37,351 in aggregate to reimburse Ms. Stone for the difference between (a) the amount paid by Ms. Stone for continued medical and dental coverage for herself and her dependents under COBRA, for up to 12 months following the Separation Date; and (b) the contribution amounts paid by active employees for such medical and dental coverage, with such reimbursements to be provided to Ms. Stone by the Company in two lump sum payments within 30 days following September 4, 2024 and March 4, 2025; (iii) outplacement services at an aggregate cost of $20,000; (iv) a supplemental lump sum cash payment of $423,650, in recognition of the value of certain outstanding phantom share units and performance share awards that were forfeited upon her termination and (v) a payment for unused vacation in accordance with Company policy of $16,346. The Separation Agreement also includes a general release of claims in favor of the Company and confidentiality, non-solicitation and non-disparagement covenants. Ms. Stone forfeited all outstanding, unvested equity awards upon her termination.</w:t>
      </w:r>
    </w:p>
    <w:p>
      <w:pPr>
        <w:spacing w:after="0" w:line="6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connection with Mr. Schoening’s retirement on December 31, 2024, he received a payout of his accrued and unused vacation days in accordance with Company policy valued at $117,242, converted using an exchange rate of $0.7301. He also entered into the Consulting Agreement described above under “Executive and Change of Control Agreements.” As compensation for his consulting service, Mr. Schoening receives a monthly fee of $12,169, converted using an exchange rate of $0.7301 and his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59" w:lineRule="exact"/>
        <w:rPr>
          <w:sz w:val="20"/>
          <w:szCs w:val="20"/>
          <w:color w:val="auto"/>
        </w:rPr>
      </w:pPr>
    </w:p>
    <w:p>
      <w:pPr>
        <w:ind w:right="660"/>
        <w:spacing w:after="0" w:line="268" w:lineRule="auto"/>
        <w:rPr>
          <w:sz w:val="20"/>
          <w:szCs w:val="20"/>
          <w:color w:val="auto"/>
        </w:rPr>
      </w:pPr>
      <w:r>
        <w:rPr>
          <w:rFonts w:ascii="Arial" w:cs="Arial" w:eastAsia="Arial" w:hAnsi="Arial"/>
          <w:sz w:val="16"/>
          <w:szCs w:val="16"/>
          <w:color w:val="auto"/>
        </w:rPr>
        <w:t>outstanding equity awards continue to vest in accordance with their terms. Mr. Schoening was not eligible for, and did not receive, any severance or termination payments in connection with his retirement.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Quantification of Payments</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Shown in the table below are potential payments upon the assumed (i) involuntary not for Cause termination of the named executive officer by Civeo (or voluntary resignation for Good Reason by Mr. Gerry) on December 31, 2024, other than during the applicable protection period following a Change of Control ("NFC" in table below), (ii) involuntary not for Cause termination or termination by the named executive officer for Good Reason, in either case, during the 24-month period (for Mr. Dodson) or 18-month period (in the case of Messrs. Gerry and McCann) following a Change of Control, occurring as of December 31, 2024 ("CIC" in the table below), or (iii) termination as a result of death, disability, or qualifying retirement on December 31, 2024, ("DDR" in the table below). As of December 31, 2024, only Mr. McCann was retirement eligible. None of Mr. Dodson’s potential payments as of December 31, 2024 would trigger a gross-up payment for excise taxes that would be reimbursed under his Executive Agreement. See “Agreements with Former Executives” above for information on the actual amounts paid or provided to Mr. Schoening and Ms. Stone in connection with their respective terminations.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260" w:type="dxa"/>
            <w:vAlign w:val="bottom"/>
            <w:tcBorders>
              <w:bottom w:val="single" w:sz="8" w:color="006DB6"/>
            </w:tcBorders>
          </w:tcPr>
          <w:p>
            <w:pPr>
              <w:spacing w:after="0"/>
              <w:rPr>
                <w:sz w:val="19"/>
                <w:szCs w:val="19"/>
                <w:color w:val="auto"/>
              </w:rPr>
            </w:pPr>
          </w:p>
        </w:tc>
        <w:tc>
          <w:tcPr>
            <w:tcW w:w="2080" w:type="dxa"/>
            <w:vAlign w:val="bottom"/>
            <w:tcBorders>
              <w:bottom w:val="single" w:sz="8" w:color="006DB6"/>
            </w:tcBorders>
            <w:gridSpan w:val="3"/>
          </w:tcPr>
          <w:p>
            <w:pPr>
              <w:jc w:val="center"/>
              <w:ind w:left="701"/>
              <w:spacing w:after="0"/>
              <w:rPr>
                <w:sz w:val="20"/>
                <w:szCs w:val="20"/>
                <w:color w:val="auto"/>
              </w:rPr>
            </w:pPr>
            <w:r>
              <w:rPr>
                <w:rFonts w:ascii="Arial" w:cs="Arial" w:eastAsia="Arial" w:hAnsi="Arial"/>
                <w:sz w:val="14"/>
                <w:szCs w:val="14"/>
                <w:b w:val="1"/>
                <w:bCs w:val="1"/>
                <w:color w:val="706F6F"/>
              </w:rPr>
              <w:t>Bradley J. Dodson</w:t>
            </w:r>
          </w:p>
        </w:tc>
        <w:tc>
          <w:tcPr>
            <w:tcW w:w="180" w:type="dxa"/>
            <w:vAlign w:val="bottom"/>
            <w:tcBorders>
              <w:bottom w:val="single" w:sz="8" w:color="006DB6"/>
            </w:tcBorders>
          </w:tcPr>
          <w:p>
            <w:pPr>
              <w:spacing w:after="0"/>
              <w:rPr>
                <w:sz w:val="19"/>
                <w:szCs w:val="19"/>
                <w:color w:val="auto"/>
              </w:rPr>
            </w:pPr>
          </w:p>
        </w:tc>
        <w:tc>
          <w:tcPr>
            <w:tcW w:w="860" w:type="dxa"/>
            <w:vAlign w:val="bottom"/>
            <w:tcBorders>
              <w:bottom w:val="single" w:sz="8" w:color="006DB6"/>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006DB6"/>
            </w:tcBorders>
          </w:tcPr>
          <w:p>
            <w:pPr>
              <w:spacing w:after="0"/>
              <w:rPr>
                <w:sz w:val="19"/>
                <w:szCs w:val="19"/>
                <w:color w:val="auto"/>
              </w:rPr>
            </w:pPr>
          </w:p>
        </w:tc>
        <w:tc>
          <w:tcPr>
            <w:tcW w:w="860" w:type="dxa"/>
            <w:vAlign w:val="bottom"/>
            <w:tcBorders>
              <w:bottom w:val="single" w:sz="8" w:color="006DB6"/>
            </w:tcBorders>
          </w:tcPr>
          <w:p>
            <w:pPr>
              <w:spacing w:after="0"/>
              <w:rPr>
                <w:sz w:val="19"/>
                <w:szCs w:val="19"/>
                <w:color w:val="auto"/>
              </w:rPr>
            </w:pPr>
          </w:p>
        </w:tc>
        <w:tc>
          <w:tcPr>
            <w:tcW w:w="1200" w:type="dxa"/>
            <w:vAlign w:val="bottom"/>
            <w:tcBorders>
              <w:bottom w:val="single" w:sz="8" w:color="006DB6"/>
            </w:tcBorders>
            <w:gridSpan w:val="2"/>
          </w:tcPr>
          <w:p>
            <w:pPr>
              <w:jc w:val="right"/>
              <w:ind w:right="80"/>
              <w:spacing w:after="0"/>
              <w:rPr>
                <w:sz w:val="20"/>
                <w:szCs w:val="20"/>
                <w:color w:val="auto"/>
              </w:rPr>
            </w:pPr>
            <w:r>
              <w:rPr>
                <w:rFonts w:ascii="Arial" w:cs="Arial" w:eastAsia="Arial" w:hAnsi="Arial"/>
                <w:sz w:val="14"/>
                <w:szCs w:val="14"/>
                <w:b w:val="1"/>
                <w:bCs w:val="1"/>
                <w:color w:val="706F6F"/>
              </w:rPr>
              <w:t>E. Collin Gerry</w:t>
            </w:r>
          </w:p>
        </w:tc>
        <w:tc>
          <w:tcPr>
            <w:tcW w:w="960" w:type="dxa"/>
            <w:vAlign w:val="bottom"/>
            <w:tcBorders>
              <w:bottom w:val="single" w:sz="8" w:color="006DB6"/>
            </w:tcBorders>
          </w:tcPr>
          <w:p>
            <w:pPr>
              <w:spacing w:after="0"/>
              <w:rPr>
                <w:sz w:val="19"/>
                <w:szCs w:val="19"/>
                <w:color w:val="auto"/>
              </w:rPr>
            </w:pPr>
          </w:p>
        </w:tc>
      </w:tr>
      <w:tr>
        <w:trPr>
          <w:trHeight w:val="237"/>
        </w:trPr>
        <w:tc>
          <w:tcPr>
            <w:tcW w:w="3160" w:type="dxa"/>
            <w:vAlign w:val="bottom"/>
            <w:tcBorders>
              <w:bottom w:val="single" w:sz="8" w:color="006DB6"/>
            </w:tcBorders>
          </w:tcPr>
          <w:p>
            <w:pPr>
              <w:spacing w:after="0"/>
              <w:rPr>
                <w:sz w:val="20"/>
                <w:szCs w:val="20"/>
                <w:color w:val="auto"/>
              </w:rPr>
            </w:pPr>
          </w:p>
        </w:tc>
        <w:tc>
          <w:tcPr>
            <w:tcW w:w="260" w:type="dxa"/>
            <w:vAlign w:val="bottom"/>
            <w:tcBorders>
              <w:bottom w:val="single" w:sz="8" w:color="006DB6"/>
            </w:tcBorders>
          </w:tcPr>
          <w:p>
            <w:pPr>
              <w:spacing w:after="0"/>
              <w:rPr>
                <w:sz w:val="20"/>
                <w:szCs w:val="20"/>
                <w:color w:val="auto"/>
              </w:rPr>
            </w:pPr>
          </w:p>
        </w:tc>
        <w:tc>
          <w:tcPr>
            <w:tcW w:w="84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NFC</w:t>
            </w:r>
          </w:p>
        </w:tc>
        <w:tc>
          <w:tcPr>
            <w:tcW w:w="32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center"/>
              <w:ind w:right="280"/>
              <w:spacing w:after="0"/>
              <w:rPr>
                <w:sz w:val="20"/>
                <w:szCs w:val="20"/>
                <w:color w:val="auto"/>
              </w:rPr>
            </w:pPr>
            <w:r>
              <w:rPr>
                <w:rFonts w:ascii="Arial" w:cs="Arial" w:eastAsia="Arial" w:hAnsi="Arial"/>
                <w:sz w:val="14"/>
                <w:szCs w:val="14"/>
                <w:b w:val="1"/>
                <w:bCs w:val="1"/>
                <w:color w:val="706F6F"/>
                <w:w w:val="99"/>
              </w:rPr>
              <w:t>CIC</w:t>
            </w:r>
          </w:p>
        </w:tc>
        <w:tc>
          <w:tcPr>
            <w:tcW w:w="18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DDR</w:t>
            </w:r>
          </w:p>
        </w:tc>
        <w:tc>
          <w:tcPr>
            <w:tcW w:w="120" w:type="dxa"/>
            <w:vAlign w:val="bottom"/>
            <w:tcBorders>
              <w:bottom w:val="single" w:sz="8" w:color="006DB6"/>
            </w:tcBorders>
          </w:tcPr>
          <w:p>
            <w:pPr>
              <w:spacing w:after="0"/>
              <w:rPr>
                <w:sz w:val="20"/>
                <w:szCs w:val="20"/>
                <w:color w:val="auto"/>
              </w:rPr>
            </w:pPr>
          </w:p>
        </w:tc>
        <w:tc>
          <w:tcPr>
            <w:tcW w:w="2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60" w:type="dxa"/>
            <w:vAlign w:val="bottom"/>
            <w:tcBorders>
              <w:bottom w:val="single" w:sz="8" w:color="006DB6"/>
            </w:tcBorders>
          </w:tcPr>
          <w:p>
            <w:pPr>
              <w:jc w:val="right"/>
              <w:ind w:right="480"/>
              <w:spacing w:after="0"/>
              <w:rPr>
                <w:sz w:val="20"/>
                <w:szCs w:val="20"/>
                <w:color w:val="auto"/>
              </w:rPr>
            </w:pPr>
            <w:r>
              <w:rPr>
                <w:rFonts w:ascii="Arial" w:cs="Arial" w:eastAsia="Arial" w:hAnsi="Arial"/>
                <w:sz w:val="14"/>
                <w:szCs w:val="14"/>
                <w:b w:val="1"/>
                <w:bCs w:val="1"/>
                <w:color w:val="706F6F"/>
              </w:rPr>
              <w:t>CIC</w:t>
            </w:r>
          </w:p>
        </w:tc>
        <w:tc>
          <w:tcPr>
            <w:tcW w:w="960" w:type="dxa"/>
            <w:vAlign w:val="bottom"/>
            <w:tcBorders>
              <w:bottom w:val="single" w:sz="8" w:color="006DB6"/>
            </w:tcBorders>
          </w:tcPr>
          <w:p>
            <w:pPr>
              <w:ind w:left="260"/>
              <w:spacing w:after="0"/>
              <w:rPr>
                <w:sz w:val="20"/>
                <w:szCs w:val="20"/>
                <w:color w:val="auto"/>
              </w:rPr>
            </w:pPr>
            <w:r>
              <w:rPr>
                <w:rFonts w:ascii="Arial" w:cs="Arial" w:eastAsia="Arial" w:hAnsi="Arial"/>
                <w:sz w:val="14"/>
                <w:szCs w:val="14"/>
                <w:b w:val="1"/>
                <w:bCs w:val="1"/>
                <w:color w:val="706F6F"/>
              </w:rPr>
              <w:t>DDR</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Benefits and Payments due 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Separation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34"/>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3,000,000</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608,000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912,000</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83"/>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5,699,585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5,699,585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5,699,585</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439,465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1,028,784</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$ 1,028,784</w:t>
            </w:r>
          </w:p>
        </w:tc>
      </w:tr>
      <w:tr>
        <w:trPr>
          <w:trHeight w:val="23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81"/>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86,327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129,490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42,623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63,934</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7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112,500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57,000</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30"/>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36"/>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7,285,912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8,941,575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5,699,585</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1,090,088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2,061,718</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$ 1,028,784</w:t>
            </w:r>
          </w:p>
        </w:tc>
      </w:tr>
      <w:tr>
        <w:trPr>
          <w:trHeight w:val="480"/>
        </w:trPr>
        <w:tc>
          <w:tcPr>
            <w:tcW w:w="3160" w:type="dxa"/>
            <w:vAlign w:val="bottom"/>
          </w:tcPr>
          <w:p>
            <w:pPr>
              <w:spacing w:after="0"/>
              <w:rPr>
                <w:sz w:val="24"/>
                <w:szCs w:val="24"/>
                <w:color w:val="auto"/>
              </w:rPr>
            </w:pPr>
          </w:p>
        </w:tc>
        <w:tc>
          <w:tcPr>
            <w:tcW w:w="260" w:type="dxa"/>
            <w:vAlign w:val="bottom"/>
            <w:tcBorders>
              <w:bottom w:val="single" w:sz="8" w:color="006DB6"/>
            </w:tcBorders>
          </w:tcPr>
          <w:p>
            <w:pPr>
              <w:spacing w:after="0"/>
              <w:rPr>
                <w:sz w:val="24"/>
                <w:szCs w:val="24"/>
                <w:color w:val="auto"/>
              </w:rPr>
            </w:pPr>
          </w:p>
        </w:tc>
        <w:tc>
          <w:tcPr>
            <w:tcW w:w="840" w:type="dxa"/>
            <w:vAlign w:val="bottom"/>
            <w:tcBorders>
              <w:bottom w:val="single" w:sz="8" w:color="006DB6"/>
            </w:tcBorders>
          </w:tcPr>
          <w:p>
            <w:pPr>
              <w:spacing w:after="0"/>
              <w:rPr>
                <w:sz w:val="24"/>
                <w:szCs w:val="24"/>
                <w:color w:val="auto"/>
              </w:rPr>
            </w:pPr>
          </w:p>
        </w:tc>
        <w:tc>
          <w:tcPr>
            <w:tcW w:w="1240" w:type="dxa"/>
            <w:vAlign w:val="bottom"/>
            <w:tcBorders>
              <w:bottom w:val="single" w:sz="8" w:color="006DB6"/>
            </w:tcBorders>
            <w:gridSpan w:val="2"/>
          </w:tcPr>
          <w:p>
            <w:pPr>
              <w:jc w:val="center"/>
              <w:spacing w:after="0"/>
              <w:rPr>
                <w:sz w:val="20"/>
                <w:szCs w:val="20"/>
                <w:color w:val="auto"/>
              </w:rPr>
            </w:pPr>
            <w:r>
              <w:rPr>
                <w:rFonts w:ascii="Arial" w:cs="Arial" w:eastAsia="Arial" w:hAnsi="Arial"/>
                <w:sz w:val="14"/>
                <w:szCs w:val="14"/>
                <w:b w:val="1"/>
                <w:bCs w:val="1"/>
                <w:color w:val="706F6F"/>
              </w:rPr>
              <w:t>Andrew S. Fraser</w:t>
            </w:r>
          </w:p>
        </w:tc>
        <w:tc>
          <w:tcPr>
            <w:tcW w:w="180" w:type="dxa"/>
            <w:vAlign w:val="bottom"/>
            <w:tcBorders>
              <w:bottom w:val="single" w:sz="8" w:color="006DB6"/>
            </w:tcBorders>
          </w:tcPr>
          <w:p>
            <w:pPr>
              <w:spacing w:after="0"/>
              <w:rPr>
                <w:sz w:val="24"/>
                <w:szCs w:val="24"/>
                <w:color w:val="auto"/>
              </w:rPr>
            </w:pPr>
          </w:p>
        </w:tc>
        <w:tc>
          <w:tcPr>
            <w:tcW w:w="860" w:type="dxa"/>
            <w:vAlign w:val="bottom"/>
            <w:tcBorders>
              <w:bottom w:val="single" w:sz="8" w:color="006DB6"/>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006DB6"/>
            </w:tcBorders>
          </w:tcPr>
          <w:p>
            <w:pPr>
              <w:spacing w:after="0"/>
              <w:rPr>
                <w:sz w:val="24"/>
                <w:szCs w:val="24"/>
                <w:color w:val="auto"/>
              </w:rPr>
            </w:pPr>
          </w:p>
        </w:tc>
        <w:tc>
          <w:tcPr>
            <w:tcW w:w="2060" w:type="dxa"/>
            <w:vAlign w:val="bottom"/>
            <w:tcBorders>
              <w:bottom w:val="single" w:sz="8" w:color="006DB6"/>
            </w:tcBorders>
            <w:gridSpan w:val="3"/>
          </w:tcPr>
          <w:p>
            <w:pPr>
              <w:jc w:val="right"/>
              <w:spacing w:after="0"/>
              <w:rPr>
                <w:sz w:val="20"/>
                <w:szCs w:val="20"/>
                <w:color w:val="auto"/>
              </w:rPr>
            </w:pPr>
            <w:r>
              <w:rPr>
                <w:rFonts w:ascii="Arial" w:cs="Arial" w:eastAsia="Arial" w:hAnsi="Arial"/>
                <w:sz w:val="14"/>
                <w:szCs w:val="14"/>
                <w:b w:val="1"/>
                <w:bCs w:val="1"/>
                <w:color w:val="706F6F"/>
              </w:rPr>
              <w:t>Peter L. McCann</w:t>
            </w:r>
            <w:r>
              <w:rPr>
                <w:rFonts w:ascii="Arial" w:cs="Arial" w:eastAsia="Arial" w:hAnsi="Arial"/>
                <w:sz w:val="9"/>
                <w:szCs w:val="9"/>
                <w:b w:val="1"/>
                <w:bCs w:val="1"/>
                <w:color w:val="706F6F"/>
              </w:rPr>
              <w:t>(4)</w:t>
            </w:r>
          </w:p>
        </w:tc>
        <w:tc>
          <w:tcPr>
            <w:tcW w:w="960" w:type="dxa"/>
            <w:vAlign w:val="bottom"/>
            <w:tcBorders>
              <w:bottom w:val="single" w:sz="8" w:color="006DB6"/>
            </w:tcBorders>
          </w:tcPr>
          <w:p>
            <w:pPr>
              <w:spacing w:after="0"/>
              <w:rPr>
                <w:sz w:val="24"/>
                <w:szCs w:val="24"/>
                <w:color w:val="auto"/>
              </w:rPr>
            </w:pPr>
          </w:p>
        </w:tc>
      </w:tr>
      <w:tr>
        <w:trPr>
          <w:trHeight w:val="237"/>
        </w:trPr>
        <w:tc>
          <w:tcPr>
            <w:tcW w:w="3160" w:type="dxa"/>
            <w:vAlign w:val="bottom"/>
            <w:tcBorders>
              <w:bottom w:val="single" w:sz="8" w:color="006DB6"/>
            </w:tcBorders>
          </w:tcPr>
          <w:p>
            <w:pPr>
              <w:spacing w:after="0"/>
              <w:rPr>
                <w:sz w:val="20"/>
                <w:szCs w:val="20"/>
                <w:color w:val="auto"/>
              </w:rPr>
            </w:pPr>
          </w:p>
        </w:tc>
        <w:tc>
          <w:tcPr>
            <w:tcW w:w="260" w:type="dxa"/>
            <w:vAlign w:val="bottom"/>
            <w:tcBorders>
              <w:bottom w:val="single" w:sz="8" w:color="006DB6"/>
            </w:tcBorders>
          </w:tcPr>
          <w:p>
            <w:pPr>
              <w:spacing w:after="0"/>
              <w:rPr>
                <w:sz w:val="20"/>
                <w:szCs w:val="20"/>
                <w:color w:val="auto"/>
              </w:rPr>
            </w:pPr>
          </w:p>
        </w:tc>
        <w:tc>
          <w:tcPr>
            <w:tcW w:w="840" w:type="dxa"/>
            <w:vAlign w:val="bottom"/>
            <w:tcBorders>
              <w:bottom w:val="single" w:sz="8" w:color="006DB6"/>
            </w:tcBorders>
          </w:tcPr>
          <w:p>
            <w:pPr>
              <w:jc w:val="right"/>
              <w:ind w:right="201"/>
              <w:spacing w:after="0"/>
              <w:rPr>
                <w:sz w:val="20"/>
                <w:szCs w:val="20"/>
                <w:color w:val="auto"/>
              </w:rPr>
            </w:pPr>
            <w:r>
              <w:rPr>
                <w:rFonts w:ascii="Arial" w:cs="Arial" w:eastAsia="Arial" w:hAnsi="Arial"/>
                <w:sz w:val="14"/>
                <w:szCs w:val="14"/>
                <w:b w:val="1"/>
                <w:bCs w:val="1"/>
                <w:color w:val="706F6F"/>
              </w:rPr>
              <w:t>NFC</w:t>
            </w:r>
          </w:p>
        </w:tc>
        <w:tc>
          <w:tcPr>
            <w:tcW w:w="32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320"/>
              <w:spacing w:after="0"/>
              <w:rPr>
                <w:sz w:val="20"/>
                <w:szCs w:val="20"/>
                <w:color w:val="auto"/>
              </w:rPr>
            </w:pPr>
            <w:r>
              <w:rPr>
                <w:rFonts w:ascii="Arial" w:cs="Arial" w:eastAsia="Arial" w:hAnsi="Arial"/>
                <w:sz w:val="14"/>
                <w:szCs w:val="14"/>
                <w:b w:val="1"/>
                <w:bCs w:val="1"/>
                <w:color w:val="706F6F"/>
              </w:rPr>
              <w:t>CIC</w:t>
            </w:r>
          </w:p>
        </w:tc>
        <w:tc>
          <w:tcPr>
            <w:tcW w:w="18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DDR</w:t>
            </w:r>
          </w:p>
        </w:tc>
        <w:tc>
          <w:tcPr>
            <w:tcW w:w="120" w:type="dxa"/>
            <w:vAlign w:val="bottom"/>
            <w:tcBorders>
              <w:bottom w:val="single" w:sz="8" w:color="006DB6"/>
            </w:tcBorders>
          </w:tcPr>
          <w:p>
            <w:pPr>
              <w:spacing w:after="0"/>
              <w:rPr>
                <w:sz w:val="20"/>
                <w:szCs w:val="20"/>
                <w:color w:val="auto"/>
              </w:rPr>
            </w:pPr>
          </w:p>
        </w:tc>
        <w:tc>
          <w:tcPr>
            <w:tcW w:w="2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21"/>
              <w:spacing w:after="0"/>
              <w:rPr>
                <w:sz w:val="20"/>
                <w:szCs w:val="20"/>
                <w:color w:val="auto"/>
              </w:rPr>
            </w:pPr>
            <w:r>
              <w:rPr>
                <w:rFonts w:ascii="Arial" w:cs="Arial" w:eastAsia="Arial" w:hAnsi="Arial"/>
                <w:sz w:val="14"/>
                <w:szCs w:val="14"/>
                <w:b w:val="1"/>
                <w:bCs w:val="1"/>
                <w:color w:val="706F6F"/>
              </w:rPr>
              <w:t>NFC</w:t>
            </w:r>
          </w:p>
        </w:tc>
        <w:tc>
          <w:tcPr>
            <w:tcW w:w="240" w:type="dxa"/>
            <w:vAlign w:val="bottom"/>
            <w:tcBorders>
              <w:bottom w:val="single" w:sz="8" w:color="006DB6"/>
            </w:tcBorders>
          </w:tcPr>
          <w:p>
            <w:pPr>
              <w:spacing w:after="0"/>
              <w:rPr>
                <w:sz w:val="20"/>
                <w:szCs w:val="20"/>
                <w:color w:val="auto"/>
              </w:rPr>
            </w:pPr>
          </w:p>
        </w:tc>
        <w:tc>
          <w:tcPr>
            <w:tcW w:w="960" w:type="dxa"/>
            <w:vAlign w:val="bottom"/>
            <w:tcBorders>
              <w:bottom w:val="single" w:sz="8" w:color="006DB6"/>
            </w:tcBorders>
          </w:tcPr>
          <w:p>
            <w:pPr>
              <w:jc w:val="right"/>
              <w:ind w:right="480"/>
              <w:spacing w:after="0"/>
              <w:rPr>
                <w:sz w:val="20"/>
                <w:szCs w:val="20"/>
                <w:color w:val="auto"/>
              </w:rPr>
            </w:pPr>
            <w:r>
              <w:rPr>
                <w:rFonts w:ascii="Arial" w:cs="Arial" w:eastAsia="Arial" w:hAnsi="Arial"/>
                <w:sz w:val="14"/>
                <w:szCs w:val="14"/>
                <w:b w:val="1"/>
                <w:bCs w:val="1"/>
                <w:color w:val="706F6F"/>
              </w:rPr>
              <w:t>CIC</w:t>
            </w:r>
          </w:p>
        </w:tc>
        <w:tc>
          <w:tcPr>
            <w:tcW w:w="960" w:type="dxa"/>
            <w:vAlign w:val="bottom"/>
            <w:tcBorders>
              <w:bottom w:val="single" w:sz="8" w:color="006DB6"/>
            </w:tcBorders>
          </w:tcPr>
          <w:p>
            <w:pPr>
              <w:ind w:left="260"/>
              <w:spacing w:after="0"/>
              <w:rPr>
                <w:sz w:val="20"/>
                <w:szCs w:val="20"/>
                <w:color w:val="auto"/>
              </w:rPr>
            </w:pPr>
            <w:r>
              <w:rPr>
                <w:rFonts w:ascii="Arial" w:cs="Arial" w:eastAsia="Arial" w:hAnsi="Arial"/>
                <w:sz w:val="14"/>
                <w:szCs w:val="14"/>
                <w:b w:val="1"/>
                <w:bCs w:val="1"/>
                <w:color w:val="706F6F"/>
              </w:rPr>
              <w:t>DDR</w:t>
            </w:r>
          </w:p>
        </w:tc>
      </w:tr>
      <w:tr>
        <w:trPr>
          <w:trHeight w:val="23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34"/>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620,585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620,585</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560,745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1,121,490</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83"/>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453,741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453,741</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417,067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1,018,924</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$ 1,018,924</w:t>
            </w:r>
          </w:p>
        </w:tc>
      </w:tr>
      <w:tr>
        <w:trPr>
          <w:trHeight w:val="23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81"/>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7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49,478</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30"/>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9"/>
              </w:rPr>
              <w:t>—</w:t>
            </w:r>
          </w:p>
        </w:tc>
      </w:tr>
      <w:tr>
        <w:trPr>
          <w:trHeight w:val="23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771,832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1,074,326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453,741</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977,812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2,189,892</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$ 1,018,924</w:t>
            </w:r>
          </w:p>
        </w:tc>
      </w:tr>
      <w:tr>
        <w:trPr>
          <w:trHeight w:val="479"/>
        </w:trPr>
        <w:tc>
          <w:tcPr>
            <w:tcW w:w="3160" w:type="dxa"/>
            <w:vAlign w:val="bottom"/>
          </w:tcPr>
          <w:p>
            <w:pPr>
              <w:spacing w:after="0"/>
              <w:rPr>
                <w:sz w:val="24"/>
                <w:szCs w:val="24"/>
                <w:color w:val="auto"/>
              </w:rPr>
            </w:pPr>
          </w:p>
        </w:tc>
        <w:tc>
          <w:tcPr>
            <w:tcW w:w="260" w:type="dxa"/>
            <w:vAlign w:val="bottom"/>
            <w:tcBorders>
              <w:bottom w:val="single" w:sz="8" w:color="006DB6"/>
            </w:tcBorders>
          </w:tcPr>
          <w:p>
            <w:pPr>
              <w:spacing w:after="0"/>
              <w:rPr>
                <w:sz w:val="24"/>
                <w:szCs w:val="24"/>
                <w:color w:val="auto"/>
              </w:rPr>
            </w:pPr>
          </w:p>
        </w:tc>
        <w:tc>
          <w:tcPr>
            <w:tcW w:w="2080" w:type="dxa"/>
            <w:vAlign w:val="bottom"/>
            <w:tcBorders>
              <w:bottom w:val="single" w:sz="8" w:color="006DB6"/>
            </w:tcBorders>
            <w:gridSpan w:val="3"/>
          </w:tcPr>
          <w:p>
            <w:pPr>
              <w:jc w:val="center"/>
              <w:ind w:left="701"/>
              <w:spacing w:after="0"/>
              <w:rPr>
                <w:sz w:val="20"/>
                <w:szCs w:val="20"/>
                <w:color w:val="auto"/>
              </w:rPr>
            </w:pPr>
            <w:r>
              <w:rPr>
                <w:rFonts w:ascii="Arial" w:cs="Arial" w:eastAsia="Arial" w:hAnsi="Arial"/>
                <w:sz w:val="14"/>
                <w:szCs w:val="14"/>
                <w:b w:val="1"/>
                <w:bCs w:val="1"/>
                <w:color w:val="706F6F"/>
              </w:rPr>
              <w:t>Barclay H. Brewer</w:t>
            </w:r>
          </w:p>
        </w:tc>
        <w:tc>
          <w:tcPr>
            <w:tcW w:w="180" w:type="dxa"/>
            <w:vAlign w:val="bottom"/>
            <w:tcBorders>
              <w:bottom w:val="single" w:sz="8" w:color="006DB6"/>
            </w:tcBorders>
          </w:tcPr>
          <w:p>
            <w:pPr>
              <w:spacing w:after="0"/>
              <w:rPr>
                <w:sz w:val="24"/>
                <w:szCs w:val="24"/>
                <w:color w:val="auto"/>
              </w:rPr>
            </w:pPr>
          </w:p>
        </w:tc>
        <w:tc>
          <w:tcPr>
            <w:tcW w:w="860" w:type="dxa"/>
            <w:vAlign w:val="bottom"/>
            <w:tcBorders>
              <w:bottom w:val="single" w:sz="8" w:color="006DB6"/>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3160" w:type="dxa"/>
            <w:vAlign w:val="bottom"/>
            <w:tcBorders>
              <w:bottom w:val="single" w:sz="8" w:color="006DB6"/>
            </w:tcBorders>
          </w:tcPr>
          <w:p>
            <w:pPr>
              <w:spacing w:after="0"/>
              <w:rPr>
                <w:sz w:val="20"/>
                <w:szCs w:val="20"/>
                <w:color w:val="auto"/>
              </w:rPr>
            </w:pPr>
          </w:p>
        </w:tc>
        <w:tc>
          <w:tcPr>
            <w:tcW w:w="260" w:type="dxa"/>
            <w:vAlign w:val="bottom"/>
            <w:tcBorders>
              <w:bottom w:val="single" w:sz="8" w:color="006DB6"/>
            </w:tcBorders>
          </w:tcPr>
          <w:p>
            <w:pPr>
              <w:spacing w:after="0"/>
              <w:rPr>
                <w:sz w:val="20"/>
                <w:szCs w:val="20"/>
                <w:color w:val="auto"/>
              </w:rPr>
            </w:pPr>
          </w:p>
        </w:tc>
        <w:tc>
          <w:tcPr>
            <w:tcW w:w="840" w:type="dxa"/>
            <w:vAlign w:val="bottom"/>
            <w:tcBorders>
              <w:bottom w:val="single" w:sz="8" w:color="006DB6"/>
            </w:tcBorders>
          </w:tcPr>
          <w:p>
            <w:pPr>
              <w:jc w:val="right"/>
              <w:ind w:right="201"/>
              <w:spacing w:after="0"/>
              <w:rPr>
                <w:sz w:val="20"/>
                <w:szCs w:val="20"/>
                <w:color w:val="auto"/>
              </w:rPr>
            </w:pPr>
            <w:r>
              <w:rPr>
                <w:rFonts w:ascii="Arial" w:cs="Arial" w:eastAsia="Arial" w:hAnsi="Arial"/>
                <w:sz w:val="14"/>
                <w:szCs w:val="14"/>
                <w:b w:val="1"/>
                <w:bCs w:val="1"/>
                <w:color w:val="706F6F"/>
              </w:rPr>
              <w:t>NFC</w:t>
            </w:r>
          </w:p>
        </w:tc>
        <w:tc>
          <w:tcPr>
            <w:tcW w:w="320" w:type="dxa"/>
            <w:vAlign w:val="bottom"/>
            <w:tcBorders>
              <w:bottom w:val="single" w:sz="8" w:color="006DB6"/>
            </w:tcBorders>
          </w:tcPr>
          <w:p>
            <w:pPr>
              <w:spacing w:after="0"/>
              <w:rPr>
                <w:sz w:val="20"/>
                <w:szCs w:val="20"/>
                <w:color w:val="auto"/>
              </w:rPr>
            </w:pPr>
          </w:p>
        </w:tc>
        <w:tc>
          <w:tcPr>
            <w:tcW w:w="920" w:type="dxa"/>
            <w:vAlign w:val="bottom"/>
            <w:tcBorders>
              <w:bottom w:val="single" w:sz="8" w:color="006DB6"/>
            </w:tcBorders>
          </w:tcPr>
          <w:p>
            <w:pPr>
              <w:jc w:val="right"/>
              <w:ind w:right="320"/>
              <w:spacing w:after="0"/>
              <w:rPr>
                <w:sz w:val="20"/>
                <w:szCs w:val="20"/>
                <w:color w:val="auto"/>
              </w:rPr>
            </w:pPr>
            <w:r>
              <w:rPr>
                <w:rFonts w:ascii="Arial" w:cs="Arial" w:eastAsia="Arial" w:hAnsi="Arial"/>
                <w:sz w:val="14"/>
                <w:szCs w:val="14"/>
                <w:b w:val="1"/>
                <w:bCs w:val="1"/>
                <w:color w:val="706F6F"/>
              </w:rPr>
              <w:t>CIC</w:t>
            </w:r>
          </w:p>
        </w:tc>
        <w:tc>
          <w:tcPr>
            <w:tcW w:w="18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DDR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3"/>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471,349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471,349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1"/>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6"/>
        </w:trPr>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471,349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85" w:lineRule="exact"/>
        <w:rPr>
          <w:sz w:val="20"/>
          <w:szCs w:val="20"/>
          <w:color w:val="auto"/>
        </w:rPr>
      </w:pPr>
    </w:p>
    <w:p>
      <w:pPr>
        <w:ind w:left="260" w:hanging="252"/>
        <w:spacing w:after="0" w:line="248"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Reflects the value of unvested phantom units and performance share awards as of December 31, 2024 that would be accelerated as a result of the separation event based on Civeo’s share price of $22.72, which was the closing market price of Civeo’s common shares on December 31, 2024. For performance shares, the payout is assumed at target level. In addition, the amounts reported in the “Stock Awards” row would be realized by the NEOs in the event of the occurrence of a Change of Control (even without the occurrence of a qualified termination if the awards are not assumed by the successor in the Change of Control transaction) or upon the NEO’s death or disability, in each case, occurring on December 31, 2024. The treatment of Performance Share Awards during a Change of Control is described more fully under “Compensation Program Components—Other Items - - Executive and Change of Control Agreements".</w:t>
      </w:r>
    </w:p>
    <w:p>
      <w:pPr>
        <w:spacing w:after="0" w:line="89" w:lineRule="exact"/>
        <w:rPr>
          <w:rFonts w:ascii="Arial" w:cs="Arial" w:eastAsia="Arial" w:hAnsi="Arial"/>
          <w:sz w:val="19"/>
          <w:szCs w:val="19"/>
          <w:color w:val="auto"/>
          <w:vertAlign w:val="superscript"/>
        </w:rPr>
      </w:pPr>
    </w:p>
    <w:p>
      <w:pPr>
        <w:ind w:left="260" w:right="380" w:hanging="252"/>
        <w:spacing w:after="0" w:line="231"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Reflects the estimated lump-sum present value of all future premiums which would be paid on behalf of the NEO under Civeo’s health and welfare benefit plans for the applicable continuation period specified in the applicable Executive or Change of Control Agreement or Retention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159385</wp:posOffset>
            </wp:positionV>
            <wp:extent cx="394335" cy="1968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7" w:lineRule="exact"/>
        <w:rPr>
          <w:sz w:val="20"/>
          <w:szCs w:val="20"/>
          <w:color w:val="auto"/>
        </w:rPr>
      </w:pPr>
    </w:p>
    <w:p>
      <w:pPr>
        <w:ind w:left="260" w:right="480" w:hanging="252"/>
        <w:spacing w:after="0" w:line="231" w:lineRule="auto"/>
        <w:tabs>
          <w:tab w:leader="none" w:pos="264"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Reflects the maximum amount of outplacement assistance that would be provided for the NEO pursuant to the applicable Executive Agreement or Change of Control Agreement.</w:t>
      </w:r>
    </w:p>
    <w:p>
      <w:pPr>
        <w:spacing w:after="0" w:line="93" w:lineRule="exact"/>
        <w:rPr>
          <w:rFonts w:ascii="Arial" w:cs="Arial" w:eastAsia="Arial" w:hAnsi="Arial"/>
          <w:sz w:val="19"/>
          <w:szCs w:val="19"/>
          <w:color w:val="auto"/>
          <w:vertAlign w:val="superscript"/>
        </w:rPr>
      </w:pPr>
    </w:p>
    <w:p>
      <w:pPr>
        <w:ind w:left="260" w:right="100" w:hanging="252"/>
        <w:spacing w:after="0" w:line="222" w:lineRule="auto"/>
        <w:tabs>
          <w:tab w:leader="none" w:pos="264"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and Outplacement Assistance for Mr. McCann would be paid in Australian dollars and are reflected in this table in U.S. dollars using the average exchange rate for 2024 of $0.6597.</w:t>
      </w: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Ratio Disclosure</w:t>
      </w:r>
    </w:p>
    <w:p>
      <w:pPr>
        <w:spacing w:after="0" w:line="14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2024 annual total compensation of our median compensated employee was $54,733. Mr. Dodson’s 2024 annual total compensation was $3,887,328 and the ratio of these two amounts was 71:1.</w:t>
      </w:r>
    </w:p>
    <w:p>
      <w:pPr>
        <w:spacing w:after="0" w:line="6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We identified the median-compensated employee from our employee population as of December 31, 2024 using base salary or wages and overtime paid during fiscal 2024, which we annualized for any permanent employee who was not employed for the entire year. We calculated the 2024 annual total compensation of the median-compensated employee in accordance with the requirements of Item 402(c)(2)(x) of Regulation S-K. The 2024 annual total compensation of Mr. Dodson is the amount reported in the “Total” column of the Summary Compensation Table for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Disclosure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Pay Versus Performance Table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discussed in the Compensation Discussion and Analysis above, our Compensation Committee has implemented an executive compensation program designed to link a substantial portion of our NEOs' realized compensation to the achievement of our financial, operational, and strategic objectives, and to align our executive pay with changes in the value of our shareholders’ investments. The following table sets forth additional compensation information for our NEOs, calculated in accordance with SEC regulations, for each of 2020 through 2024.</w:t>
      </w:r>
    </w:p>
    <w:p>
      <w:pPr>
        <w:spacing w:after="0" w:line="249"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706F6F"/>
              </w:rPr>
              <w:t>Value of Initial Fixed $100</w:t>
            </w:r>
          </w:p>
        </w:tc>
        <w:tc>
          <w:tcPr>
            <w:tcW w:w="2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706F6F"/>
              </w:rPr>
              <w:t>Financial Performance</w:t>
            </w:r>
          </w:p>
        </w:tc>
      </w:tr>
      <w:tr>
        <w:trPr>
          <w:trHeight w:val="172"/>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706F6F"/>
              </w:rPr>
              <w:t>Investment Based On:</w:t>
            </w:r>
          </w:p>
        </w:tc>
        <w:tc>
          <w:tcPr>
            <w:tcW w:w="2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706F6F"/>
                <w:w w:val="96"/>
              </w:rPr>
              <w:t>Measures ($'s in thousands):</w:t>
            </w:r>
          </w:p>
        </w:tc>
      </w:tr>
      <w:tr>
        <w:trPr>
          <w:trHeight w:val="22"/>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Summary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706F6F"/>
                <w:w w:val="96"/>
              </w:rPr>
              <w:t>Average Summary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Average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20"/>
              <w:spacing w:after="0" w:line="165" w:lineRule="exact"/>
              <w:rPr>
                <w:sz w:val="20"/>
                <w:szCs w:val="20"/>
                <w:color w:val="auto"/>
              </w:rPr>
            </w:pPr>
            <w:r>
              <w:rPr>
                <w:rFonts w:ascii="Arial" w:cs="Arial" w:eastAsia="Arial" w:hAnsi="Arial"/>
                <w:sz w:val="13"/>
                <w:szCs w:val="13"/>
                <w:b w:val="1"/>
                <w:bCs w:val="1"/>
                <w:color w:val="706F6F"/>
                <w:w w:val="95"/>
              </w:rPr>
              <w:t>Peer Group</w:t>
            </w:r>
            <w:r>
              <w:rPr>
                <w:rFonts w:ascii="Arial" w:cs="Arial" w:eastAsia="Arial" w:hAnsi="Arial"/>
                <w:sz w:val="16"/>
                <w:szCs w:val="16"/>
                <w:b w:val="1"/>
                <w:bCs w:val="1"/>
                <w:color w:val="706F6F"/>
                <w:w w:val="95"/>
                <w:vertAlign w:val="superscript"/>
              </w:rPr>
              <w:t>(3)</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8"/>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w w:val="97"/>
              </w:rPr>
              <w:t>Compensation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w w:val="99"/>
              </w:rPr>
              <w:t>Compensation</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706F6F"/>
              </w:rPr>
              <w:t>Total</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Total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2"/>
        </w:trPr>
        <w:tc>
          <w:tcPr>
            <w:tcW w:w="44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706F6F"/>
              </w:rPr>
              <w:t>Table Total for Mr.</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w w:val="96"/>
              </w:rPr>
              <w:t>Actually Paid to</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rPr>
              <w:t>Table Total for</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w w:val="94"/>
              </w:rPr>
              <w:t>Actually Paid to</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706F6F"/>
              </w:rPr>
              <w:t>Shareholder</w:t>
            </w:r>
          </w:p>
        </w:tc>
        <w:tc>
          <w:tcPr>
            <w:tcW w:w="1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Shareholder</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706F6F"/>
              </w:rPr>
              <w:t>Adjusted</w:t>
            </w:r>
          </w:p>
        </w:tc>
      </w:tr>
      <w:tr>
        <w:trPr>
          <w:trHeight w:val="211"/>
        </w:trPr>
        <w:tc>
          <w:tcPr>
            <w:tcW w:w="44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Year</w:t>
            </w:r>
          </w:p>
        </w:tc>
        <w:tc>
          <w:tcPr>
            <w:tcW w:w="280" w:type="dxa"/>
            <w:vAlign w:val="bottom"/>
            <w:tcBorders>
              <w:bottom w:val="single" w:sz="8" w:color="006DB6"/>
            </w:tcBorders>
          </w:tcPr>
          <w:p>
            <w:pPr>
              <w:spacing w:after="0"/>
              <w:rPr>
                <w:sz w:val="18"/>
                <w:szCs w:val="18"/>
                <w:color w:val="auto"/>
              </w:rPr>
            </w:pP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Dodson</w:t>
            </w:r>
          </w:p>
        </w:tc>
        <w:tc>
          <w:tcPr>
            <w:tcW w:w="14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Mr. Dodson </w:t>
            </w:r>
            <w:r>
              <w:rPr>
                <w:rFonts w:ascii="Arial" w:cs="Arial" w:eastAsia="Arial" w:hAnsi="Arial"/>
                <w:sz w:val="16"/>
                <w:szCs w:val="16"/>
                <w:b w:val="1"/>
                <w:bCs w:val="1"/>
                <w:color w:val="706F6F"/>
                <w:vertAlign w:val="superscript"/>
              </w:rPr>
              <w:t>(1)</w:t>
            </w:r>
          </w:p>
        </w:tc>
        <w:tc>
          <w:tcPr>
            <w:tcW w:w="20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other NEOs</w:t>
            </w:r>
          </w:p>
        </w:tc>
        <w:tc>
          <w:tcPr>
            <w:tcW w:w="140" w:type="dxa"/>
            <w:vAlign w:val="bottom"/>
            <w:tcBorders>
              <w:bottom w:val="single" w:sz="8" w:color="006DB6"/>
            </w:tcBorders>
          </w:tcPr>
          <w:p>
            <w:pPr>
              <w:spacing w:after="0"/>
              <w:rPr>
                <w:sz w:val="18"/>
                <w:szCs w:val="18"/>
                <w:color w:val="auto"/>
              </w:rPr>
            </w:pP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other NEOs </w:t>
            </w:r>
            <w:r>
              <w:rPr>
                <w:rFonts w:ascii="Arial" w:cs="Arial" w:eastAsia="Arial" w:hAnsi="Arial"/>
                <w:sz w:val="16"/>
                <w:szCs w:val="16"/>
                <w:b w:val="1"/>
                <w:bCs w:val="1"/>
                <w:color w:val="706F6F"/>
                <w:vertAlign w:val="superscript"/>
              </w:rPr>
              <w:t>(1)</w:t>
            </w:r>
          </w:p>
        </w:tc>
        <w:tc>
          <w:tcPr>
            <w:tcW w:w="240" w:type="dxa"/>
            <w:vAlign w:val="bottom"/>
            <w:tcBorders>
              <w:bottom w:val="single" w:sz="8" w:color="006DB6"/>
            </w:tcBorders>
          </w:tcPr>
          <w:p>
            <w:pPr>
              <w:spacing w:after="0"/>
              <w:rPr>
                <w:sz w:val="18"/>
                <w:szCs w:val="18"/>
                <w:color w:val="auto"/>
              </w:rPr>
            </w:pPr>
          </w:p>
        </w:tc>
        <w:tc>
          <w:tcPr>
            <w:tcW w:w="84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Return </w:t>
            </w:r>
            <w:r>
              <w:rPr>
                <w:rFonts w:ascii="Arial" w:cs="Arial" w:eastAsia="Arial" w:hAnsi="Arial"/>
                <w:sz w:val="16"/>
                <w:szCs w:val="16"/>
                <w:b w:val="1"/>
                <w:bCs w:val="1"/>
                <w:color w:val="706F6F"/>
                <w:vertAlign w:val="superscript"/>
              </w:rPr>
              <w:t>(2)</w:t>
            </w:r>
          </w:p>
        </w:tc>
        <w:tc>
          <w:tcPr>
            <w:tcW w:w="160" w:type="dxa"/>
            <w:vAlign w:val="bottom"/>
            <w:tcBorders>
              <w:bottom w:val="single" w:sz="8" w:color="006DB6"/>
            </w:tcBorders>
          </w:tcPr>
          <w:p>
            <w:pPr>
              <w:spacing w:after="0"/>
              <w:rPr>
                <w:sz w:val="18"/>
                <w:szCs w:val="18"/>
                <w:color w:val="auto"/>
              </w:rPr>
            </w:pPr>
          </w:p>
        </w:tc>
        <w:tc>
          <w:tcPr>
            <w:tcW w:w="940" w:type="dxa"/>
            <w:vAlign w:val="bottom"/>
            <w:tcBorders>
              <w:bottom w:val="single" w:sz="8" w:color="006DB6"/>
            </w:tcBorders>
            <w:gridSpan w:val="2"/>
          </w:tcPr>
          <w:p>
            <w:pPr>
              <w:jc w:val="right"/>
              <w:ind w:right="120"/>
              <w:spacing w:after="0"/>
              <w:rPr>
                <w:sz w:val="20"/>
                <w:szCs w:val="20"/>
                <w:color w:val="auto"/>
              </w:rPr>
            </w:pPr>
            <w:r>
              <w:rPr>
                <w:rFonts w:ascii="Arial" w:cs="Arial" w:eastAsia="Arial" w:hAnsi="Arial"/>
                <w:sz w:val="13"/>
                <w:szCs w:val="13"/>
                <w:b w:val="1"/>
                <w:bCs w:val="1"/>
                <w:color w:val="706F6F"/>
              </w:rPr>
              <w:t>Return</w:t>
            </w:r>
          </w:p>
        </w:tc>
        <w:tc>
          <w:tcPr>
            <w:tcW w:w="200" w:type="dxa"/>
            <w:vAlign w:val="bottom"/>
            <w:tcBorders>
              <w:bottom w:val="single" w:sz="8" w:color="006DB6"/>
            </w:tcBorders>
          </w:tcPr>
          <w:p>
            <w:pPr>
              <w:spacing w:after="0"/>
              <w:rPr>
                <w:sz w:val="18"/>
                <w:szCs w:val="18"/>
                <w:color w:val="auto"/>
              </w:rPr>
            </w:pPr>
          </w:p>
        </w:tc>
        <w:tc>
          <w:tcPr>
            <w:tcW w:w="8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Net income</w:t>
            </w:r>
          </w:p>
        </w:tc>
        <w:tc>
          <w:tcPr>
            <w:tcW w:w="200" w:type="dxa"/>
            <w:vAlign w:val="bottom"/>
            <w:tcBorders>
              <w:bottom w:val="single" w:sz="8" w:color="006DB6"/>
            </w:tcBorders>
          </w:tcPr>
          <w:p>
            <w:pPr>
              <w:spacing w:after="0"/>
              <w:rPr>
                <w:sz w:val="18"/>
                <w:szCs w:val="18"/>
                <w:color w:val="auto"/>
              </w:rPr>
            </w:pPr>
          </w:p>
        </w:tc>
        <w:tc>
          <w:tcPr>
            <w:tcW w:w="70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EBITDA </w:t>
            </w:r>
            <w:r>
              <w:rPr>
                <w:rFonts w:ascii="Arial" w:cs="Arial" w:eastAsia="Arial" w:hAnsi="Arial"/>
                <w:sz w:val="16"/>
                <w:szCs w:val="16"/>
                <w:b w:val="1"/>
                <w:bCs w:val="1"/>
                <w:color w:val="706F6F"/>
                <w:vertAlign w:val="superscript"/>
              </w:rPr>
              <w:t>(4)</w:t>
            </w:r>
          </w:p>
        </w:tc>
      </w:tr>
      <w:tr>
        <w:trPr>
          <w:trHeight w:val="208"/>
        </w:trPr>
        <w:tc>
          <w:tcPr>
            <w:tcW w:w="44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3,887,328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3,275,141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1,092,021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893,890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156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(17,067)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79,937</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2"/>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6,311,862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2,111,457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1,743,879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799,567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30,157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102,034</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1"/>
        </w:trPr>
        <w:tc>
          <w:tcPr>
            <w:tcW w:w="44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4,717,785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7,588,418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1,479,626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2,103,054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201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3,997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112,769</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2"/>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5,058,691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5,758,550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1,419,852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1,553,294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1,350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109,140</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2"/>
        </w:trPr>
        <w:tc>
          <w:tcPr>
            <w:tcW w:w="44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2,970,075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3,119,918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902,522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948,035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(134,250)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108,142</w:t>
            </w:r>
          </w:p>
        </w:tc>
      </w:tr>
    </w:tbl>
    <w:p>
      <w:pPr>
        <w:spacing w:after="0" w:line="215" w:lineRule="exact"/>
        <w:rPr>
          <w:sz w:val="20"/>
          <w:szCs w:val="20"/>
          <w:color w:val="auto"/>
        </w:rPr>
      </w:pPr>
    </w:p>
    <w:p>
      <w:pPr>
        <w:ind w:left="260" w:right="100" w:hanging="252"/>
        <w:spacing w:after="0"/>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Amounts represent compensation “actually paid” to our Principal Executive Officer ("PEO"), Mr. Dodson, and the average compensation actually paid to our remaining NEOs for the relevant fiscal year, as determined under SEC rules (and described for 2024 below), which includes the individuals indicated in the table below for each fiscal year:</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420" w:type="dxa"/>
            <w:vAlign w:val="bottom"/>
          </w:tcPr>
          <w:p>
            <w:pPr>
              <w:ind w:left="20"/>
              <w:spacing w:after="0"/>
              <w:rPr>
                <w:sz w:val="20"/>
                <w:szCs w:val="20"/>
                <w:color w:val="auto"/>
              </w:rPr>
            </w:pPr>
            <w:r>
              <w:rPr>
                <w:rFonts w:ascii="Arial" w:cs="Arial" w:eastAsia="Arial" w:hAnsi="Arial"/>
                <w:sz w:val="13"/>
                <w:szCs w:val="13"/>
                <w:b w:val="1"/>
                <w:bCs w:val="1"/>
                <w:color w:val="706F6F"/>
              </w:rPr>
              <w:t>Year</w:t>
            </w:r>
          </w:p>
        </w:tc>
        <w:tc>
          <w:tcPr>
            <w:tcW w:w="2140" w:type="dxa"/>
            <w:vAlign w:val="bottom"/>
          </w:tcPr>
          <w:p>
            <w:pPr>
              <w:ind w:left="740"/>
              <w:spacing w:after="0"/>
              <w:rPr>
                <w:sz w:val="20"/>
                <w:szCs w:val="20"/>
                <w:color w:val="auto"/>
              </w:rPr>
            </w:pPr>
            <w:r>
              <w:rPr>
                <w:rFonts w:ascii="Arial" w:cs="Arial" w:eastAsia="Arial" w:hAnsi="Arial"/>
                <w:sz w:val="13"/>
                <w:szCs w:val="13"/>
                <w:b w:val="1"/>
                <w:bCs w:val="1"/>
                <w:color w:val="706F6F"/>
              </w:rPr>
              <w:t>PEO</w:t>
            </w:r>
          </w:p>
        </w:tc>
        <w:tc>
          <w:tcPr>
            <w:tcW w:w="8080" w:type="dxa"/>
            <w:vAlign w:val="bottom"/>
          </w:tcPr>
          <w:p>
            <w:pPr>
              <w:jc w:val="right"/>
              <w:spacing w:after="0"/>
              <w:rPr>
                <w:sz w:val="20"/>
                <w:szCs w:val="20"/>
                <w:color w:val="auto"/>
              </w:rPr>
            </w:pPr>
            <w:r>
              <w:rPr>
                <w:rFonts w:ascii="Arial" w:cs="Arial" w:eastAsia="Arial" w:hAnsi="Arial"/>
                <w:sz w:val="13"/>
                <w:szCs w:val="13"/>
                <w:b w:val="1"/>
                <w:bCs w:val="1"/>
                <w:color w:val="706F6F"/>
              </w:rPr>
              <w:t>other NEOs</w:t>
            </w:r>
          </w:p>
        </w:tc>
      </w:tr>
      <w:tr>
        <w:trPr>
          <w:trHeight w:val="29"/>
        </w:trPr>
        <w:tc>
          <w:tcPr>
            <w:tcW w:w="420" w:type="dxa"/>
            <w:vAlign w:val="bottom"/>
            <w:tcBorders>
              <w:bottom w:val="single" w:sz="8" w:color="006DB6"/>
            </w:tcBorders>
          </w:tcPr>
          <w:p>
            <w:pPr>
              <w:spacing w:after="0"/>
              <w:rPr>
                <w:sz w:val="2"/>
                <w:szCs w:val="2"/>
                <w:color w:val="auto"/>
              </w:rPr>
            </w:pPr>
          </w:p>
        </w:tc>
        <w:tc>
          <w:tcPr>
            <w:tcW w:w="2140" w:type="dxa"/>
            <w:vAlign w:val="bottom"/>
            <w:tcBorders>
              <w:bottom w:val="single" w:sz="8" w:color="006DB6"/>
            </w:tcBorders>
          </w:tcPr>
          <w:p>
            <w:pPr>
              <w:spacing w:after="0"/>
              <w:rPr>
                <w:sz w:val="2"/>
                <w:szCs w:val="2"/>
                <w:color w:val="auto"/>
              </w:rPr>
            </w:pPr>
          </w:p>
        </w:tc>
        <w:tc>
          <w:tcPr>
            <w:tcW w:w="8080" w:type="dxa"/>
            <w:vAlign w:val="bottom"/>
            <w:tcBorders>
              <w:bottom w:val="single" w:sz="8" w:color="006DB6"/>
            </w:tcBorders>
          </w:tcPr>
          <w:p>
            <w:pPr>
              <w:spacing w:after="0"/>
              <w:rPr>
                <w:sz w:val="2"/>
                <w:szCs w:val="2"/>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2024</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Barclay H. Brewer, Andrew S. Fraser, E. Collin Gerry, 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2"/>
        </w:trPr>
        <w:tc>
          <w:tcPr>
            <w:tcW w:w="420" w:type="dxa"/>
            <w:vAlign w:val="bottom"/>
          </w:tcPr>
          <w:p>
            <w:pPr>
              <w:ind w:left="20"/>
              <w:spacing w:after="0"/>
              <w:rPr>
                <w:sz w:val="20"/>
                <w:szCs w:val="20"/>
                <w:color w:val="auto"/>
              </w:rPr>
            </w:pPr>
            <w:r>
              <w:rPr>
                <w:rFonts w:ascii="Arial" w:cs="Arial" w:eastAsia="Arial" w:hAnsi="Arial"/>
                <w:sz w:val="14"/>
                <w:szCs w:val="14"/>
                <w:color w:val="auto"/>
              </w:rPr>
              <w:t>2023</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2022</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2021</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r>
      <w:tr>
        <w:trPr>
          <w:trHeight w:val="201"/>
        </w:trPr>
        <w:tc>
          <w:tcPr>
            <w:tcW w:w="420" w:type="dxa"/>
            <w:vAlign w:val="bottom"/>
          </w:tcPr>
          <w:p>
            <w:pPr>
              <w:ind w:left="20"/>
              <w:spacing w:after="0"/>
              <w:rPr>
                <w:sz w:val="20"/>
                <w:szCs w:val="20"/>
                <w:color w:val="auto"/>
              </w:rPr>
            </w:pPr>
            <w:r>
              <w:rPr>
                <w:rFonts w:ascii="Arial" w:cs="Arial" w:eastAsia="Arial" w:hAnsi="Arial"/>
                <w:sz w:val="14"/>
                <w:szCs w:val="14"/>
                <w:color w:val="auto"/>
              </w:rPr>
              <w:t>2020</w:t>
            </w:r>
          </w:p>
        </w:tc>
        <w:tc>
          <w:tcPr>
            <w:tcW w:w="2140" w:type="dxa"/>
            <w:vAlign w:val="bottom"/>
          </w:tcPr>
          <w:p>
            <w:pPr>
              <w:ind w:left="100"/>
              <w:spacing w:after="0"/>
              <w:rPr>
                <w:sz w:val="20"/>
                <w:szCs w:val="20"/>
                <w:color w:val="auto"/>
              </w:rPr>
            </w:pPr>
            <w:r>
              <w:rPr>
                <w:rFonts w:ascii="Arial" w:cs="Arial" w:eastAsia="Arial" w:hAnsi="Arial"/>
                <w:sz w:val="14"/>
                <w:szCs w:val="14"/>
                <w:color w:val="auto"/>
              </w:rPr>
              <w:t>Bradley J. Dodson</w:t>
            </w:r>
          </w:p>
        </w:tc>
        <w:tc>
          <w:tcPr>
            <w:tcW w:w="8080" w:type="dxa"/>
            <w:vAlign w:val="bottom"/>
          </w:tcPr>
          <w:p>
            <w:pPr>
              <w:jc w:val="right"/>
              <w:spacing w:after="0"/>
              <w:rPr>
                <w:sz w:val="20"/>
                <w:szCs w:val="20"/>
                <w:color w:val="auto"/>
              </w:rPr>
            </w:pPr>
            <w:r>
              <w:rPr>
                <w:rFonts w:ascii="Arial" w:cs="Arial" w:eastAsia="Arial" w:hAnsi="Arial"/>
                <w:sz w:val="14"/>
                <w:szCs w:val="14"/>
                <w:color w:val="auto"/>
              </w:rPr>
              <w:t>Peter L. McCann, Allan D. Schoening and Carolyn J. Stone</w:t>
            </w:r>
          </w:p>
        </w:tc>
      </w:tr>
    </w:tbl>
    <w:p>
      <w:pPr>
        <w:spacing w:after="0" w:line="196" w:lineRule="exact"/>
        <w:rPr>
          <w:sz w:val="20"/>
          <w:szCs w:val="20"/>
          <w:color w:val="auto"/>
        </w:rPr>
      </w:pPr>
    </w:p>
    <w:p>
      <w:pPr>
        <w:ind w:left="260" w:right="20"/>
        <w:spacing w:after="0" w:line="242" w:lineRule="auto"/>
        <w:rPr>
          <w:sz w:val="20"/>
          <w:szCs w:val="20"/>
          <w:color w:val="auto"/>
        </w:rPr>
      </w:pPr>
      <w:r>
        <w:rPr>
          <w:rFonts w:ascii="Arial" w:cs="Arial" w:eastAsia="Arial" w:hAnsi="Arial"/>
          <w:sz w:val="16"/>
          <w:szCs w:val="16"/>
          <w:color w:val="auto"/>
        </w:rPr>
        <w:t>Compensation actually paid to our NEOs represents the “Total” compensation reported in the Summary Compensation Table for the applicable fiscal year adjusted in accordance with SEC rules, as set forth for 2024 in the table below. The dollar amounts shown do not reflect the value of compensation actually received by our NEOs during the applicable year. Instead, the dollar amounts include the values (or changes in value) of unvested and vested equity awards during the applicable year based on year-end share prices, vesting date share prices, various accounting valuation assumptions and projected performance related to our performance-based shares. "Compensation actually paid", determined in accordance with SEC rules, will generally fluctuate due to share price achievement and varying levels of projected and actual achievement of performance goals applicable to our performance-based shares. For a discussion of how our Compensation Committee assesses performance and our NEOs' pay each year, please see the Compensation Discussion and Analysis in the annual proxy statement for each of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609600</wp:posOffset>
            </wp:positionV>
            <wp:extent cx="394335"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color w:val="auto"/>
              </w:rPr>
              <w:t>Average of other</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PEO</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NEOs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b w:val="1"/>
                <w:bCs w:val="1"/>
                <w:color w:val="706F6F"/>
              </w:rPr>
              <w:t>2024</w:t>
            </w:r>
          </w:p>
        </w:tc>
        <w:tc>
          <w:tcPr>
            <w:tcW w:w="72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706F6F"/>
              </w:rPr>
              <w:t>2024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160" w:type="dxa"/>
            <w:vAlign w:val="bottom"/>
            <w:tcBorders>
              <w:bottom w:val="single" w:sz="8" w:color="006DB6"/>
            </w:tcBorders>
          </w:tcPr>
          <w:p>
            <w:pPr>
              <w:spacing w:after="0"/>
              <w:rPr>
                <w:sz w:val="2"/>
                <w:szCs w:val="2"/>
                <w:color w:val="auto"/>
              </w:rPr>
            </w:pPr>
          </w:p>
        </w:tc>
        <w:tc>
          <w:tcPr>
            <w:tcW w:w="1020" w:type="dxa"/>
            <w:vAlign w:val="bottom"/>
            <w:tcBorders>
              <w:bottom w:val="single" w:sz="8" w:color="006DB6"/>
            </w:tcBorders>
          </w:tcPr>
          <w:p>
            <w:pPr>
              <w:spacing w:after="0"/>
              <w:rPr>
                <w:sz w:val="2"/>
                <w:szCs w:val="2"/>
                <w:color w:val="auto"/>
              </w:rPr>
            </w:pPr>
          </w:p>
        </w:tc>
        <w:tc>
          <w:tcPr>
            <w:tcW w:w="280" w:type="dxa"/>
            <w:vAlign w:val="bottom"/>
            <w:tcBorders>
              <w:bottom w:val="single" w:sz="8" w:color="006DB6"/>
            </w:tcBorders>
          </w:tcPr>
          <w:p>
            <w:pPr>
              <w:spacing w:after="0"/>
              <w:rPr>
                <w:sz w:val="2"/>
                <w:szCs w:val="2"/>
                <w:color w:val="auto"/>
              </w:rPr>
            </w:pPr>
          </w:p>
        </w:tc>
        <w:tc>
          <w:tcPr>
            <w:tcW w:w="340" w:type="dxa"/>
            <w:vAlign w:val="bottom"/>
            <w:tcBorders>
              <w:bottom w:val="single" w:sz="8" w:color="006DB6"/>
            </w:tcBorders>
          </w:tcPr>
          <w:p>
            <w:pPr>
              <w:spacing w:after="0"/>
              <w:rPr>
                <w:sz w:val="2"/>
                <w:szCs w:val="2"/>
                <w:color w:val="auto"/>
              </w:rPr>
            </w:pPr>
          </w:p>
        </w:tc>
        <w:tc>
          <w:tcPr>
            <w:tcW w:w="720" w:type="dxa"/>
            <w:vAlign w:val="bottom"/>
            <w:tcBorders>
              <w:bottom w:val="single" w:sz="8" w:color="006DB6"/>
            </w:tcBorders>
          </w:tcPr>
          <w:p>
            <w:pPr>
              <w:spacing w:after="0"/>
              <w:rPr>
                <w:sz w:val="2"/>
                <w:szCs w:val="2"/>
                <w:color w:val="auto"/>
              </w:rPr>
            </w:pPr>
          </w:p>
        </w:tc>
        <w:tc>
          <w:tcPr>
            <w:tcW w:w="220" w:type="dxa"/>
            <w:vAlign w:val="bottom"/>
            <w:tcBorders>
              <w:bottom w:val="single" w:sz="8" w:color="006DB6"/>
            </w:tcBorders>
          </w:tcPr>
          <w:p>
            <w:pPr>
              <w:spacing w:after="0"/>
              <w:rPr>
                <w:sz w:val="2"/>
                <w:szCs w:val="2"/>
                <w:color w:val="auto"/>
              </w:rPr>
            </w:pPr>
          </w:p>
        </w:tc>
        <w:tc>
          <w:tcPr>
            <w:tcW w:w="280" w:type="dxa"/>
            <w:vAlign w:val="bottom"/>
            <w:tcBorders>
              <w:bottom w:val="single" w:sz="8" w:color="006DB6"/>
            </w:tcBorders>
          </w:tcPr>
          <w:p>
            <w:pPr>
              <w:spacing w:after="0"/>
              <w:rPr>
                <w:sz w:val="2"/>
                <w:szCs w:val="2"/>
                <w:color w:val="auto"/>
              </w:rPr>
            </w:pPr>
          </w:p>
        </w:tc>
        <w:tc>
          <w:tcPr>
            <w:tcW w:w="380" w:type="dxa"/>
            <w:vAlign w:val="bottom"/>
            <w:tcBorders>
              <w:bottom w:val="single" w:sz="8" w:color="006DB6"/>
            </w:tcBorders>
          </w:tcPr>
          <w:p>
            <w:pPr>
              <w:spacing w:after="0"/>
              <w:rPr>
                <w:sz w:val="2"/>
                <w:szCs w:val="2"/>
                <w:color w:val="auto"/>
              </w:rPr>
            </w:pPr>
          </w:p>
        </w:tc>
        <w:tc>
          <w:tcPr>
            <w:tcW w:w="680" w:type="dxa"/>
            <w:vAlign w:val="bottom"/>
            <w:tcBorders>
              <w:bottom w:val="single" w:sz="8" w:color="006DB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Summary Compensation Table Total</w:t>
            </w:r>
          </w:p>
        </w:tc>
        <w:tc>
          <w:tcPr>
            <w:tcW w:w="10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3,887,328</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1,092,021</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Grant Date Fair Value of Stock Awards Granted in Fiscal Year Reported in Summary</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w w:val="99"/>
              </w:rPr>
              <w:t>(2,559,331)</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(412,480)</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Compensation Table</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8"/>
              </w:rPr>
              <w:t>Fair Value at Fiscal Year-End of Outstanding and Unvested Stock Awards Granted in Fiscal</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2,133,573</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365,335</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9"/>
              </w:rPr>
              <w:t>Change in Fair Value from Prior Fiscal Year-End to Current Fiscal Year-End of Outstanding</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(170,516)</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(23,289)</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and Unvested Stock Awards Granted in Prior Fiscal Years</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w w:val="97"/>
              </w:rPr>
              <w:t>Change in Fair Value from Prior Fiscal Year-End to Vesting Date of Stock Awards Granted in</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(582)</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Prior Years for which Applicable Vesting Conditions were Satisfied During Fiscal 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Fair Value at Prior Fiscal Year-End of Stock Awards Granted in Prior Years that were</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(42,179)</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(131,261)</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Forfeited During Fiscal Year</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Value of Dividends or Other Earnings Paid on Stock Awards in Fiscal Year Not Otherwise</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706F6F"/>
              </w:rPr>
              <w:t>plus / (minus)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26,848</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4,676</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Included in Summary Compensation Table</w:t>
            </w: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rPr>
                <w:sz w:val="20"/>
                <w:szCs w:val="20"/>
                <w:color w:val="auto"/>
              </w:rPr>
            </w:pPr>
            <w:r>
              <w:rPr>
                <w:rFonts w:ascii="Arial" w:cs="Arial" w:eastAsia="Arial" w:hAnsi="Arial"/>
                <w:sz w:val="12"/>
                <w:szCs w:val="12"/>
                <w:b w:val="1"/>
                <w:bCs w:val="1"/>
                <w:color w:val="706F6F"/>
              </w:rPr>
              <w:t>Compensation Actually Paid</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706F6F"/>
              </w:rPr>
              <w:t>equals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3,275,141</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893,890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Adjustments for stock options are not included as the NEOs do not have any outstanding options, and Civeo has not issued any options since it became an independent, publicly traded company in 2014. Adjustments for pension plans are not included as the Company does not offer a pension plan for which the NEOs are eligible.</w:t>
      </w:r>
    </w:p>
    <w:p>
      <w:pPr>
        <w:spacing w:after="0" w:line="82" w:lineRule="exact"/>
        <w:rPr>
          <w:sz w:val="20"/>
          <w:szCs w:val="20"/>
          <w:color w:val="auto"/>
        </w:rPr>
      </w:pPr>
    </w:p>
    <w:p>
      <w:pPr>
        <w:ind w:left="260" w:right="120" w:hanging="252"/>
        <w:spacing w:after="0" w:line="231" w:lineRule="auto"/>
        <w:tabs>
          <w:tab w:leader="none" w:pos="264"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TSR represents cumulative TSR on an initial base investment of $100 for the measurement periods beginning on December 31, 2019 and ending on December 31 of each of 2020, 2021, 2022, 2023 and 2024.</w:t>
      </w:r>
    </w:p>
    <w:p>
      <w:pPr>
        <w:spacing w:after="0" w:line="80"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5"/>
        </w:numPr>
        <w:rPr>
          <w:rFonts w:ascii="Arial" w:cs="Arial" w:eastAsia="Arial" w:hAnsi="Arial"/>
          <w:sz w:val="9"/>
          <w:szCs w:val="9"/>
          <w:color w:val="auto"/>
        </w:rPr>
      </w:pPr>
      <w:r>
        <w:rPr>
          <w:rFonts w:ascii="Arial" w:cs="Arial" w:eastAsia="Arial" w:hAnsi="Arial"/>
          <w:sz w:val="14"/>
          <w:szCs w:val="14"/>
          <w:color w:val="auto"/>
        </w:rPr>
        <w:t>For each relevant fiscal year, represents the cumulative TSR (the "Peer Group TSR") of the PHLX Oil Service Sector Index.</w:t>
      </w:r>
    </w:p>
    <w:p>
      <w:pPr>
        <w:spacing w:after="0" w:line="122" w:lineRule="exact"/>
        <w:rPr>
          <w:rFonts w:ascii="Arial" w:cs="Arial" w:eastAsia="Arial" w:hAnsi="Arial"/>
          <w:sz w:val="9"/>
          <w:szCs w:val="9"/>
          <w:color w:val="auto"/>
        </w:rPr>
      </w:pPr>
    </w:p>
    <w:p>
      <w:pPr>
        <w:ind w:left="260" w:right="360" w:hanging="252"/>
        <w:spacing w:after="0" w:line="305" w:lineRule="auto"/>
        <w:tabs>
          <w:tab w:leader="none" w:pos="264" w:val="left"/>
        </w:tabs>
        <w:numPr>
          <w:ilvl w:val="0"/>
          <w:numId w:val="55"/>
        </w:numPr>
        <w:rPr>
          <w:rFonts w:ascii="Arial" w:cs="Arial" w:eastAsia="Arial" w:hAnsi="Arial"/>
          <w:sz w:val="9"/>
          <w:szCs w:val="9"/>
          <w:color w:val="auto"/>
        </w:rPr>
      </w:pPr>
      <w:r>
        <w:rPr>
          <w:rFonts w:ascii="Arial" w:cs="Arial" w:eastAsia="Arial" w:hAnsi="Arial"/>
          <w:sz w:val="14"/>
          <w:szCs w:val="14"/>
          <w:color w:val="auto"/>
        </w:rPr>
        <w:t>Adjusted EBITDA is a non-GAAP measure. Please see Appendix A for further information including a reconciliation of Adjusted EBITDA to the most comparable GAAP measure.</w:t>
      </w:r>
    </w:p>
    <w:p>
      <w:pPr>
        <w:spacing w:after="0" w:line="20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Relationship Graphs</w:t>
      </w:r>
    </w:p>
    <w:p>
      <w:pPr>
        <w:spacing w:after="0" w:line="14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following provides a graphical depiction of the relationships between compensation actually paid to our PEO and the average of the compensation actually paid to our remaining NEOs, and our cumulative TSR and Peer Group TSR, for each of the five years in the period ended December 31, 2024. 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966460" cy="31800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646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charts compare each of our key financial results for the last five fiscal years to compensation actually paid to our PEO and, on average, to our other NEOs for each of the five fiscal years in the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966460" cy="7398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66460" cy="739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Tabular Disclosure</w:t>
      </w:r>
    </w:p>
    <w:p>
      <w:pPr>
        <w:spacing w:after="0" w:line="14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list includes the most important financial and non-financial measures used to link executive compensation and Civeo's performance during the fiscal year ended December 31, 2024.</w:t>
      </w:r>
    </w:p>
    <w:p>
      <w:pPr>
        <w:spacing w:after="0" w:line="61" w:lineRule="exact"/>
        <w:rPr>
          <w:sz w:val="20"/>
          <w:szCs w:val="20"/>
          <w:color w:val="auto"/>
        </w:rPr>
      </w:pPr>
    </w:p>
    <w:p>
      <w:pPr>
        <w:ind w:left="860" w:hanging="155"/>
        <w:spacing w:after="0"/>
        <w:tabs>
          <w:tab w:leader="none" w:pos="86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AICP EBITDA</w:t>
      </w:r>
    </w:p>
    <w:p>
      <w:pPr>
        <w:spacing w:after="0" w:line="113" w:lineRule="exact"/>
        <w:rPr>
          <w:rFonts w:ascii="Arial" w:cs="Arial" w:eastAsia="Arial" w:hAnsi="Arial"/>
          <w:sz w:val="16"/>
          <w:szCs w:val="16"/>
          <w:color w:val="006DB6"/>
        </w:rPr>
      </w:pPr>
    </w:p>
    <w:p>
      <w:pPr>
        <w:ind w:left="860" w:hanging="155"/>
        <w:spacing w:after="0"/>
        <w:tabs>
          <w:tab w:leader="none" w:pos="86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Cash flows provided by operating activities</w:t>
      </w:r>
    </w:p>
    <w:p>
      <w:pPr>
        <w:spacing w:after="0" w:line="113" w:lineRule="exact"/>
        <w:rPr>
          <w:rFonts w:ascii="Arial" w:cs="Arial" w:eastAsia="Arial" w:hAnsi="Arial"/>
          <w:sz w:val="16"/>
          <w:szCs w:val="16"/>
          <w:color w:val="006DB6"/>
        </w:rPr>
      </w:pPr>
    </w:p>
    <w:p>
      <w:pPr>
        <w:ind w:left="860" w:hanging="155"/>
        <w:spacing w:after="0"/>
        <w:tabs>
          <w:tab w:leader="none" w:pos="86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Relative TSR</w:t>
      </w:r>
    </w:p>
    <w:p>
      <w:pPr>
        <w:spacing w:after="0" w:line="126" w:lineRule="exact"/>
        <w:rPr>
          <w:rFonts w:ascii="Arial" w:cs="Arial" w:eastAsia="Arial" w:hAnsi="Arial"/>
          <w:sz w:val="16"/>
          <w:szCs w:val="16"/>
          <w:color w:val="006DB6"/>
        </w:rPr>
      </w:pPr>
    </w:p>
    <w:p>
      <w:pPr>
        <w:ind w:left="860" w:hanging="155"/>
        <w:spacing w:after="0"/>
        <w:tabs>
          <w:tab w:leader="none" w:pos="86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Safety - TRIR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45"/>
          <w:szCs w:val="45"/>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5568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3</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2025 and the internal control over financial reporting of Civeo at December 31, 2025. E&amp;Y has audited Civeo’s, or its predecessor’s, as applicable, consolidated financial statements beginning with the year ended December 31, 2010 through the year ended December 31, 2024. Our board of directors is asking shareholders to ratify the appointment of E&amp;Y as Civeo’s auditors for the year ending December 31, 2025 and until the next annual general meeting of shareholders and to authorize the directors, acting through the Audit Committee, to determine the remuneration to be paid to E&amp;Y for 2025. If the appointment is not ratified, the Audit Committee will consider whether it is appropriate to appoint another independent registered public accounting firm for 2026. Even if the selection is ratified, the Audit Committee in its discretion may appoint a different independent registered public accounting firm at any time during the year.</w:t>
      </w:r>
    </w:p>
    <w:p>
      <w:pPr>
        <w:spacing w:after="0" w:line="6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27, 2025.</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058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332" w:lineRule="exact"/>
        <w:rPr>
          <w:sz w:val="20"/>
          <w:szCs w:val="20"/>
          <w:color w:val="auto"/>
        </w:rPr>
      </w:pPr>
    </w:p>
    <w:p>
      <w:pPr>
        <w:ind w:left="160" w:right="160"/>
        <w:spacing w:after="0" w:line="265" w:lineRule="auto"/>
        <w:rPr>
          <w:sz w:val="20"/>
          <w:szCs w:val="20"/>
          <w:color w:val="auto"/>
        </w:rPr>
      </w:pPr>
      <w:r>
        <w:rPr>
          <w:rFonts w:ascii="Arial" w:cs="Arial" w:eastAsia="Arial" w:hAnsi="Arial"/>
          <w:sz w:val="16"/>
          <w:szCs w:val="16"/>
          <w:color w:val="auto"/>
        </w:rPr>
        <w:t xml:space="preserve">The board of directors recommends that shareholders vote “ </w:t>
      </w:r>
      <w:r>
        <w:rPr>
          <w:rFonts w:ascii="Arial" w:cs="Arial" w:eastAsia="Arial" w:hAnsi="Arial"/>
          <w:sz w:val="16"/>
          <w:szCs w:val="16"/>
          <w:b w:val="1"/>
          <w:bCs w:val="1"/>
          <w:color w:val="006DB6"/>
        </w:rPr>
        <w:t>FOR</w:t>
      </w:r>
      <w:r>
        <w:rPr>
          <w:rFonts w:ascii="Arial" w:cs="Arial" w:eastAsia="Arial" w:hAnsi="Arial"/>
          <w:sz w:val="16"/>
          <w:szCs w:val="16"/>
          <w:color w:val="auto"/>
        </w:rPr>
        <w:t>” the ratification of the appointment of E&amp;Y as Civeo’s independent registered public accounting firm for the year ending December 31, 2025 and until the next annual general meeting of shareholders and the authorization of the directors of Civeo, acting through the Audit Committee, to determine the remuneration to be paid to E&amp;Y for 2025.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2024 and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20" w:type="dxa"/>
            <w:vAlign w:val="bottom"/>
            <w:tcBorders>
              <w:bottom w:val="single" w:sz="8" w:color="006DB6"/>
            </w:tcBorders>
          </w:tcPr>
          <w:p>
            <w:pPr>
              <w:spacing w:after="0"/>
              <w:rPr>
                <w:sz w:val="19"/>
                <w:szCs w:val="19"/>
                <w:color w:val="auto"/>
              </w:rPr>
            </w:pPr>
          </w:p>
        </w:tc>
        <w:tc>
          <w:tcPr>
            <w:tcW w:w="260" w:type="dxa"/>
            <w:vAlign w:val="bottom"/>
            <w:tcBorders>
              <w:bottom w:val="single" w:sz="8" w:color="006DB6"/>
            </w:tcBorders>
          </w:tcPr>
          <w:p>
            <w:pPr>
              <w:spacing w:after="0"/>
              <w:rPr>
                <w:sz w:val="19"/>
                <w:szCs w:val="19"/>
                <w:color w:val="auto"/>
              </w:rPr>
            </w:pPr>
          </w:p>
        </w:tc>
        <w:tc>
          <w:tcPr>
            <w:tcW w:w="64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2024</w:t>
            </w:r>
          </w:p>
        </w:tc>
        <w:tc>
          <w:tcPr>
            <w:tcW w:w="1120" w:type="dxa"/>
            <w:vAlign w:val="bottom"/>
            <w:tcBorders>
              <w:bottom w:val="single" w:sz="8" w:color="006DB6"/>
            </w:tcBorders>
            <w:gridSpan w:val="2"/>
          </w:tcPr>
          <w:p>
            <w:pPr>
              <w:ind w:left="400"/>
              <w:spacing w:after="0"/>
              <w:rPr>
                <w:sz w:val="20"/>
                <w:szCs w:val="20"/>
                <w:color w:val="auto"/>
              </w:rPr>
            </w:pPr>
            <w:r>
              <w:rPr>
                <w:rFonts w:ascii="Arial" w:cs="Arial" w:eastAsia="Arial" w:hAnsi="Arial"/>
                <w:sz w:val="14"/>
                <w:szCs w:val="14"/>
                <w:b w:val="1"/>
                <w:bCs w:val="1"/>
                <w:color w:val="706F6F"/>
              </w:rPr>
              <w:t>2023</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1,928</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1,933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891540</wp:posOffset>
            </wp:positionV>
            <wp:extent cx="394335" cy="1968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 Fees</w:t>
      </w:r>
    </w:p>
    <w:p>
      <w:pPr>
        <w:spacing w:after="0" w:line="14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Audit-Related Fees</w:t>
      </w:r>
    </w:p>
    <w:p>
      <w:pPr>
        <w:spacing w:after="0" w:line="14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 with acquisitions and internal control reviews.</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Tax Fees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professional services provided for tax compliance, tax advice and tax planning, except those rendered in connection with the audit.</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All Other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for access to an accounting research tool.</w:t>
      </w: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Pre-Approval Policy</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so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Chief Accounting Officer.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2024 and 2023 were pre-approved in accordance with our pre-approval policy. None of the services related to the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Chief Accounting Officer to encourage compliance with independence regulations.</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Report</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board of directors appointed the undersigned independent directors as members of the Audit Committee and adopted a written charter setting forth the procedures and responsibilities of the committee. Responsibilities of the Audit Committee include overseeing the integrity of Civeo's financial statements and effectiveness of internal control over financial reporting, as well as overseeing risks related to the financial reporting process, regulatory compliance, litigation and cybersecurity, among other things.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During 2024, and earlier in 2025 in preparation for the filing with the SEC of Civeo’s Annual Report on Form 10-K for the year ended December 31, 2024,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70" w:lineRule="exact"/>
        <w:rPr>
          <w:sz w:val="20"/>
          <w:szCs w:val="20"/>
          <w:color w:val="auto"/>
        </w:rPr>
      </w:pPr>
    </w:p>
    <w:p>
      <w:pPr>
        <w:ind w:left="200" w:right="320" w:hanging="192"/>
        <w:spacing w:after="0" w:line="299"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reviewed and discussed with management and E&amp;Y (1) the audited annual financial statements and quarterly financial statements, (2) related periodic reports filed with the SEC and (3) quarterly earnings press releases;</w:t>
      </w: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reviewed the overall scope and plans for the audit and the results of E&amp;Y’s examinations;</w:t>
      </w:r>
    </w:p>
    <w:p>
      <w:pPr>
        <w:spacing w:after="0" w:line="86" w:lineRule="exact"/>
        <w:rPr>
          <w:rFonts w:ascii="Arial" w:cs="Arial" w:eastAsia="Arial" w:hAnsi="Arial"/>
          <w:sz w:val="16"/>
          <w:szCs w:val="16"/>
          <w:color w:val="006DB6"/>
        </w:rPr>
      </w:pPr>
    </w:p>
    <w:p>
      <w:pPr>
        <w:ind w:left="200" w:right="280" w:hanging="192"/>
        <w:spacing w:after="0" w:line="275"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spacing w:after="0" w:line="15" w:lineRule="exact"/>
        <w:rPr>
          <w:rFonts w:ascii="Arial" w:cs="Arial" w:eastAsia="Arial" w:hAnsi="Arial"/>
          <w:sz w:val="16"/>
          <w:szCs w:val="16"/>
          <w:color w:val="006DB6"/>
        </w:rPr>
      </w:pPr>
    </w:p>
    <w:p>
      <w:pPr>
        <w:ind w:left="200" w:right="660" w:hanging="192"/>
        <w:spacing w:after="0" w:line="304"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spacing w:after="0" w:line="6" w:lineRule="exact"/>
        <w:rPr>
          <w:rFonts w:ascii="Arial" w:cs="Arial" w:eastAsia="Arial" w:hAnsi="Arial"/>
          <w:sz w:val="16"/>
          <w:szCs w:val="16"/>
          <w:color w:val="006DB6"/>
        </w:rPr>
      </w:pPr>
    </w:p>
    <w:p>
      <w:pPr>
        <w:ind w:left="200" w:right="360" w:hanging="192"/>
        <w:spacing w:after="0" w:line="286"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received the written disclosures and the letter from E&amp;Y required by applicable requirements of the PCAOB regarding E&amp;Y’s communications with the Audit Committee concerning independence;</w:t>
      </w:r>
    </w:p>
    <w:p>
      <w:pPr>
        <w:spacing w:after="0" w:line="20" w:lineRule="exact"/>
        <w:rPr>
          <w:rFonts w:ascii="Arial" w:cs="Arial" w:eastAsia="Arial" w:hAnsi="Arial"/>
          <w:sz w:val="16"/>
          <w:szCs w:val="16"/>
          <w:color w:val="006DB6"/>
        </w:rPr>
      </w:pPr>
    </w:p>
    <w:p>
      <w:pPr>
        <w:ind w:left="200" w:right="20" w:hanging="192"/>
        <w:spacing w:after="0" w:line="265"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spacing w:after="0" w:line="37" w:lineRule="exact"/>
        <w:rPr>
          <w:rFonts w:ascii="Arial" w:cs="Arial" w:eastAsia="Arial" w:hAnsi="Arial"/>
          <w:sz w:val="16"/>
          <w:szCs w:val="16"/>
          <w:color w:val="006DB6"/>
        </w:rPr>
      </w:pPr>
    </w:p>
    <w:p>
      <w:pPr>
        <w:ind w:left="200" w:right="100" w:hanging="192"/>
        <w:spacing w:after="0" w:line="266"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2024 for filing with the SEC; and</w:t>
      </w:r>
    </w:p>
    <w:p>
      <w:pPr>
        <w:spacing w:after="0" w:line="36" w:lineRule="exact"/>
        <w:rPr>
          <w:rFonts w:ascii="Arial" w:cs="Arial" w:eastAsia="Arial" w:hAnsi="Arial"/>
          <w:sz w:val="16"/>
          <w:szCs w:val="16"/>
          <w:color w:val="006DB6"/>
        </w:rPr>
      </w:pPr>
    </w:p>
    <w:p>
      <w:pPr>
        <w:ind w:left="200" w:right="40" w:hanging="192"/>
        <w:spacing w:after="0" w:line="275" w:lineRule="auto"/>
        <w:tabs>
          <w:tab w:leader="none" w:pos="17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spacing w:after="0" w:line="5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2024 and on the representations of the independent auditors included in their report on Civeo’s financial statements.</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8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i w:val="1"/>
          <w:iCs w:val="1"/>
          <w:color w:val="006DB6"/>
        </w:rPr>
        <w:t>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 Ronald Blankenship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Jay K. Grewal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773430</wp:posOffset>
            </wp:positionV>
            <wp:extent cx="394335" cy="1968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Delinquent Section 16(a) Reports</w:t>
      </w:r>
    </w:p>
    <w:p>
      <w:pPr>
        <w:spacing w:after="0" w:line="14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and other equity securities. Section 16 Reporting Persons are required by SEC regulations to furnish Civeo with copies of all Section 16(a) reports they file.</w:t>
      </w:r>
    </w:p>
    <w:p>
      <w:pPr>
        <w:spacing w:after="0" w:line="17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Based solely on information provided to the Company by individual directors and executive officers, the Company believes that, during fiscal year ended December 31, 2024, all filing requirements applicable to directors and executive officers have been complied with in a timely manner, except that Barclay Brewer filed one Form 4 late with respect to an additional grant of phantom shares tied to his promotion to Chief Accounting Officer and Andrew Fraser filed one Form 4 late with respect to a grant of phantom shares tied to his appointment as President of Canada. The phantom shares are payable in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right="980"/>
        <w:spacing w:after="0" w:line="298" w:lineRule="auto"/>
        <w:rPr>
          <w:sz w:val="20"/>
          <w:szCs w:val="20"/>
          <w:color w:val="auto"/>
        </w:rPr>
      </w:pPr>
      <w:r>
        <w:rPr>
          <w:rFonts w:ascii="Arial" w:cs="Arial" w:eastAsia="Arial" w:hAnsi="Arial"/>
          <w:sz w:val="45"/>
          <w:szCs w:val="45"/>
          <w:b w:val="1"/>
          <w:bCs w:val="1"/>
          <w:color w:val="006DB6"/>
        </w:rPr>
        <w:t>Security Ownership of Management and Certain Beneficial Owners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Civeo with respect to the beneficial ownership of Civeo’s shares as of March 17, 2025 by:</w:t>
      </w:r>
    </w:p>
    <w:p>
      <w:pPr>
        <w:spacing w:after="0" w:line="127"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006DB6"/>
        </w:rPr>
      </w:pPr>
      <w:r>
        <w:rPr>
          <w:rFonts w:ascii="Arial" w:cs="Arial" w:eastAsia="Arial" w:hAnsi="Arial"/>
          <w:sz w:val="16"/>
          <w:szCs w:val="16"/>
          <w:color w:val="auto"/>
        </w:rPr>
        <w:t>each shareholder known by Civeo to own more than 5% of Civeo’s outstanding shares;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58"/>
        </w:numPr>
        <w:rPr>
          <w:rFonts w:ascii="Arial" w:cs="Arial" w:eastAsia="Arial" w:hAnsi="Arial"/>
          <w:sz w:val="16"/>
          <w:szCs w:val="16"/>
          <w:color w:val="006DB6"/>
        </w:rPr>
      </w:pPr>
      <w:r>
        <w:rPr>
          <w:rFonts w:ascii="Arial" w:cs="Arial" w:eastAsia="Arial" w:hAnsi="Arial"/>
          <w:sz w:val="16"/>
          <w:szCs w:val="16"/>
          <w:color w:val="auto"/>
        </w:rPr>
        <w:t>each of Civeo’s current directors;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8"/>
        </w:numPr>
        <w:rPr>
          <w:rFonts w:ascii="Arial" w:cs="Arial" w:eastAsia="Arial" w:hAnsi="Arial"/>
          <w:sz w:val="16"/>
          <w:szCs w:val="16"/>
          <w:color w:val="006DB6"/>
        </w:rPr>
      </w:pPr>
      <w:r>
        <w:rPr>
          <w:rFonts w:ascii="Arial" w:cs="Arial" w:eastAsia="Arial" w:hAnsi="Arial"/>
          <w:sz w:val="16"/>
          <w:szCs w:val="16"/>
          <w:color w:val="auto"/>
        </w:rPr>
        <w:t>each of Civeo’s named executive officers;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8"/>
        </w:numPr>
        <w:rPr>
          <w:rFonts w:ascii="Arial" w:cs="Arial" w:eastAsia="Arial" w:hAnsi="Arial"/>
          <w:sz w:val="16"/>
          <w:szCs w:val="16"/>
          <w:color w:val="006DB6"/>
        </w:rPr>
      </w:pPr>
      <w:r>
        <w:rPr>
          <w:rFonts w:ascii="Arial" w:cs="Arial" w:eastAsia="Arial" w:hAnsi="Arial"/>
          <w:sz w:val="16"/>
          <w:szCs w:val="16"/>
          <w:color w:val="auto"/>
        </w:rPr>
        <w:t>all of Civeo’s current directors and executive officers as a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Unvested performance awards for Civeo's executive officers are not included in this table.</w:t>
      </w:r>
    </w:p>
    <w:p>
      <w:pPr>
        <w:spacing w:after="0" w:line="8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3140" w:type="dxa"/>
            <w:vAlign w:val="bottom"/>
            <w:tcBorders>
              <w:bottom w:val="single" w:sz="8" w:color="006DB6"/>
            </w:tcBorders>
            <w:gridSpan w:val="2"/>
          </w:tcPr>
          <w:p>
            <w:pPr>
              <w:jc w:val="right"/>
              <w:ind w:right="759"/>
              <w:spacing w:after="0"/>
              <w:rPr>
                <w:sz w:val="20"/>
                <w:szCs w:val="20"/>
                <w:color w:val="auto"/>
              </w:rPr>
            </w:pPr>
            <w:r>
              <w:rPr>
                <w:rFonts w:ascii="Arial" w:cs="Arial" w:eastAsia="Arial" w:hAnsi="Arial"/>
                <w:sz w:val="14"/>
                <w:szCs w:val="14"/>
                <w:b w:val="1"/>
                <w:bCs w:val="1"/>
                <w:color w:val="70706F"/>
              </w:rPr>
              <w:t>Beneficial Ownership</w:t>
            </w:r>
          </w:p>
        </w:tc>
        <w:tc>
          <w:tcPr>
            <w:tcW w:w="0" w:type="dxa"/>
            <w:vAlign w:val="bottom"/>
          </w:tcPr>
          <w:p>
            <w:pPr>
              <w:spacing w:after="0"/>
              <w:rPr>
                <w:sz w:val="1"/>
                <w:szCs w:val="1"/>
                <w:color w:val="auto"/>
              </w:rPr>
            </w:pPr>
          </w:p>
        </w:tc>
      </w:tr>
      <w:tr>
        <w:trPr>
          <w:trHeight w:val="180"/>
        </w:trPr>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70706F"/>
              </w:rPr>
              <w:t>Name and Address of Beneficial Owners</w:t>
            </w:r>
            <w:r>
              <w:rPr>
                <w:rFonts w:ascii="Arial" w:cs="Arial" w:eastAsia="Arial" w:hAnsi="Arial"/>
                <w:sz w:val="18"/>
                <w:szCs w:val="18"/>
                <w:b w:val="1"/>
                <w:bCs w:val="1"/>
                <w:color w:val="70706F"/>
                <w:vertAlign w:val="superscript"/>
              </w:rPr>
              <w:t>(1)</w:t>
            </w:r>
          </w:p>
        </w:tc>
        <w:tc>
          <w:tcPr>
            <w:tcW w:w="1860" w:type="dxa"/>
            <w:vAlign w:val="bottom"/>
          </w:tcPr>
          <w:p>
            <w:pPr>
              <w:jc w:val="right"/>
              <w:ind w:right="300"/>
              <w:spacing w:after="0"/>
              <w:rPr>
                <w:sz w:val="20"/>
                <w:szCs w:val="20"/>
                <w:color w:val="auto"/>
              </w:rPr>
            </w:pPr>
            <w:r>
              <w:rPr>
                <w:rFonts w:ascii="Arial" w:cs="Arial" w:eastAsia="Arial" w:hAnsi="Arial"/>
                <w:sz w:val="14"/>
                <w:szCs w:val="14"/>
                <w:b w:val="1"/>
                <w:bCs w:val="1"/>
                <w:color w:val="70706F"/>
              </w:rPr>
              <w:t>Common</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70706F"/>
              </w:rPr>
              <w:t>Percentage</w:t>
            </w:r>
            <w:r>
              <w:rPr>
                <w:rFonts w:ascii="Arial" w:cs="Arial" w:eastAsia="Arial" w:hAnsi="Arial"/>
                <w:sz w:val="18"/>
                <w:szCs w:val="18"/>
                <w:b w:val="1"/>
                <w:bCs w:val="1"/>
                <w:color w:val="70706F"/>
                <w:vertAlign w:val="superscript"/>
              </w:rPr>
              <w:t>(2)</w:t>
            </w:r>
          </w:p>
        </w:tc>
        <w:tc>
          <w:tcPr>
            <w:tcW w:w="0" w:type="dxa"/>
            <w:vAlign w:val="bottom"/>
          </w:tcPr>
          <w:p>
            <w:pPr>
              <w:spacing w:after="0"/>
              <w:rPr>
                <w:sz w:val="1"/>
                <w:szCs w:val="1"/>
                <w:color w:val="auto"/>
              </w:rPr>
            </w:pPr>
          </w:p>
        </w:tc>
      </w:tr>
      <w:tr>
        <w:trPr>
          <w:trHeight w:val="232"/>
        </w:trPr>
        <w:tc>
          <w:tcPr>
            <w:tcW w:w="8100" w:type="dxa"/>
            <w:vAlign w:val="bottom"/>
            <w:tcBorders>
              <w:bottom w:val="single" w:sz="8" w:color="006DB6"/>
            </w:tcBorders>
            <w:vMerge w:val="continue"/>
          </w:tcPr>
          <w:p>
            <w:pPr>
              <w:spacing w:after="0"/>
              <w:rPr>
                <w:sz w:val="20"/>
                <w:szCs w:val="20"/>
                <w:color w:val="auto"/>
              </w:rPr>
            </w:pPr>
          </w:p>
        </w:tc>
        <w:tc>
          <w:tcPr>
            <w:tcW w:w="186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706F"/>
              </w:rPr>
              <w:t>Shares</w:t>
            </w:r>
          </w:p>
        </w:tc>
        <w:tc>
          <w:tcPr>
            <w:tcW w:w="1280" w:type="dxa"/>
            <w:vAlign w:val="bottom"/>
            <w:tcBorders>
              <w:bottom w:val="single" w:sz="8" w:color="006DB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line="216" w:lineRule="exact"/>
              <w:rPr>
                <w:sz w:val="20"/>
                <w:szCs w:val="20"/>
                <w:color w:val="auto"/>
              </w:rPr>
            </w:pPr>
            <w:r>
              <w:rPr>
                <w:rFonts w:ascii="Arial" w:cs="Arial" w:eastAsia="Arial" w:hAnsi="Arial"/>
                <w:sz w:val="16"/>
                <w:szCs w:val="16"/>
                <w:b w:val="1"/>
                <w:bCs w:val="1"/>
                <w:color w:val="006DB6"/>
              </w:rPr>
              <w:t>Horizon Kinetics Asset Management LLC</w:t>
            </w:r>
            <w:r>
              <w:rPr>
                <w:rFonts w:ascii="Arial" w:cs="Arial" w:eastAsia="Arial" w:hAnsi="Arial"/>
                <w:sz w:val="21"/>
                <w:szCs w:val="21"/>
                <w:b w:val="1"/>
                <w:bCs w:val="1"/>
                <w:color w:val="006DB6"/>
                <w:vertAlign w:val="superscript"/>
              </w:rPr>
              <w:t>(3)</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3,064,019</w:t>
            </w:r>
          </w:p>
        </w:tc>
        <w:tc>
          <w:tcPr>
            <w:tcW w:w="1280" w:type="dxa"/>
            <w:vAlign w:val="bottom"/>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470 Park Avenue South, 4th Floor South</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New York, NY 10016</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8100" w:type="dxa"/>
            <w:vAlign w:val="bottom"/>
            <w:tcBorders>
              <w:bottom w:val="single" w:sz="8" w:color="006DB6"/>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line="216" w:lineRule="exact"/>
              <w:rPr>
                <w:sz w:val="20"/>
                <w:szCs w:val="20"/>
                <w:color w:val="auto"/>
              </w:rPr>
            </w:pPr>
            <w:r>
              <w:rPr>
                <w:rFonts w:ascii="Arial" w:cs="Arial" w:eastAsia="Arial" w:hAnsi="Arial"/>
                <w:sz w:val="16"/>
                <w:szCs w:val="16"/>
                <w:b w:val="1"/>
                <w:bCs w:val="1"/>
                <w:color w:val="006DB6"/>
              </w:rPr>
              <w:t>Engine Capital LP</w:t>
            </w:r>
            <w:r>
              <w:rPr>
                <w:rFonts w:ascii="Arial" w:cs="Arial" w:eastAsia="Arial" w:hAnsi="Arial"/>
                <w:sz w:val="21"/>
                <w:szCs w:val="21"/>
                <w:b w:val="1"/>
                <w:bCs w:val="1"/>
                <w:color w:val="006DB6"/>
                <w:vertAlign w:val="superscript"/>
              </w:rPr>
              <w:t>(4)</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1,279,056</w:t>
            </w:r>
          </w:p>
        </w:tc>
        <w:tc>
          <w:tcPr>
            <w:tcW w:w="128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1345 6th Ave, 33rd Floor</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New York, NY 10105</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The TCW Group Inc</w:t>
            </w:r>
            <w:r>
              <w:rPr>
                <w:rFonts w:ascii="Arial" w:cs="Arial" w:eastAsia="Arial" w:hAnsi="Arial"/>
                <w:sz w:val="21"/>
                <w:szCs w:val="21"/>
                <w:b w:val="1"/>
                <w:bCs w:val="1"/>
                <w:color w:val="006DB6"/>
                <w:vertAlign w:val="superscript"/>
              </w:rPr>
              <w:t>(5)</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744,535</w:t>
            </w:r>
          </w:p>
        </w:tc>
        <w:tc>
          <w:tcPr>
            <w:tcW w:w="128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515 South Flower Street</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Los Angeles, CA 90071</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58,635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249,932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Collin Gerry</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2,132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Andrew Fraser</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51,981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9,115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42,749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Schoening</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16,146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44,801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21,487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60,157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21,487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40,338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44,842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36,859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current directors and executive officers as a group (13 persons)</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641,766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9"/>
          <w:szCs w:val="9"/>
          <w:color w:val="auto"/>
        </w:rPr>
      </w:pPr>
      <w:r>
        <w:rPr>
          <w:rFonts w:ascii="Arial" w:cs="Arial" w:eastAsia="Arial" w:hAnsi="Arial"/>
          <w:sz w:val="14"/>
          <w:szCs w:val="14"/>
          <w:color w:val="auto"/>
        </w:rPr>
        <w:t>Less than one percent.</w:t>
      </w:r>
    </w:p>
    <w:p>
      <w:pPr>
        <w:spacing w:after="0" w:line="82"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9"/>
          <w:szCs w:val="9"/>
          <w:color w:val="auto"/>
        </w:rPr>
      </w:pPr>
      <w:r>
        <w:rPr>
          <w:rFonts w:ascii="Arial" w:cs="Arial" w:eastAsia="Arial" w:hAnsi="Arial"/>
          <w:sz w:val="14"/>
          <w:szCs w:val="14"/>
          <w:color w:val="auto"/>
        </w:rPr>
        <w:t>Unless otherwise indicated, the address of each beneficial owner is c/o Civeo Corporation, Three Allen Center, 333 Clay Street, Suite 4400, Houston, Texas 77002.</w:t>
      </w:r>
    </w:p>
    <w:p>
      <w:pPr>
        <w:spacing w:after="0" w:line="122" w:lineRule="exact"/>
        <w:rPr>
          <w:rFonts w:ascii="Arial" w:cs="Arial" w:eastAsia="Arial" w:hAnsi="Arial"/>
          <w:sz w:val="9"/>
          <w:szCs w:val="9"/>
          <w:color w:val="auto"/>
        </w:rPr>
      </w:pPr>
    </w:p>
    <w:p>
      <w:pPr>
        <w:ind w:left="260" w:right="240" w:hanging="252"/>
        <w:spacing w:after="0" w:line="231" w:lineRule="auto"/>
        <w:tabs>
          <w:tab w:leader="none" w:pos="264"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Based on total shares outstanding of 13,549,417 as of March 17, 2025 and the number of shares that could be issued upon the exercise of outstanding options held by a person that are currently exercisable.</w:t>
      </w:r>
    </w:p>
    <w:p>
      <w:pPr>
        <w:spacing w:after="0" w:line="93" w:lineRule="exact"/>
        <w:rPr>
          <w:rFonts w:ascii="Arial" w:cs="Arial" w:eastAsia="Arial" w:hAnsi="Arial"/>
          <w:sz w:val="19"/>
          <w:szCs w:val="19"/>
          <w:color w:val="auto"/>
          <w:vertAlign w:val="superscript"/>
        </w:rPr>
      </w:pPr>
    </w:p>
    <w:p>
      <w:pPr>
        <w:ind w:left="260" w:right="180" w:hanging="252"/>
        <w:spacing w:after="0" w:line="231" w:lineRule="auto"/>
        <w:tabs>
          <w:tab w:leader="none" w:pos="264"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pursuant to the Exchange Act on February 13, 2025, as of December 31, 2024, Horizon Kinetics Asset Management LLC has beneficial ownership of 3,064,019 shares and sole voting and dispositive power over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159385</wp:posOffset>
            </wp:positionV>
            <wp:extent cx="394335" cy="1968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68" w:name="page69"/>
    <w:bookmarkEnd w:id="68"/>
    <w:p>
      <w:pPr>
        <w:ind w:left="260" w:hanging="252"/>
        <w:spacing w:after="0" w:line="236" w:lineRule="auto"/>
        <w:tabs>
          <w:tab w:leader="none" w:pos="264"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Based on a Schedule 13D/A filed pursuant to the Exchange Act on March 6, 2025, as of March 4, 2025, filed by Engine Capital, L.P. ("Engine Capital"); Engine Jet Capital, L.P. ("Engine Jet"); Engine Lift Capital, LP ("Engine Lift"); Engine Capital Management, LP ("Engine Management"); Engine Capital Management GP, LLC ("Engine GP"); Engine Investments, LLC ("Engine Investments"); Engine Investments II, LLC ("Engine Investments II"); and Arnaud Ajdler. Engine Management, as the investment manager of each of Engine Capital, Engine Jet and Engine Lift, may be deemed to have beneficial ownership of 1,279,056 shares owned in the aggregate by Engine Capital, Engine Jet and Engine Lift and sole voting and dispositive power of those shares. Engine GP, as the general partner of Engine Management, may be deemed to have beneficial ownership of 1,279,056 shares owned in the aggregate by Engine Capital, Engine Jet and Engine Lift and sole voting and dispositive power of those shares. Mr. Ajdler, as the managing partner of Engine Management and the managing member of each of Engine GP, Engine Investments and Engine Investments II, may be deemed to have beneficial ownership of 1,279,056 shares owned in the aggregate by Engine Capital, Engine Jet and Engine Lift and sole voting and dispositive power of those shares. Engine Investments, as the general partner of each of Engine Capital and Engine Jet, may be deemed to beneficially own the 1,170,043 shares owned in the aggregate by Engine Capital and Engine Jet and sole voting and dispositive power of those shares. Engine Capital directly owns 1,063,230 shares and has sole voting and dispositive power of those shares. Engine Lift directly owns 109,013 shares and has sole voting and dispositive power of those shares. Engine Investments II, as the general partner of Engine Lift, may be deemed to have beneficial ownership of the 109,013 shares owned by Engine Lift and sole voting and dispositive power of those shares. Engine Jet directly owns 106,813 shares and has sole voting and dispositive power of those shares.</w:t>
      </w:r>
    </w:p>
    <w:p>
      <w:pPr>
        <w:spacing w:after="0" w:line="234" w:lineRule="exact"/>
        <w:rPr>
          <w:rFonts w:ascii="Arial" w:cs="Arial" w:eastAsia="Arial" w:hAnsi="Arial"/>
          <w:sz w:val="19"/>
          <w:szCs w:val="19"/>
          <w:color w:val="auto"/>
          <w:vertAlign w:val="superscript"/>
        </w:rPr>
      </w:pPr>
    </w:p>
    <w:p>
      <w:pPr>
        <w:ind w:left="260" w:right="160" w:hanging="252"/>
        <w:spacing w:after="0" w:line="231" w:lineRule="auto"/>
        <w:tabs>
          <w:tab w:leader="none" w:pos="264"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 filed pursuant to the Exchange Act on February 12, 2024, as of December 31, 2023, The TCW Group, Inc. has beneficial ownership of 744,535 shares and shared voting and dispositive power over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spacing w:after="0"/>
        <w:rPr>
          <w:sz w:val="20"/>
          <w:szCs w:val="20"/>
          <w:color w:val="auto"/>
        </w:rPr>
      </w:pPr>
      <w:r>
        <w:rPr>
          <w:rFonts w:ascii="Arial" w:cs="Arial" w:eastAsia="Arial" w:hAnsi="Arial"/>
          <w:sz w:val="45"/>
          <w:szCs w:val="45"/>
          <w:b w:val="1"/>
          <w:bCs w:val="1"/>
          <w:color w:val="006DB6"/>
        </w:rPr>
        <w:t>Additional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 about the Annual General Meeting</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appendices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Why am I receiving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During the annual general meeting, you will be asked to vote on several proposals, including:</w:t>
      </w:r>
    </w:p>
    <w:p>
      <w:pPr>
        <w:spacing w:after="0" w:line="113"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006DB6"/>
        </w:rPr>
      </w:pPr>
      <w:r>
        <w:rPr>
          <w:rFonts w:ascii="Arial" w:cs="Arial" w:eastAsia="Arial" w:hAnsi="Arial"/>
          <w:sz w:val="16"/>
          <w:szCs w:val="16"/>
          <w:color w:val="auto"/>
        </w:rPr>
        <w:t>the election of three persons as Class II members of Civeo’s board of directors: Richard A. Navarre, Martin A. Lambert and Constance B. Moore;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62"/>
        </w:numPr>
        <w:rPr>
          <w:rFonts w:ascii="Arial" w:cs="Arial" w:eastAsia="Arial" w:hAnsi="Arial"/>
          <w:sz w:val="16"/>
          <w:szCs w:val="16"/>
          <w:color w:val="006DB6"/>
        </w:rPr>
      </w:pPr>
      <w:r>
        <w:rPr>
          <w:rFonts w:ascii="Arial" w:cs="Arial" w:eastAsia="Arial" w:hAnsi="Arial"/>
          <w:sz w:val="16"/>
          <w:szCs w:val="16"/>
          <w:color w:val="auto"/>
        </w:rPr>
        <w:t>the approval, on an advisory basis, of the compensation of Civeo’s named executive officers;</w:t>
      </w:r>
    </w:p>
    <w:p>
      <w:pPr>
        <w:spacing w:after="0" w:line="113" w:lineRule="exact"/>
        <w:rPr>
          <w:rFonts w:ascii="Arial" w:cs="Arial" w:eastAsia="Arial" w:hAnsi="Arial"/>
          <w:sz w:val="16"/>
          <w:szCs w:val="16"/>
          <w:color w:val="006DB6"/>
        </w:rPr>
      </w:pPr>
    </w:p>
    <w:p>
      <w:pPr>
        <w:ind w:left="200" w:right="120" w:hanging="192"/>
        <w:spacing w:after="0" w:line="275" w:lineRule="auto"/>
        <w:tabs>
          <w:tab w:leader="none" w:pos="170" w:val="left"/>
        </w:tabs>
        <w:numPr>
          <w:ilvl w:val="0"/>
          <w:numId w:val="62"/>
        </w:numPr>
        <w:rPr>
          <w:rFonts w:ascii="Arial" w:cs="Arial" w:eastAsia="Arial" w:hAnsi="Arial"/>
          <w:sz w:val="16"/>
          <w:szCs w:val="16"/>
          <w:color w:val="006DB6"/>
        </w:rPr>
      </w:pPr>
      <w:r>
        <w:rPr>
          <w:rFonts w:ascii="Arial" w:cs="Arial" w:eastAsia="Arial" w:hAnsi="Arial"/>
          <w:sz w:val="16"/>
          <w:szCs w:val="16"/>
          <w:color w:val="auto"/>
        </w:rPr>
        <w:t>the ratification of the appointment of Ernst &amp; Young LLP as Civeo’s independent registered public accounting firm for the year ending December 31, 2025 and until the next annual general meeting of shareholders and the authorization of the directors, acting through the Audit Committee, to determine the remuneration to be paid to Ernst &amp; Young LLP for 2025; and</w:t>
      </w:r>
    </w:p>
    <w:p>
      <w:pPr>
        <w:spacing w:after="0" w:line="56" w:lineRule="exact"/>
        <w:rPr>
          <w:rFonts w:ascii="Arial" w:cs="Arial" w:eastAsia="Arial" w:hAnsi="Arial"/>
          <w:sz w:val="16"/>
          <w:szCs w:val="16"/>
          <w:color w:val="006DB6"/>
        </w:rPr>
      </w:pPr>
    </w:p>
    <w:p>
      <w:pPr>
        <w:ind w:left="180" w:hanging="172"/>
        <w:spacing w:after="0"/>
        <w:tabs>
          <w:tab w:leader="none" w:pos="180" w:val="left"/>
        </w:tabs>
        <w:numPr>
          <w:ilvl w:val="0"/>
          <w:numId w:val="62"/>
        </w:numPr>
        <w:rPr>
          <w:rFonts w:ascii="Arial" w:cs="Arial" w:eastAsia="Arial" w:hAnsi="Arial"/>
          <w:sz w:val="16"/>
          <w:szCs w:val="16"/>
          <w:color w:val="006DB6"/>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knows of no matters, other than those stated in this proxy statement, to be presented for consideration at the annual general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Your vote is important and we encourage you to vote as soon as possible. Even if you plan to attend the annual general meeting, we recommend that you vote your shares prior to the meeting so that your vote will be counted if you later decide not to attend.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of shareholders is required to approve the proposals at the annual general meeting?</w:t>
      </w:r>
    </w:p>
    <w:p>
      <w:pPr>
        <w:spacing w:after="0" w:line="127" w:lineRule="exact"/>
        <w:rPr>
          <w:sz w:val="20"/>
          <w:szCs w:val="20"/>
          <w:color w:val="auto"/>
        </w:rPr>
      </w:pPr>
    </w:p>
    <w:p>
      <w:pPr>
        <w:ind w:left="200" w:hanging="192"/>
        <w:spacing w:after="0"/>
        <w:tabs>
          <w:tab w:leader="none" w:pos="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the Director Proposal and the Auditor Proposal, you may vote either “FOR” or “WITHHOLD.” A plurality of the votes cast by shareholders at the</w:t>
      </w:r>
    </w:p>
    <w:p>
      <w:pPr>
        <w:spacing w:after="0" w:line="21" w:lineRule="exact"/>
        <w:rPr>
          <w:rFonts w:ascii="Arial" w:cs="Arial" w:eastAsia="Arial" w:hAnsi="Arial"/>
          <w:sz w:val="16"/>
          <w:szCs w:val="16"/>
          <w:color w:val="auto"/>
        </w:rPr>
      </w:pPr>
    </w:p>
    <w:p>
      <w:pPr>
        <w:ind w:right="140"/>
        <w:spacing w:after="0" w:line="257" w:lineRule="auto"/>
        <w:rPr>
          <w:rFonts w:ascii="Arial" w:cs="Arial" w:eastAsia="Arial" w:hAnsi="Arial"/>
          <w:sz w:val="16"/>
          <w:szCs w:val="16"/>
          <w:color w:val="auto"/>
        </w:rPr>
      </w:pPr>
      <w:r>
        <w:rPr>
          <w:rFonts w:ascii="Arial" w:cs="Arial" w:eastAsia="Arial" w:hAnsi="Arial"/>
          <w:sz w:val="16"/>
          <w:szCs w:val="16"/>
          <w:color w:val="auto"/>
        </w:rPr>
        <w:t>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spacing w:after="0" w:line="7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For the Say-on-Pay Proposal, you may vote “FOR”, “AGAINST” or “ABSTAIN”. To approve the Say-on-Pay Proposal, the votes cast in favor of the proposal must exceed the votes cast against the proposal.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does the board of directors recommend?</w:t>
      </w:r>
    </w:p>
    <w:p>
      <w:pPr>
        <w:spacing w:after="0" w:line="127" w:lineRule="exact"/>
        <w:rPr>
          <w:sz w:val="20"/>
          <w:szCs w:val="20"/>
          <w:color w:val="auto"/>
        </w:rPr>
      </w:pPr>
    </w:p>
    <w:p>
      <w:pPr>
        <w:ind w:right="340" w:firstLine="8"/>
        <w:spacing w:after="0" w:line="286" w:lineRule="auto"/>
        <w:tabs>
          <w:tab w:leader="none" w:pos="1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board of directors recommends shareholders of Civeo vote “FOR” each of the director nominees named in the Director Proposal, the Say-on-Pay Proposal, and the Auditor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When and where will the annual general meeting be held?</w:t>
      </w:r>
    </w:p>
    <w:p>
      <w:pPr>
        <w:spacing w:after="0" w:line="127" w:lineRule="exact"/>
        <w:rPr>
          <w:sz w:val="20"/>
          <w:szCs w:val="20"/>
          <w:color w:val="auto"/>
        </w:rPr>
      </w:pPr>
    </w:p>
    <w:p>
      <w:pPr>
        <w:jc w:val="both"/>
        <w:ind w:firstLine="8"/>
        <w:spacing w:after="0" w:line="275" w:lineRule="auto"/>
        <w:tabs>
          <w:tab w:leader="none" w:pos="1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annual general meeting will be held virtually, conducted via live audio webcast, on May 14, 2025 at 9:00 a.m., local time. You will be able to attend the annual general meeting by visiting www.virtualshareholdermeeting.com/CVEO2025, where you will be able to listen to the meeting live, submit questions and vote.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attend the annual general meeting?</w:t>
      </w:r>
    </w:p>
    <w:p>
      <w:pPr>
        <w:spacing w:after="0" w:line="113" w:lineRule="exact"/>
        <w:rPr>
          <w:sz w:val="20"/>
          <w:szCs w:val="20"/>
          <w:color w:val="auto"/>
        </w:rPr>
      </w:pPr>
    </w:p>
    <w:p>
      <w:pPr>
        <w:ind w:right="60" w:firstLine="8"/>
        <w:spacing w:after="0" w:line="304" w:lineRule="auto"/>
        <w:tabs>
          <w:tab w:leader="none" w:pos="1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attend the annual general meeting, vote your shares and submit questions during the meeting, shareholders and duly appointed proxyholders can visit www.virtualshareholdermeeting.com/CVEO2025.</w:t>
      </w:r>
    </w:p>
    <w:p>
      <w:pPr>
        <w:spacing w:after="0" w:line="33" w:lineRule="exact"/>
        <w:rPr>
          <w:sz w:val="20"/>
          <w:szCs w:val="20"/>
          <w:color w:val="auto"/>
        </w:rPr>
      </w:pPr>
    </w:p>
    <w:p>
      <w:pPr>
        <w:jc w:val="both"/>
        <w:ind w:left="200" w:right="380" w:hanging="192"/>
        <w:spacing w:after="0" w:line="275" w:lineRule="auto"/>
        <w:tabs>
          <w:tab w:leader="none" w:pos="170" w:val="left"/>
        </w:tabs>
        <w:numPr>
          <w:ilvl w:val="0"/>
          <w:numId w:val="67"/>
        </w:numPr>
        <w:rPr>
          <w:rFonts w:ascii="Arial" w:cs="Arial" w:eastAsia="Arial" w:hAnsi="Arial"/>
          <w:sz w:val="16"/>
          <w:szCs w:val="16"/>
          <w:color w:val="006DB6"/>
        </w:rPr>
      </w:pPr>
      <w:r>
        <w:rPr>
          <w:rFonts w:ascii="Arial" w:cs="Arial" w:eastAsia="Arial" w:hAnsi="Arial"/>
          <w:sz w:val="16"/>
          <w:szCs w:val="16"/>
          <w:color w:val="auto"/>
        </w:rPr>
        <w:t>Before attending the meeting, you will be directed to the Registration Page. Please complete the registration form with your name and control number included in your voting instruction form or proxy card or otherwise provided to you by your broker, trustee or other nominee, as described below. Your control number is located on the form of proxy or in the email notification you received.</w:t>
      </w:r>
    </w:p>
    <w:p>
      <w:pPr>
        <w:spacing w:after="0" w:line="56" w:lineRule="exact"/>
        <w:rPr>
          <w:rFonts w:ascii="Arial" w:cs="Arial" w:eastAsia="Arial" w:hAnsi="Arial"/>
          <w:sz w:val="16"/>
          <w:szCs w:val="16"/>
          <w:color w:val="006DB6"/>
        </w:rPr>
      </w:pPr>
    </w:p>
    <w:p>
      <w:pPr>
        <w:ind w:left="200" w:right="380" w:hanging="192"/>
        <w:spacing w:after="0" w:line="314" w:lineRule="auto"/>
        <w:tabs>
          <w:tab w:leader="none" w:pos="170" w:val="left"/>
        </w:tabs>
        <w:numPr>
          <w:ilvl w:val="0"/>
          <w:numId w:val="67"/>
        </w:numPr>
        <w:rPr>
          <w:rFonts w:ascii="Arial" w:cs="Arial" w:eastAsia="Arial" w:hAnsi="Arial"/>
          <w:sz w:val="16"/>
          <w:szCs w:val="16"/>
          <w:color w:val="006DB6"/>
        </w:rPr>
      </w:pPr>
      <w:r>
        <w:rPr>
          <w:rFonts w:ascii="Arial" w:cs="Arial" w:eastAsia="Arial" w:hAnsi="Arial"/>
          <w:sz w:val="16"/>
          <w:szCs w:val="16"/>
          <w:color w:val="auto"/>
        </w:rPr>
        <w:t xml:space="preserve">Once registration information has been entered, shareholders and duly appointed proxyholders can participate in the meeting by clicking </w:t>
      </w:r>
      <w:r>
        <w:rPr>
          <w:rFonts w:ascii="Arial" w:cs="Arial" w:eastAsia="Arial" w:hAnsi="Arial"/>
          <w:sz w:val="16"/>
          <w:szCs w:val="16"/>
          <w:b w:val="1"/>
          <w:bCs w:val="1"/>
          <w:color w:val="auto"/>
        </w:rPr>
        <w:t>“Register &amp;</w:t>
      </w:r>
      <w:r>
        <w:rPr>
          <w:rFonts w:ascii="Arial" w:cs="Arial" w:eastAsia="Arial" w:hAnsi="Arial"/>
          <w:sz w:val="16"/>
          <w:szCs w:val="16"/>
          <w:color w:val="auto"/>
        </w:rPr>
        <w:t xml:space="preserve"> </w:t>
      </w:r>
      <w:r>
        <w:rPr>
          <w:rFonts w:ascii="Arial" w:cs="Arial" w:eastAsia="Arial" w:hAnsi="Arial"/>
          <w:sz w:val="16"/>
          <w:szCs w:val="16"/>
          <w:b w:val="1"/>
          <w:bCs w:val="1"/>
          <w:color w:val="auto"/>
        </w:rPr>
        <w:t>Join”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114935</wp:posOffset>
            </wp:positionV>
            <wp:extent cx="394335" cy="1968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left="200" w:right="660" w:hanging="192"/>
        <w:spacing w:after="0" w:line="296" w:lineRule="auto"/>
        <w:tabs>
          <w:tab w:leader="none" w:pos="170" w:val="left"/>
        </w:tabs>
        <w:numPr>
          <w:ilvl w:val="0"/>
          <w:numId w:val="68"/>
        </w:numPr>
        <w:rPr>
          <w:rFonts w:ascii="Arial" w:cs="Arial" w:eastAsia="Arial" w:hAnsi="Arial"/>
          <w:sz w:val="16"/>
          <w:szCs w:val="16"/>
          <w:color w:val="006DB6"/>
        </w:rPr>
      </w:pPr>
      <w:r>
        <w:rPr>
          <w:rFonts w:ascii="Arial" w:cs="Arial" w:eastAsia="Arial" w:hAnsi="Arial"/>
          <w:sz w:val="16"/>
          <w:szCs w:val="16"/>
          <w:color w:val="auto"/>
        </w:rPr>
        <w:t xml:space="preserve">Voting at the meeting will only be available for shareholders and duly appointed proxyholders who have registered on the website. Non-registered shareholders who have not appointed themselves may attend the meeting by clicking </w:t>
      </w:r>
      <w:r>
        <w:rPr>
          <w:rFonts w:ascii="Arial" w:cs="Arial" w:eastAsia="Arial" w:hAnsi="Arial"/>
          <w:sz w:val="16"/>
          <w:szCs w:val="16"/>
          <w:b w:val="1"/>
          <w:bCs w:val="1"/>
          <w:color w:val="auto"/>
        </w:rPr>
        <w:t>“Guest”</w:t>
      </w:r>
      <w:r>
        <w:rPr>
          <w:rFonts w:ascii="Arial" w:cs="Arial" w:eastAsia="Arial" w:hAnsi="Arial"/>
          <w:sz w:val="16"/>
          <w:szCs w:val="16"/>
          <w:color w:val="auto"/>
        </w:rPr>
        <w:t xml:space="preserve"> and completing the online form.</w:t>
      </w:r>
    </w:p>
    <w:p>
      <w:pPr>
        <w:spacing w:after="0" w:line="4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On the day of the meeting, if you have trouble logging in or need assistance, please call Broadridge support at 844-976-0738 (US) or 303-562-9301 (International).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appoint my proxy?</w:t>
      </w:r>
    </w:p>
    <w:p>
      <w:pPr>
        <w:spacing w:after="0" w:line="113" w:lineRule="exact"/>
        <w:rPr>
          <w:sz w:val="20"/>
          <w:szCs w:val="20"/>
          <w:color w:val="auto"/>
        </w:rPr>
      </w:pPr>
    </w:p>
    <w:p>
      <w:pPr>
        <w:ind w:right="320" w:firstLine="8"/>
        <w:spacing w:after="0" w:line="265" w:lineRule="auto"/>
        <w:tabs>
          <w:tab w:leader="none" w:pos="1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Shareholders who wish to appoint a third party proxyholder to represent them at the meeting </w:t>
      </w:r>
      <w:r>
        <w:rPr>
          <w:rFonts w:ascii="Arial" w:cs="Arial" w:eastAsia="Arial" w:hAnsi="Arial"/>
          <w:sz w:val="16"/>
          <w:szCs w:val="16"/>
          <w:b w:val="1"/>
          <w:bCs w:val="1"/>
          <w:color w:val="auto"/>
        </w:rPr>
        <w:t>must submit their proxy or voting instruction form (if</w:t>
      </w:r>
      <w:r>
        <w:rPr>
          <w:rFonts w:ascii="Arial" w:cs="Arial" w:eastAsia="Arial" w:hAnsi="Arial"/>
          <w:sz w:val="16"/>
          <w:szCs w:val="16"/>
          <w:color w:val="auto"/>
        </w:rPr>
        <w:t xml:space="preserve"> </w:t>
      </w:r>
      <w:r>
        <w:rPr>
          <w:rFonts w:ascii="Arial" w:cs="Arial" w:eastAsia="Arial" w:hAnsi="Arial"/>
          <w:sz w:val="16"/>
          <w:szCs w:val="16"/>
          <w:b w:val="1"/>
          <w:bCs w:val="1"/>
          <w:color w:val="auto"/>
        </w:rPr>
        <w:t>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rial" w:cs="Arial" w:eastAsia="Arial" w:hAnsi="Arial"/>
          <w:sz w:val="16"/>
          <w:szCs w:val="16"/>
          <w:color w:val="auto"/>
        </w:rPr>
        <w:t>. To register a proxyholder, shareholders MUST write in the appointee's name on the proxy card enclosed in your packet and return via US mail</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enclosed envelope.</w:t>
      </w:r>
    </w:p>
    <w:p>
      <w:pPr>
        <w:spacing w:after="0" w:line="6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proxy must be received by Broadridge no later than May 13, 2025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ask questions at the annual general meeting?</w:t>
      </w:r>
    </w:p>
    <w:p>
      <w:pPr>
        <w:spacing w:after="0" w:line="113"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Shareholders who wish to submit a question may do so at www.virtualshareholdermeeting.com/CVEO2025. Shareholders may submit questions live</w:t>
      </w:r>
    </w:p>
    <w:p>
      <w:pPr>
        <w:spacing w:after="0" w:line="30" w:lineRule="exact"/>
        <w:rPr>
          <w:rFonts w:ascii="Arial" w:cs="Arial" w:eastAsia="Arial" w:hAnsi="Arial"/>
          <w:sz w:val="16"/>
          <w:szCs w:val="16"/>
          <w:color w:val="auto"/>
        </w:rPr>
      </w:pPr>
    </w:p>
    <w:p>
      <w:pPr>
        <w:ind w:right="100"/>
        <w:spacing w:after="0" w:line="260" w:lineRule="auto"/>
        <w:rPr>
          <w:rFonts w:ascii="Arial" w:cs="Arial" w:eastAsia="Arial" w:hAnsi="Arial"/>
          <w:sz w:val="16"/>
          <w:szCs w:val="16"/>
          <w:color w:val="auto"/>
        </w:rPr>
      </w:pPr>
      <w:r>
        <w:rPr>
          <w:rFonts w:ascii="Arial" w:cs="Arial" w:eastAsia="Arial" w:hAnsi="Arial"/>
          <w:sz w:val="16"/>
          <w:szCs w:val="16"/>
          <w:color w:val="auto"/>
        </w:rPr>
        <w:t>during the annual general meeting. Civeo is committed to transparency. All questions received during the annual general meeting, and Civeo’s responses, will be posted to our Investor Relations website at http://ir.civeo.com/ 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To submit a question for the Q&amp;A portion of the meeting, a shareholder should complete the following steps:</w:t>
      </w:r>
    </w:p>
    <w:p>
      <w:pPr>
        <w:spacing w:after="0" w:line="12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Click the Q&amp;A button to open the panel;</w:t>
      </w:r>
    </w:p>
    <w:p>
      <w:pPr>
        <w:spacing w:after="0" w:line="113" w:lineRule="exact"/>
        <w:rPr>
          <w:rFonts w:ascii="Arial" w:cs="Arial" w:eastAsia="Arial" w:hAnsi="Arial"/>
          <w:sz w:val="16"/>
          <w:szCs w:val="16"/>
          <w:color w:val="auto"/>
        </w:rPr>
      </w:pPr>
    </w:p>
    <w:p>
      <w:pPr>
        <w:ind w:left="180" w:hanging="172"/>
        <w:spacing w:after="0"/>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Enter their question in the field labelled “Submit a question”; and</w:t>
      </w:r>
    </w:p>
    <w:p>
      <w:pPr>
        <w:spacing w:after="0" w:line="126" w:lineRule="exact"/>
        <w:rPr>
          <w:rFonts w:ascii="Arial" w:cs="Arial" w:eastAsia="Arial" w:hAnsi="Arial"/>
          <w:sz w:val="16"/>
          <w:szCs w:val="16"/>
          <w:color w:val="auto"/>
        </w:rPr>
      </w:pPr>
    </w:p>
    <w:p>
      <w:pPr>
        <w:ind w:left="180" w:hanging="172"/>
        <w:spacing w:after="0"/>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Click SUBMIT.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entitled to vote during the annual general meeting?</w:t>
      </w:r>
    </w:p>
    <w:p>
      <w:pPr>
        <w:spacing w:after="0" w:line="113" w:lineRule="exact"/>
        <w:rPr>
          <w:sz w:val="20"/>
          <w:szCs w:val="20"/>
          <w:color w:val="auto"/>
        </w:rPr>
      </w:pPr>
    </w:p>
    <w:p>
      <w:pPr>
        <w:ind w:right="260" w:firstLine="8"/>
        <w:spacing w:after="0" w:line="275" w:lineRule="auto"/>
        <w:tabs>
          <w:tab w:leader="none" w:pos="198"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have fixed March 17, 2025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many votes do I have?</w:t>
      </w:r>
    </w:p>
    <w:p>
      <w:pPr>
        <w:spacing w:after="0" w:line="113" w:lineRule="exact"/>
        <w:rPr>
          <w:sz w:val="20"/>
          <w:szCs w:val="20"/>
          <w:color w:val="auto"/>
        </w:rPr>
      </w:pPr>
    </w:p>
    <w:p>
      <w:pPr>
        <w:ind w:right="140" w:firstLine="8"/>
        <w:spacing w:after="0" w:line="286" w:lineRule="auto"/>
        <w:tabs>
          <w:tab w:leader="none" w:pos="198" w:val="left"/>
        </w:tabs>
        <w:numPr>
          <w:ilvl w:val="0"/>
          <w:numId w:val="73"/>
        </w:numPr>
        <w:rPr>
          <w:rFonts w:ascii="Arial" w:cs="Arial" w:eastAsia="Arial" w:hAnsi="Arial"/>
          <w:sz w:val="16"/>
          <w:szCs w:val="16"/>
          <w:color w:val="auto"/>
        </w:rPr>
      </w:pPr>
      <w:r>
        <w:rPr>
          <w:rFonts w:ascii="Arial" w:cs="Arial" w:eastAsia="Arial" w:hAnsi="Arial"/>
          <w:sz w:val="16"/>
          <w:szCs w:val="16"/>
          <w:color w:val="auto"/>
        </w:rPr>
        <w:t>You are entitled to one vote for each share you owned as of the close of business, U.S. Eastern Time, on the record date. As of the close of business on the record date, there were approximately 13,549,417 Civeo common shares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do I vote?</w:t>
      </w:r>
    </w:p>
    <w:p>
      <w:pPr>
        <w:spacing w:after="0" w:line="113" w:lineRule="exact"/>
        <w:rPr>
          <w:sz w:val="20"/>
          <w:szCs w:val="20"/>
          <w:color w:val="auto"/>
        </w:rPr>
      </w:pPr>
    </w:p>
    <w:p>
      <w:pPr>
        <w:ind w:right="40" w:firstLine="8"/>
        <w:spacing w:after="0" w:line="275" w:lineRule="auto"/>
        <w:tabs>
          <w:tab w:leader="none" w:pos="1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U.S. Eastern Time, on March 17, 2025, the record date for the annual general meeting, you may vote in person by attending the annual general meeting or, to ensure your shares are represented at the annual general meeting, you may authorize a proxy to vote by:</w:t>
      </w:r>
    </w:p>
    <w:p>
      <w:pPr>
        <w:spacing w:after="0" w:line="56"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6"/>
          <w:szCs w:val="16"/>
          <w:color w:val="006DB6"/>
        </w:rPr>
      </w:pPr>
      <w:r>
        <w:rPr>
          <w:rFonts w:ascii="Arial" w:cs="Arial" w:eastAsia="Arial" w:hAnsi="Arial"/>
          <w:sz w:val="16"/>
          <w:szCs w:val="16"/>
          <w:color w:val="auto"/>
        </w:rPr>
        <w:t>accessing the Internet website specified on your proxy card;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5"/>
        </w:numPr>
        <w:rPr>
          <w:rFonts w:ascii="Arial" w:cs="Arial" w:eastAsia="Arial" w:hAnsi="Arial"/>
          <w:sz w:val="16"/>
          <w:szCs w:val="16"/>
          <w:color w:val="006DB6"/>
        </w:rPr>
      </w:pPr>
      <w:r>
        <w:rPr>
          <w:rFonts w:ascii="Arial" w:cs="Arial" w:eastAsia="Arial" w:hAnsi="Arial"/>
          <w:sz w:val="16"/>
          <w:szCs w:val="16"/>
          <w:color w:val="auto"/>
        </w:rPr>
        <w:t>calling the toll-free number specified on your proxy card;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5"/>
        </w:numPr>
        <w:rPr>
          <w:rFonts w:ascii="Arial" w:cs="Arial" w:eastAsia="Arial" w:hAnsi="Arial"/>
          <w:sz w:val="16"/>
          <w:szCs w:val="16"/>
          <w:color w:val="006DB6"/>
        </w:rPr>
      </w:pPr>
      <w:r>
        <w:rPr>
          <w:rFonts w:ascii="Arial" w:cs="Arial" w:eastAsia="Arial" w:hAnsi="Arial"/>
          <w:sz w:val="16"/>
          <w:szCs w:val="16"/>
          <w:color w:val="auto"/>
        </w:rPr>
        <w:t>signing and returning your proxy card in the postage-paid envelope provided.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proxy card is being sent with this proxy statement to each shareholder of record as of the record date for the annual general meeting.</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If my shares are held in “street name” by my nominee, when will my nominee vote shares for me?</w:t>
      </w:r>
    </w:p>
    <w:p>
      <w:pPr>
        <w:spacing w:after="0" w:line="127" w:lineRule="exact"/>
        <w:rPr>
          <w:sz w:val="20"/>
          <w:szCs w:val="20"/>
          <w:color w:val="auto"/>
        </w:rPr>
      </w:pPr>
    </w:p>
    <w:p>
      <w:pPr>
        <w:ind w:firstLine="8"/>
        <w:spacing w:after="0" w:line="259" w:lineRule="auto"/>
        <w:tabs>
          <w:tab w:leader="none" w:pos="1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annual general meeting, if your shares are held by a bank, broker or other nominee of record, you are considered the beneficial owner of those shares, but not the record holder. This means that you vote by providing instructions to your broker rather than directly to Civeo.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 matters, it will result in a “broker non-vote” for the matters on which the broker does not vote and your shares will not be voted on those matters. Broker non-votes, if any, will have no effect on the Director Proposal, the Auditor Proposal or the Say-on-Pay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Proposal. Your nominee can give you directions on how to instruct the voting of your shares. We encourage you to instruct your nominee how to vote your shares.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Are shareholders able to exercise appraisal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Appraisal rights are not available to shareholders in connection with any of the proposals.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Can I change my vote after I grant my proxy?</w:t>
      </w:r>
    </w:p>
    <w:p>
      <w:pPr>
        <w:spacing w:after="0" w:line="113" w:lineRule="exact"/>
        <w:rPr>
          <w:sz w:val="20"/>
          <w:szCs w:val="20"/>
          <w:color w:val="auto"/>
        </w:rPr>
      </w:pPr>
    </w:p>
    <w:p>
      <w:pPr>
        <w:ind w:right="560" w:firstLine="8"/>
        <w:spacing w:after="0" w:line="286" w:lineRule="auto"/>
        <w:tabs>
          <w:tab w:leader="none" w:pos="198" w:val="left"/>
        </w:tabs>
        <w:numPr>
          <w:ilvl w:val="0"/>
          <w:numId w:val="77"/>
        </w:numPr>
        <w:rPr>
          <w:rFonts w:ascii="Arial" w:cs="Arial" w:eastAsia="Arial" w:hAnsi="Arial"/>
          <w:sz w:val="16"/>
          <w:szCs w:val="16"/>
          <w:color w:val="auto"/>
        </w:rPr>
      </w:pPr>
      <w:r>
        <w:rPr>
          <w:rFonts w:ascii="Arial" w:cs="Arial" w:eastAsia="Arial" w:hAnsi="Arial"/>
          <w:sz w:val="16"/>
          <w:szCs w:val="16"/>
          <w:color w:val="auto"/>
        </w:rPr>
        <w:t>Yes. You can change your vote at any time before your proxy is voted at the annual general meeting. In addition to revocation in any other manner permitted by law, you can revoke your proxy in one of the following ways:</w:t>
      </w:r>
    </w:p>
    <w:p>
      <w:pPr>
        <w:spacing w:after="0" w:line="61"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6"/>
          <w:szCs w:val="16"/>
          <w:color w:val="006DB6"/>
        </w:rPr>
      </w:pPr>
      <w:r>
        <w:rPr>
          <w:rFonts w:ascii="Arial" w:cs="Arial" w:eastAsia="Arial" w:hAnsi="Arial"/>
          <w:sz w:val="16"/>
          <w:szCs w:val="16"/>
          <w:color w:val="auto"/>
        </w:rPr>
        <w:t>filing a written revocation with the Secretary prior to the voting of such proxy;</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78"/>
        </w:numPr>
        <w:rPr>
          <w:rFonts w:ascii="Arial" w:cs="Arial" w:eastAsia="Arial" w:hAnsi="Arial"/>
          <w:sz w:val="16"/>
          <w:szCs w:val="16"/>
          <w:color w:val="006DB6"/>
        </w:rPr>
      </w:pPr>
      <w:r>
        <w:rPr>
          <w:rFonts w:ascii="Arial" w:cs="Arial" w:eastAsia="Arial" w:hAnsi="Arial"/>
          <w:sz w:val="16"/>
          <w:szCs w:val="16"/>
          <w:color w:val="auto"/>
        </w:rPr>
        <w:t>giving a duly executed proxy bearing a later date;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8"/>
        </w:numPr>
        <w:rPr>
          <w:rFonts w:ascii="Arial" w:cs="Arial" w:eastAsia="Arial" w:hAnsi="Arial"/>
          <w:sz w:val="16"/>
          <w:szCs w:val="16"/>
          <w:color w:val="006DB6"/>
        </w:rPr>
      </w:pPr>
      <w:r>
        <w:rPr>
          <w:rFonts w:ascii="Arial" w:cs="Arial" w:eastAsia="Arial" w:hAnsi="Arial"/>
          <w:sz w:val="16"/>
          <w:szCs w:val="16"/>
          <w:color w:val="auto"/>
        </w:rPr>
        <w:t>attending the virtual annual general meeting and voting during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Your attendance during the annual general meeting will not itself revoke your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instructed a broker to vote your shares, you must follow the procedure provided by your broker to change those instructions.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abstain from voting and/or withhold my vote or fail to vote?</w:t>
      </w:r>
    </w:p>
    <w:p>
      <w:pPr>
        <w:spacing w:after="0" w:line="127" w:lineRule="exact"/>
        <w:rPr>
          <w:sz w:val="20"/>
          <w:szCs w:val="20"/>
          <w:color w:val="auto"/>
        </w:rPr>
      </w:pPr>
    </w:p>
    <w:p>
      <w:pPr>
        <w:ind w:right="80" w:firstLine="8"/>
        <w:spacing w:after="0" w:line="286" w:lineRule="auto"/>
        <w:tabs>
          <w:tab w:leader="none" w:pos="1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are present in person or by proxy at the annual general meeting and mark your proxy or voting instructions to “ABSTAIN”, this will have no effect on the Say-on-Pay Proposal.</w:t>
      </w:r>
    </w:p>
    <w:p>
      <w:pPr>
        <w:spacing w:after="0" w:line="6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If you are a shareholder of Civeo and are present in person or by proxy at the annual general meeting and mark your proxy or voting instructions to ”WITHHOLD”, this will have the effect of a vote withheld from the applicable director nominee named in the Director Proposal, but will have no direct effect on the election of such director nominee. If you are a shareholder of Civeo and are present in person or by proxy at the annual general meeting and mark your proxy or voting instructions to ”WITHHOLD”, this will have no effect on the Auditor Proposal.</w:t>
      </w:r>
    </w:p>
    <w:p>
      <w:pPr>
        <w:spacing w:after="0" w:line="6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If you are a shareholder of Civeo and (1) are not present, virtually, at the annual general meeting and do not respond by proxy or (2) fail to instruct your broker, bank or other nominee to vote, this will have no effect on the election of the director nominees named in the Director Proposal, the Auditor Proposal or the Say-on-Pay Proposal.</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return my proxy card without indicating how to vote?</w:t>
      </w:r>
    </w:p>
    <w:p>
      <w:pPr>
        <w:spacing w:after="0" w:line="127" w:lineRule="exact"/>
        <w:rPr>
          <w:sz w:val="20"/>
          <w:szCs w:val="20"/>
          <w:color w:val="auto"/>
        </w:rPr>
      </w:pPr>
    </w:p>
    <w:p>
      <w:pPr>
        <w:ind w:right="160" w:firstLine="8"/>
        <w:spacing w:after="0" w:line="286" w:lineRule="auto"/>
        <w:tabs>
          <w:tab w:leader="none" w:pos="19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signed proxy card without indicating how to vote on any particular proposal, the shares of Civeo represented by your proxy will be voted as recommended by the Civeo board of directors with respect to that proposal.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is the quorum requirement for the annual general meeting?</w:t>
      </w:r>
    </w:p>
    <w:p>
      <w:pPr>
        <w:spacing w:after="0" w:line="127" w:lineRule="exact"/>
        <w:rPr>
          <w:sz w:val="20"/>
          <w:szCs w:val="20"/>
          <w:color w:val="auto"/>
        </w:rPr>
      </w:pPr>
    </w:p>
    <w:p>
      <w:pPr>
        <w:ind w:firstLine="8"/>
        <w:spacing w:after="0" w:line="265" w:lineRule="auto"/>
        <w:tabs>
          <w:tab w:leader="none" w:pos="19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soliciting my proxy?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Proxies are being solicited by our board of directors for use at the annual general meeting and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paying for the cost of this proxy solicitation?</w:t>
      </w:r>
    </w:p>
    <w:p>
      <w:pPr>
        <w:spacing w:after="0" w:line="127" w:lineRule="exact"/>
        <w:rPr>
          <w:sz w:val="20"/>
          <w:szCs w:val="20"/>
          <w:color w:val="auto"/>
        </w:rPr>
      </w:pPr>
    </w:p>
    <w:p>
      <w:pPr>
        <w:ind w:right="580" w:firstLine="8"/>
        <w:spacing w:after="0" w:line="286" w:lineRule="auto"/>
        <w:tabs>
          <w:tab w:leader="none" w:pos="198"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4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$11,000. Broadridge will serve as the inspector of election for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1038860</wp:posOffset>
            </wp:positionV>
            <wp:extent cx="394335" cy="1968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Future Shareholder Proposals</w:t>
      </w:r>
    </w:p>
    <w:p>
      <w:pPr>
        <w:spacing w:after="0" w:line="1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To be included in the proxy materials for the 2026 annual general meeting of shareholders under SEC Rule 14a-8, shareholder proposals that are submitted for presentation at that annual general meeting and are otherwise eligible for inclusion in the proxy statement must be received by us no later than December 12, 2025.</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2026 annual general meeting of shareholders, notice will have to be delivered to us no later than January 14, 2026.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business other than nominations and nominations of directors (which includes information required by Rule 14a-19). All notices should be directed to our Corporate Secretary, Civeo Corporation, Three Allen Center, 333 Clay Street, Suite 4400, Houston, Texas 77002. Under current SEC rules, we are not required to include in our proxy statement any director nominated by a shareholder using this process.</w:t>
      </w:r>
    </w:p>
    <w:p>
      <w:pPr>
        <w:spacing w:after="0" w:line="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Proxies granted in connection with that annual general meeting may confer discretionary authority to vote on any shareholder proposal if a shareholder does not also comply with the requirements of Rule 14a-4(c)(2) under the Exchange Act. It is suggested that proponents submit their proposals by certified mail, return receipt requested.</w:t>
      </w:r>
    </w:p>
    <w:p>
      <w:pPr>
        <w:spacing w:after="0" w:line="56"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rial" w:cs="Arial" w:eastAsia="Arial" w:hAnsi="Arial"/>
          <w:sz w:val="16"/>
          <w:szCs w:val="16"/>
          <w:i w:val="1"/>
          <w:iCs w:val="1"/>
          <w:color w:val="auto"/>
        </w:rPr>
        <w:t>usiness Corporations Act</w:t>
      </w:r>
      <w:r>
        <w:rPr>
          <w:rFonts w:ascii="Arial" w:cs="Arial" w:eastAsia="Arial" w:hAnsi="Arial"/>
          <w:sz w:val="16"/>
          <w:szCs w:val="16"/>
          <w:color w:val="auto"/>
        </w:rPr>
        <w:t xml:space="preserve">; and (ii) a requisition of a meeting made pursuant to the provisions of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w:t>
      </w:r>
    </w:p>
    <w:p>
      <w:pPr>
        <w:spacing w:after="0" w:line="1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SEC permits a single copy of the proxy materials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receive only one copy of the proxy materials unless any shareholder at that address has given the broker contrary instructions. However, if any such beneficial shareholder residing at such an address wishes to receive a separate set of proxy materials in the future, or if any such beneficial shareholder that elected to continue to receive separate proxy materials wishes to receive a single copy of the proxy materials in the future, that shareholder should contact their broker or send a request to our Corporate Secretary, Civeo Corporation, Three Allen Center, 333 Clay Street, Suite 4400 Houston, Texas 77002, (713) 510-2400.</w:t>
      </w:r>
    </w:p>
    <w:p>
      <w:pPr>
        <w:spacing w:after="0" w:line="64"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286385</wp:posOffset>
            </wp:positionV>
            <wp:extent cx="394335" cy="1974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spacing w:after="0"/>
        <w:rPr>
          <w:sz w:val="20"/>
          <w:szCs w:val="20"/>
          <w:color w:val="auto"/>
        </w:rPr>
      </w:pPr>
      <w:r>
        <w:rPr>
          <w:rFonts w:ascii="Arial" w:cs="Arial" w:eastAsia="Arial" w:hAnsi="Arial"/>
          <w:sz w:val="45"/>
          <w:szCs w:val="45"/>
          <w:b w:val="1"/>
          <w:bCs w:val="1"/>
          <w:color w:val="006DB6"/>
        </w:rPr>
        <w:t>Appendix 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Reconciliations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terms Adjusted EBITDA and AICP EBITDA are non-GAAP financial measures that are defined as EBITDA adjusted to exclude certain other unusual or non-operating items. For the twelve months ended December 31, 2024, Civeo revised its definition of Adjusted EBITDA to exclude non-cash share-based compensation. Comparative periods presented were also updated to reflect this revision.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2024 were consistent with past practices. EBITDA, Adjusted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Adjusted EBITDA and AICP EBITDA may not be comparable to other similarly titled measures of other companies. Civeo has included EBITDA, Adjusted EBITDA and AICP EBITDA as supplemental disclosures because its management believes that EBITDA, Adjusted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Adjusted EBITDA and AICP EBITDA to compare and to monitor the performance of its business segments to other comparable public companies and as a benchmark for the award of incentive compensation under its annual incentive compensation plan.</w:t>
      </w:r>
    </w:p>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a reconciliation of EBITDA, Adjusted EBITDA and AICP EBITDA to net income (loss) attributable to Civeo Corporation, which is the most directly comparable measure of financial performance calculated under generally accepted accounting principles (in thousands) (unaudited):</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706F6F"/>
              </w:rPr>
              <w:t>12 Months Ended December 31,</w:t>
            </w:r>
          </w:p>
        </w:tc>
      </w:tr>
      <w:tr>
        <w:trPr>
          <w:trHeight w:val="252"/>
        </w:trPr>
        <w:tc>
          <w:tcPr>
            <w:tcW w:w="5960" w:type="dxa"/>
            <w:vAlign w:val="bottom"/>
          </w:tcPr>
          <w:p>
            <w:pPr>
              <w:spacing w:after="0"/>
              <w:rPr>
                <w:sz w:val="21"/>
                <w:szCs w:val="21"/>
                <w:color w:val="auto"/>
              </w:rPr>
            </w:pPr>
          </w:p>
        </w:tc>
        <w:tc>
          <w:tcPr>
            <w:tcW w:w="32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2024</w:t>
            </w:r>
          </w:p>
        </w:tc>
        <w:tc>
          <w:tcPr>
            <w:tcW w:w="30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2023</w:t>
            </w:r>
          </w:p>
        </w:tc>
        <w:tc>
          <w:tcPr>
            <w:tcW w:w="34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2022</w:t>
            </w:r>
          </w:p>
        </w:tc>
      </w:tr>
      <w:tr>
        <w:trPr>
          <w:trHeight w:val="228"/>
        </w:trPr>
        <w:tc>
          <w:tcPr>
            <w:tcW w:w="596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(17,067)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30,157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3,997</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Income tax provision (benefit)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12,492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10,633</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4,402</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68,038</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75,142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87,214</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2"/>
        </w:trPr>
        <w:tc>
          <w:tcPr>
            <w:tcW w:w="5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w:t>
            </w: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11,474</w:t>
            </w:r>
          </w:p>
        </w:tc>
      </w:tr>
      <w:tr>
        <w:trPr>
          <w:trHeight w:val="236"/>
        </w:trPr>
        <w:tc>
          <w:tcPr>
            <w:tcW w:w="596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71,249</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128,937</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107,048</w:t>
            </w:r>
          </w:p>
        </w:tc>
      </w:tr>
      <w:tr>
        <w:trPr>
          <w:trHeight w:val="214"/>
        </w:trPr>
        <w:tc>
          <w:tcPr>
            <w:tcW w:w="5960" w:type="dxa"/>
            <w:vAlign w:val="bottom"/>
          </w:tcPr>
          <w:p>
            <w:pPr>
              <w:spacing w:after="0"/>
              <w:rPr>
                <w:sz w:val="20"/>
                <w:szCs w:val="20"/>
                <w:color w:val="auto"/>
              </w:rPr>
            </w:pPr>
            <w:r>
              <w:rPr>
                <w:rFonts w:ascii="Arial" w:cs="Arial" w:eastAsia="Arial" w:hAnsi="Arial"/>
                <w:sz w:val="16"/>
                <w:szCs w:val="16"/>
                <w:color w:val="auto"/>
              </w:rPr>
              <w:t>Adjustments to EBITDA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Impairment of long-lived assets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11,581</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5,721</w:t>
            </w:r>
          </w:p>
        </w:tc>
      </w:tr>
      <w:tr>
        <w:trPr>
          <w:trHeight w:val="189"/>
        </w:trPr>
        <w:tc>
          <w:tcPr>
            <w:tcW w:w="5960" w:type="dxa"/>
            <w:vAlign w:val="bottom"/>
          </w:tcPr>
          <w:p>
            <w:pPr>
              <w:ind w:left="220"/>
              <w:spacing w:after="0"/>
              <w:rPr>
                <w:sz w:val="20"/>
                <w:szCs w:val="20"/>
                <w:color w:val="auto"/>
              </w:rPr>
            </w:pPr>
            <w:r>
              <w:rPr>
                <w:rFonts w:ascii="Arial" w:cs="Arial" w:eastAsia="Arial" w:hAnsi="Arial"/>
                <w:sz w:val="16"/>
                <w:szCs w:val="16"/>
                <w:color w:val="auto"/>
              </w:rPr>
              <w:t>Net gain on disposition of McClelland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7"/>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Lake Lodge assets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(5,744)</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(28,298)</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96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1"/>
                <w:szCs w:val="21"/>
                <w:color w:val="auto"/>
                <w:vertAlign w:val="superscript"/>
              </w:rPr>
              <w:t>(3)</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r>
      <w:tr>
        <w:trPr>
          <w:trHeight w:val="230"/>
        </w:trPr>
        <w:tc>
          <w:tcPr>
            <w:tcW w:w="596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79,937</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106,494</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116,556</w:t>
            </w:r>
          </w:p>
        </w:tc>
      </w:tr>
      <w:tr>
        <w:trPr>
          <w:trHeight w:val="458"/>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1"/>
                <w:szCs w:val="21"/>
                <w:color w:val="auto"/>
                <w:vertAlign w:val="superscript"/>
              </w:rPr>
              <w:t>(3)</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(2,851)</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(4,460)</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15"/>
        </w:trPr>
        <w:tc>
          <w:tcPr>
            <w:tcW w:w="5960" w:type="dxa"/>
            <w:vAlign w:val="bottom"/>
          </w:tcPr>
          <w:p>
            <w:pPr>
              <w:ind w:left="220"/>
              <w:spacing w:after="0"/>
              <w:rPr>
                <w:sz w:val="20"/>
                <w:szCs w:val="20"/>
                <w:color w:val="auto"/>
              </w:rPr>
            </w:pPr>
            <w:r>
              <w:rPr>
                <w:rFonts w:ascii="Arial" w:cs="Arial" w:eastAsia="Arial" w:hAnsi="Arial"/>
                <w:sz w:val="16"/>
                <w:szCs w:val="16"/>
                <w:color w:val="auto"/>
              </w:rPr>
              <w:t>Unbudgeted changes in foreign exchange rates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5,510</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Unbudgeted variability in stock-based compensation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3,950</w:t>
            </w: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Gain on dismantlement of McClelland Lake Lodge </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13,449</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96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(5)</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(10,721)</w:t>
            </w:r>
          </w:p>
        </w:tc>
      </w:tr>
      <w:tr>
        <w:trPr>
          <w:trHeight w:val="237"/>
        </w:trPr>
        <w:tc>
          <w:tcPr>
            <w:tcW w:w="5960" w:type="dxa"/>
            <w:vAlign w:val="bottom"/>
          </w:tcPr>
          <w:p>
            <w:pPr>
              <w:spacing w:after="0"/>
              <w:rPr>
                <w:sz w:val="20"/>
                <w:szCs w:val="20"/>
                <w:color w:val="auto"/>
              </w:rPr>
            </w:pPr>
            <w:r>
              <w:rPr>
                <w:rFonts w:ascii="Arial" w:cs="Arial" w:eastAsia="Arial" w:hAnsi="Arial"/>
                <w:sz w:val="16"/>
                <w:szCs w:val="16"/>
                <w:color w:val="auto"/>
              </w:rPr>
              <w:t>AICP EBITDA</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111,508</w:t>
            </w:r>
          </w:p>
        </w:tc>
      </w:tr>
      <w:tr>
        <w:trPr>
          <w:trHeight w:val="20"/>
        </w:trPr>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60" w:right="120" w:hanging="252"/>
        <w:spacing w:after="0" w:line="271" w:lineRule="auto"/>
        <w:tabs>
          <w:tab w:leader="none" w:pos="2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Relates to asset impairments recorded in 2024, 2023 and 2022.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 related to the impairment of long-lived assets in our Australian segment of $5.7 million and a pre-tax loss related to the impairment of long-lived assets in the U.S. of $2.1 million.</w:t>
      </w:r>
    </w:p>
    <w:p>
      <w:pPr>
        <w:spacing w:after="0" w:line="60" w:lineRule="exact"/>
        <w:rPr>
          <w:sz w:val="20"/>
          <w:szCs w:val="20"/>
          <w:color w:val="auto"/>
        </w:rPr>
      </w:pPr>
    </w:p>
    <w:p>
      <w:pPr>
        <w:ind w:left="260" w:right="440"/>
        <w:spacing w:after="0" w:line="286" w:lineRule="auto"/>
        <w:rPr>
          <w:sz w:val="20"/>
          <w:szCs w:val="20"/>
          <w:color w:val="auto"/>
        </w:rPr>
      </w:pPr>
      <w:r>
        <w:rPr>
          <w:rFonts w:ascii="Arial" w:cs="Arial" w:eastAsia="Arial" w:hAnsi="Arial"/>
          <w:sz w:val="16"/>
          <w:szCs w:val="16"/>
          <w:color w:val="auto"/>
        </w:rPr>
        <w:t>In the fourth quarter of 2023, we recorded a pretax loss related to the impairment of long-lived assets in the U.S. of $1.4 million, which is included in Impairment expense on the statements of operations.</w:t>
      </w:r>
    </w:p>
    <w:p>
      <w:pPr>
        <w:sectPr>
          <w:pgSz w:w="11900" w:h="16838" w:orient="portrait"/>
          <w:cols w:equalWidth="0" w:num="1">
            <w:col w:w="11240"/>
          </w:cols>
          <w:pgMar w:left="320" w:top="969"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72"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In the fourth quarter of 2022, we recorded a pre-tax loss related to the impairment of long-lived assets in our Australian segment of $3.8 million and a pre-tax loss related to the impairment of long-lived assets in the U.S. of $1.9 million, which is included in Impairment expense on the statements of operations.</w:t>
      </w:r>
    </w:p>
    <w:p>
      <w:pPr>
        <w:spacing w:after="0" w:line="248" w:lineRule="exact"/>
        <w:rPr>
          <w:sz w:val="20"/>
          <w:szCs w:val="20"/>
          <w:color w:val="auto"/>
        </w:rPr>
      </w:pPr>
    </w:p>
    <w:p>
      <w:pPr>
        <w:ind w:left="260" w:right="120" w:hanging="252"/>
        <w:spacing w:after="0" w:line="265" w:lineRule="auto"/>
        <w:tabs>
          <w:tab w:leader="none" w:pos="2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64" w:lineRule="exact"/>
        <w:rPr>
          <w:sz w:val="20"/>
          <w:szCs w:val="20"/>
          <w:color w:val="auto"/>
        </w:rPr>
      </w:pPr>
    </w:p>
    <w:p>
      <w:pPr>
        <w:ind w:left="260" w:right="40"/>
        <w:spacing w:after="0" w:line="265" w:lineRule="auto"/>
        <w:rPr>
          <w:sz w:val="20"/>
          <w:szCs w:val="20"/>
          <w:color w:val="auto"/>
        </w:rPr>
      </w:pPr>
      <w:r>
        <w:rPr>
          <w:rFonts w:ascii="Arial" w:cs="Arial" w:eastAsia="Arial" w:hAnsi="Arial"/>
          <w:sz w:val="16"/>
          <w:szCs w:val="16"/>
          <w:color w:val="auto"/>
        </w:rPr>
        <w:t>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(Gain) loss on sale of McClelland Lake Lodge assets, net on the unaudited statements of operations.</w:t>
      </w:r>
    </w:p>
    <w:p>
      <w:pPr>
        <w:spacing w:after="0" w:line="78" w:lineRule="exact"/>
        <w:rPr>
          <w:sz w:val="20"/>
          <w:szCs w:val="20"/>
          <w:color w:val="auto"/>
        </w:rPr>
      </w:pPr>
    </w:p>
    <w:p>
      <w:pPr>
        <w:ind w:left="260" w:right="20" w:hanging="252"/>
        <w:spacing w:after="0" w:line="286" w:lineRule="auto"/>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47" w:lineRule="exact"/>
        <w:rPr>
          <w:rFonts w:ascii="Arial" w:cs="Arial" w:eastAsia="Arial" w:hAnsi="Arial"/>
          <w:sz w:val="16"/>
          <w:szCs w:val="16"/>
          <w:color w:val="auto"/>
        </w:rPr>
      </w:pPr>
    </w:p>
    <w:p>
      <w:pPr>
        <w:ind w:left="280" w:hanging="272"/>
        <w:spacing w:after="0"/>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Relates to proceeds received associated with the dismantlement of McClelland Lake Lodge assets.</w:t>
      </w:r>
    </w:p>
    <w:p>
      <w:pPr>
        <w:spacing w:after="0" w:line="126" w:lineRule="exact"/>
        <w:rPr>
          <w:rFonts w:ascii="Arial" w:cs="Arial" w:eastAsia="Arial" w:hAnsi="Arial"/>
          <w:sz w:val="16"/>
          <w:szCs w:val="16"/>
          <w:color w:val="auto"/>
        </w:rPr>
      </w:pPr>
    </w:p>
    <w:p>
      <w:pPr>
        <w:ind w:left="260" w:right="60" w:hanging="252"/>
        <w:spacing w:after="0" w:line="275" w:lineRule="auto"/>
        <w:tabs>
          <w:tab w:leader="none" w:pos="2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Relates to certain other unbudgeted costs (approved by the board of directors). These included severance and related recruitment costs ($1.9 million in 2024), costs incurred with potential acquisitions that were not consummated ($0.7 million in 2024) and demobilization costs that were deferred into future years ($0.4 million in 2023 and $10.7 million in 2022).</w:t>
      </w:r>
    </w:p>
    <w:p>
      <w:pPr>
        <w:spacing w:after="0" w:line="56" w:lineRule="exact"/>
        <w:rPr>
          <w:sz w:val="20"/>
          <w:szCs w:val="20"/>
          <w:color w:val="auto"/>
        </w:rPr>
      </w:pPr>
    </w:p>
    <w:p>
      <w:pPr>
        <w:ind w:right="2340"/>
        <w:spacing w:after="0" w:line="258" w:lineRule="auto"/>
        <w:rPr>
          <w:sz w:val="20"/>
          <w:szCs w:val="20"/>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8" w:lineRule="exact"/>
        <w:rPr>
          <w:sz w:val="20"/>
          <w:szCs w:val="20"/>
          <w:color w:val="auto"/>
        </w:rPr>
      </w:pPr>
    </w:p>
    <w:p>
      <w:pPr>
        <w:ind w:right="2480"/>
        <w:spacing w:after="0" w:line="286"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As of December 31,</w:t>
            </w:r>
          </w:p>
        </w:tc>
      </w:tr>
      <w:tr>
        <w:trPr>
          <w:trHeight w:val="252"/>
        </w:trPr>
        <w:tc>
          <w:tcPr>
            <w:tcW w:w="6880" w:type="dxa"/>
            <w:vAlign w:val="bottom"/>
          </w:tcPr>
          <w:p>
            <w:pPr>
              <w:spacing w:after="0"/>
              <w:rPr>
                <w:sz w:val="21"/>
                <w:szCs w:val="21"/>
                <w:color w:val="auto"/>
              </w:rPr>
            </w:pP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2024</w:t>
            </w: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2023</w:t>
            </w: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2022</w:t>
            </w:r>
          </w:p>
        </w:tc>
      </w:tr>
      <w:tr>
        <w:trPr>
          <w:trHeight w:val="228"/>
        </w:trPr>
        <w:tc>
          <w:tcPr>
            <w:tcW w:w="6880" w:type="dxa"/>
            <w:vAlign w:val="bottom"/>
          </w:tcPr>
          <w:p>
            <w:pPr>
              <w:spacing w:after="0"/>
              <w:rPr>
                <w:sz w:val="20"/>
                <w:szCs w:val="20"/>
                <w:color w:val="auto"/>
              </w:rPr>
            </w:pPr>
            <w:r>
              <w:rPr>
                <w:rFonts w:ascii="Arial" w:cs="Arial" w:eastAsia="Arial" w:hAnsi="Arial"/>
                <w:sz w:val="16"/>
                <w:szCs w:val="16"/>
                <w:color w:val="auto"/>
              </w:rPr>
              <w:t>Total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43,299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65,554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132,037</w:t>
            </w:r>
          </w:p>
        </w:tc>
      </w:tr>
      <w:tr>
        <w:trPr>
          <w:trHeight w:val="252"/>
        </w:trPr>
        <w:tc>
          <w:tcPr>
            <w:tcW w:w="688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r>
      <w:tr>
        <w:trPr>
          <w:trHeight w:val="243"/>
        </w:trPr>
        <w:tc>
          <w:tcPr>
            <w:tcW w:w="6880" w:type="dxa"/>
            <w:vAlign w:val="bottom"/>
          </w:tcPr>
          <w:p>
            <w:pPr>
              <w:ind w:left="120"/>
              <w:spacing w:after="0"/>
              <w:rPr>
                <w:sz w:val="20"/>
                <w:szCs w:val="20"/>
                <w:color w:val="auto"/>
              </w:rPr>
            </w:pPr>
            <w:r>
              <w:rPr>
                <w:rFonts w:ascii="Arial" w:cs="Arial" w:eastAsia="Arial" w:hAnsi="Arial"/>
                <w:sz w:val="16"/>
                <w:szCs w:val="16"/>
                <w:color w:val="auto"/>
              </w:rPr>
              <w:t>Net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124,083</w:t>
            </w:r>
          </w:p>
        </w:tc>
      </w:tr>
      <w:tr>
        <w:trPr>
          <w:trHeight w:val="20"/>
        </w:trPr>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79"/>
        </w:trPr>
        <w:tc>
          <w:tcPr>
            <w:tcW w:w="6880" w:type="dxa"/>
            <w:vAlign w:val="bottom"/>
          </w:tcPr>
          <w:p>
            <w:pPr>
              <w:spacing w:after="0"/>
              <w:rPr>
                <w:sz w:val="20"/>
                <w:szCs w:val="20"/>
                <w:color w:val="auto"/>
              </w:rPr>
            </w:pPr>
            <w:r>
              <w:rPr>
                <w:rFonts w:ascii="Arial" w:cs="Arial" w:eastAsia="Arial" w:hAnsi="Arial"/>
                <w:sz w:val="16"/>
                <w:szCs w:val="16"/>
                <w:color w:val="auto"/>
              </w:rPr>
              <w:t xml:space="preserve">Adjusted EBITDA for the twelve months ended December 31, 2024, 2023 and 2022 </w:t>
            </w:r>
            <w:r>
              <w:rPr>
                <w:rFonts w:ascii="Arial" w:cs="Arial" w:eastAsia="Arial" w:hAnsi="Arial"/>
                <w:sz w:val="21"/>
                <w:szCs w:val="2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79,937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106,494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116,556</w:t>
            </w:r>
          </w:p>
        </w:tc>
      </w:tr>
      <w:tr>
        <w:trPr>
          <w:trHeight w:val="215"/>
        </w:trPr>
        <w:tc>
          <w:tcPr>
            <w:tcW w:w="688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8"/>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Incremental adjustments for McClelland Lake Lodge disposition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80" w:type="dxa"/>
            <w:vAlign w:val="bottom"/>
          </w:tcPr>
          <w:p>
            <w:pPr>
              <w:ind w:left="220"/>
              <w:spacing w:after="0"/>
              <w:rPr>
                <w:sz w:val="20"/>
                <w:szCs w:val="20"/>
                <w:color w:val="auto"/>
              </w:rPr>
            </w:pPr>
            <w:r>
              <w:rPr>
                <w:rFonts w:ascii="Arial" w:cs="Arial" w:eastAsia="Arial" w:hAnsi="Arial"/>
                <w:sz w:val="16"/>
                <w:szCs w:val="16"/>
                <w:color w:val="auto"/>
              </w:rPr>
              <w:t>Bank-adjusted EBITDA</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116,595</w:t>
            </w:r>
          </w:p>
        </w:tc>
      </w:tr>
      <w:tr>
        <w:trPr>
          <w:trHeight w:val="20"/>
        </w:trPr>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1"/>
        </w:trPr>
        <w:tc>
          <w:tcPr>
            <w:tcW w:w="6880" w:type="dxa"/>
            <w:vAlign w:val="bottom"/>
          </w:tcPr>
          <w:p>
            <w:pPr>
              <w:ind w:left="120"/>
              <w:spacing w:after="0"/>
              <w:rPr>
                <w:sz w:val="20"/>
                <w:szCs w:val="20"/>
                <w:color w:val="auto"/>
              </w:rPr>
            </w:pPr>
            <w:r>
              <w:rPr>
                <w:rFonts w:ascii="Arial" w:cs="Arial" w:eastAsia="Arial" w:hAnsi="Arial"/>
                <w:sz w:val="16"/>
                <w:szCs w:val="16"/>
                <w:color w:val="auto"/>
              </w:rPr>
              <w:t xml:space="preserve">Net leverage ratio </w:t>
            </w:r>
            <w:r>
              <w:rPr>
                <w:rFonts w:ascii="Arial" w:cs="Arial" w:eastAsia="Arial" w:hAnsi="Arial"/>
                <w:sz w:val="21"/>
                <w:szCs w:val="21"/>
                <w:color w:val="auto"/>
                <w:vertAlign w:val="superscript"/>
              </w:rPr>
              <w:t>(3)</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0.5x</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0.6x</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1.1x</w:t>
            </w:r>
          </w:p>
        </w:tc>
      </w:tr>
    </w:tbl>
    <w:p>
      <w:pPr>
        <w:spacing w:after="0" w:line="26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See above for reconciliation of Adjusted EBITDA to net income (loss) attributable to Civeo Corporation.</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791845</wp:posOffset>
            </wp:positionV>
            <wp:extent cx="7157720" cy="82854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828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966460" cy="77152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8"/>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lvl w:ilvl="1">
      <w:lvlJc w:val="left"/>
      <w:lvlText w:val="◦"/>
      <w:numFmt w:val="bullet"/>
      <w:start w:val="1"/>
    </w:lvl>
  </w:abstractNum>
  <w:abstractNum w:abstractNumId="18">
    <w:nsid w:val="12E685FB"/>
    <w:multiLevelType w:val="hybridMultilevel"/>
    <w:lvl w:ilvl="0">
      <w:lvlJc w:val="left"/>
      <w:lvlText w:val="•"/>
      <w:numFmt w:val="bullet"/>
      <w:start w:val="1"/>
    </w:lvl>
    <w:lvl w:ilvl="1">
      <w:lvlJc w:val="left"/>
      <w:lvlText w:val="◦"/>
      <w:numFmt w:val="bullet"/>
      <w:start w:val="1"/>
    </w:lvl>
  </w:abstractNum>
  <w:abstractNum w:abstractNumId="19">
    <w:nsid w:val="70C6A529"/>
    <w:multiLevelType w:val="hybridMultilevel"/>
    <w:lvl w:ilvl="0">
      <w:lvlJc w:val="left"/>
      <w:lvlText w:val="•"/>
      <w:numFmt w:val="bullet"/>
      <w:start w:val="1"/>
    </w:lvl>
    <w:lvl w:ilvl="1">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lvl w:ilvl="1">
      <w:lvlJc w:val="left"/>
      <w:lvlText w:val="(%2)"/>
      <w:numFmt w:val="decimal"/>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endash "/>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1)"/>
      <w:numFmt w:val="lowerRoman"/>
      <w:start w:val="2"/>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2"/>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3"/>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4"/>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upperLetter"/>
      <w:start w:val="1"/>
    </w:lvl>
  </w:abstractNum>
  <w:abstractNum w:abstractNumId="63">
    <w:nsid w:val="7BD3EE7B"/>
    <w:multiLevelType w:val="hybridMultilevel"/>
    <w:lvl w:ilvl="0">
      <w:lvlJc w:val="left"/>
      <w:lvlText w:val="%1:"/>
      <w:numFmt w:val="upperLetter"/>
      <w:start w:val="1"/>
    </w:lvl>
  </w:abstractNum>
  <w:abstractNum w:abstractNumId="64">
    <w:nsid w:val="51D9C564"/>
    <w:multiLevelType w:val="hybridMultilevel"/>
    <w:lvl w:ilvl="0">
      <w:lvlJc w:val="left"/>
      <w:lvlText w:val="%1:"/>
      <w:numFmt w:val="upperLetter"/>
      <w:start w:val="1"/>
    </w:lvl>
  </w:abstractNum>
  <w:abstractNum w:abstractNumId="65">
    <w:nsid w:val="613EFDC5"/>
    <w:multiLevelType w:val="hybridMultilevel"/>
    <w:lvl w:ilvl="0">
      <w:lvlJc w:val="left"/>
      <w:lvlText w:val="%1:"/>
      <w:numFmt w:val="upperLetter"/>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upperLetter"/>
      <w:start w:val="1"/>
    </w:lvl>
  </w:abstractNum>
  <w:abstractNum w:abstractNumId="69">
    <w:nsid w:val="A0382C5"/>
    <w:multiLevelType w:val="hybridMultilevel"/>
    <w:lvl w:ilvl="0">
      <w:lvlJc w:val="left"/>
      <w:lvlText w:val="%1:"/>
      <w:numFmt w:val="upperLetter"/>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upperLetter"/>
      <w:start w:val="1"/>
    </w:lvl>
  </w:abstractNum>
  <w:abstractNum w:abstractNumId="72">
    <w:nsid w:val="3B0FD379"/>
    <w:multiLevelType w:val="hybridMultilevel"/>
    <w:lvl w:ilvl="0">
      <w:lvlJc w:val="left"/>
      <w:lvlText w:val="%1:"/>
      <w:numFmt w:val="upperLetter"/>
      <w:start w:val="1"/>
    </w:lvl>
  </w:abstractNum>
  <w:abstractNum w:abstractNumId="73">
    <w:nsid w:val="68EB2F63"/>
    <w:multiLevelType w:val="hybridMultilevel"/>
    <w:lvl w:ilvl="0">
      <w:lvlJc w:val="left"/>
      <w:lvlText w:val="%1:"/>
      <w:numFmt w:val="upperLetter"/>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upperLetter"/>
      <w:start w:val="1"/>
    </w:lvl>
  </w:abstractNum>
  <w:abstractNum w:abstractNumId="76">
    <w:nsid w:val="6A5EE64"/>
    <w:multiLevelType w:val="hybridMultilevel"/>
    <w:lvl w:ilvl="0">
      <w:lvlJc w:val="left"/>
      <w:lvlText w:val="%1:"/>
      <w:numFmt w:val="upperLetter"/>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upperLetter"/>
      <w:start w:val="1"/>
    </w:lvl>
  </w:abstractNum>
  <w:abstractNum w:abstractNumId="79">
    <w:nsid w:val="1A27709E"/>
    <w:multiLevelType w:val="hybridMultilevel"/>
    <w:lvl w:ilvl="0">
      <w:lvlJc w:val="left"/>
      <w:lvlText w:val="%1:"/>
      <w:numFmt w:val="upperLetter"/>
      <w:start w:val="1"/>
    </w:lvl>
  </w:abstractNum>
  <w:abstractNum w:abstractNumId="80">
    <w:nsid w:val="71EA1109"/>
    <w:multiLevelType w:val="hybridMultilevel"/>
    <w:lvl w:ilvl="0">
      <w:lvlJc w:val="left"/>
      <w:lvlText w:val="%1:"/>
      <w:numFmt w:val="upperLetter"/>
      <w:start w:val="1"/>
    </w:lvl>
  </w:abstractNum>
  <w:abstractNum w:abstractNumId="81">
    <w:nsid w:val="100F59DC"/>
    <w:multiLevelType w:val="hybridMultilevel"/>
    <w:lvl w:ilvl="0">
      <w:lvlJc w:val="left"/>
      <w:lvlText w:val="%1:"/>
      <w:numFmt w:val="upperLetter"/>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2"/>
    </w:lvl>
  </w:abstractNum>
  <w:abstractNum w:abstractNumId="84">
    <w:nsid w:val="6F6DD9AC"/>
    <w:multiLevelType w:val="hybridMultilevel"/>
    <w:lvl w:ilvl="0">
      <w:lvlJc w:val="left"/>
      <w:lvlText w:val="(%1)"/>
      <w:numFmt w:val="decimal"/>
      <w:start w:val="3"/>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2025-04-11T11:46:34Z</dcterms:created>
  <dcterms:modified xsi:type="dcterms:W3CDTF">2025-04-11T11:46:34Z</dcterms:modified>
</cp:coreProperties>
</file>