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7"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27, 2020</w:t>
      </w:r>
    </w:p>
    <w:p>
      <w:pPr>
        <w:spacing w:after="0" w:line="28"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3360" w:type="dxa"/>
            <w:vAlign w:val="bottom"/>
          </w:tcPr>
          <w:p>
            <w:pPr>
              <w:jc w:val="center"/>
              <w:ind w:right="824"/>
              <w:spacing w:after="0"/>
              <w:rPr>
                <w:sz w:val="20"/>
                <w:szCs w:val="20"/>
                <w:color w:val="auto"/>
              </w:rPr>
            </w:pPr>
            <w:r>
              <w:rPr>
                <w:rFonts w:ascii="Arial" w:cs="Arial" w:eastAsia="Arial" w:hAnsi="Arial"/>
                <w:sz w:val="22"/>
                <w:szCs w:val="22"/>
                <w:b w:val="1"/>
                <w:bCs w:val="1"/>
                <w:color w:val="auto"/>
                <w:w w:val="91"/>
              </w:rPr>
              <w:t>British Columbia, Canada</w:t>
            </w:r>
          </w:p>
        </w:tc>
        <w:tc>
          <w:tcPr>
            <w:tcW w:w="3380" w:type="dxa"/>
            <w:vAlign w:val="bottom"/>
          </w:tcPr>
          <w:p>
            <w:pPr>
              <w:jc w:val="center"/>
              <w:ind w:right="124"/>
              <w:spacing w:after="0"/>
              <w:rPr>
                <w:sz w:val="20"/>
                <w:szCs w:val="20"/>
                <w:color w:val="auto"/>
              </w:rPr>
            </w:pPr>
            <w:r>
              <w:rPr>
                <w:rFonts w:ascii="Arial" w:cs="Arial" w:eastAsia="Arial" w:hAnsi="Arial"/>
                <w:sz w:val="22"/>
                <w:szCs w:val="22"/>
                <w:b w:val="1"/>
                <w:bCs w:val="1"/>
                <w:color w:val="auto"/>
                <w:w w:val="89"/>
              </w:rPr>
              <w:t>1-36246</w:t>
            </w:r>
          </w:p>
        </w:tc>
        <w:tc>
          <w:tcPr>
            <w:tcW w:w="2500" w:type="dxa"/>
            <w:vAlign w:val="bottom"/>
          </w:tcPr>
          <w:p>
            <w:pPr>
              <w:jc w:val="center"/>
              <w:ind w:left="104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3360" w:type="dxa"/>
            <w:vAlign w:val="bottom"/>
          </w:tcPr>
          <w:p>
            <w:pPr>
              <w:jc w:val="center"/>
              <w:ind w:right="844"/>
              <w:spacing w:after="0"/>
              <w:rPr>
                <w:sz w:val="20"/>
                <w:szCs w:val="20"/>
                <w:color w:val="auto"/>
              </w:rPr>
            </w:pPr>
            <w:r>
              <w:rPr>
                <w:rFonts w:ascii="Arial" w:cs="Arial" w:eastAsia="Arial" w:hAnsi="Arial"/>
                <w:sz w:val="18"/>
                <w:szCs w:val="18"/>
                <w:color w:val="auto"/>
                <w:w w:val="92"/>
              </w:rPr>
              <w:t>(State or other jurisdiction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44"/>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824"/>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64"/>
              <w:spacing w:after="0"/>
              <w:rPr>
                <w:sz w:val="20"/>
                <w:szCs w:val="20"/>
                <w:color w:val="auto"/>
              </w:rPr>
            </w:pPr>
            <w:r>
              <w:rPr>
                <w:rFonts w:ascii="Arial" w:cs="Arial" w:eastAsia="Arial" w:hAnsi="Arial"/>
                <w:sz w:val="18"/>
                <w:szCs w:val="18"/>
                <w:color w:val="auto"/>
                <w:w w:val="95"/>
              </w:rPr>
              <w:t>Identification No.)</w:t>
            </w:r>
          </w:p>
        </w:tc>
      </w:tr>
    </w:tbl>
    <w:p>
      <w:pPr>
        <w:spacing w:after="0" w:line="21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333 Clay Street, Suite 4980</w:t>
      </w:r>
    </w:p>
    <w:p>
      <w:pPr>
        <w:jc w:val="center"/>
        <w:ind w:left="340"/>
        <w:spacing w:after="0" w:line="235" w:lineRule="auto"/>
        <w:rPr>
          <w:sz w:val="20"/>
          <w:szCs w:val="20"/>
          <w:color w:val="auto"/>
        </w:rPr>
      </w:pPr>
      <w:r>
        <w:rPr>
          <w:rFonts w:ascii="Arial" w:cs="Arial" w:eastAsia="Arial" w:hAnsi="Arial"/>
          <w:sz w:val="22"/>
          <w:szCs w:val="22"/>
          <w:b w:val="1"/>
          <w:bCs w:val="1"/>
          <w:color w:val="auto"/>
        </w:rPr>
        <w:t>Houston, Texas 77002</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(Address and zip code of principal executive offices)</w:t>
      </w: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r>
        <w:trPr>
          <w:trHeight w:val="237"/>
        </w:trPr>
        <w:tc>
          <w:tcPr>
            <w:tcW w:w="3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400"/>
          </w:cols>
          <w:pgMar w:left="240" w:top="215" w:right="2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557"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February 27, 2020, Civeo Corporation (“Civeo”) issued a press release announcing its financial condition and results of operations as of and for the quarter and year ended December 31, 2019. A copy of the press release is furnished as Exhibit 99.1 to this report on Form 8-K, and is incorporated herein by reference.</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66" w:lineRule="exact"/>
        <w:rPr>
          <w:sz w:val="20"/>
          <w:szCs w:val="20"/>
          <w:color w:val="auto"/>
        </w:rPr>
      </w:pPr>
    </w:p>
    <w:p>
      <w:pPr>
        <w:ind w:left="1120" w:hanging="464"/>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3360" w:type="dxa"/>
            <w:vAlign w:val="bottom"/>
            <w:gridSpan w:val="2"/>
          </w:tcPr>
          <w:p>
            <w:pPr>
              <w:spacing w:after="0"/>
              <w:rPr>
                <w:sz w:val="20"/>
                <w:szCs w:val="20"/>
                <w:color w:val="auto"/>
              </w:rPr>
            </w:pPr>
            <w:r>
              <w:rPr>
                <w:rFonts w:ascii="Arial" w:cs="Arial" w:eastAsia="Arial" w:hAnsi="Arial"/>
                <w:sz w:val="22"/>
                <w:szCs w:val="22"/>
                <w:color w:val="auto"/>
              </w:rPr>
              <w:t>Description of Document</w:t>
            </w:r>
          </w:p>
        </w:tc>
      </w:tr>
      <w:tr>
        <w:trPr>
          <w:trHeight w:val="223"/>
        </w:trPr>
        <w:tc>
          <w:tcPr>
            <w:tcW w:w="1720" w:type="dxa"/>
            <w:vAlign w:val="bottom"/>
            <w:gridSpan w:val="2"/>
          </w:tcPr>
          <w:p>
            <w:pPr>
              <w:spacing w:after="0" w:line="223" w:lineRule="exact"/>
              <w:rPr>
                <w:sz w:val="20"/>
                <w:szCs w:val="20"/>
                <w:color w:val="auto"/>
              </w:rPr>
            </w:pPr>
            <w:r>
              <w:rPr>
                <w:rFonts w:ascii="Arial" w:cs="Arial" w:eastAsia="Arial" w:hAnsi="Arial"/>
                <w:sz w:val="22"/>
                <w:szCs w:val="22"/>
                <w:color w:val="auto"/>
              </w:rPr>
              <w:t>Number</w:t>
            </w:r>
          </w:p>
        </w:tc>
        <w:tc>
          <w:tcPr>
            <w:tcW w:w="220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520"/>
        </w:trPr>
        <w:tc>
          <w:tcPr>
            <w:tcW w:w="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36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February 27, 2020</w:t>
              </w:r>
            </w:hyperlink>
          </w:p>
        </w:tc>
      </w:tr>
    </w:tbl>
    <w:p>
      <w:pPr>
        <w:sectPr>
          <w:pgSz w:w="11900" w:h="16838" w:orient="portrait"/>
          <w:cols w:equalWidth="0" w:num="1">
            <w:col w:w="11420"/>
          </w:cols>
          <w:pgMar w:left="240" w:top="34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27, 2020</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Carolyn J. Stone</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tab/>
        <w:t>Carolyn J. Stone</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420"/>
          </w:cols>
          <w:pgMar w:left="240" w:top="342"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7"/>
          <w:szCs w:val="27"/>
          <w:b w:val="1"/>
          <w:bCs w:val="1"/>
          <w:color w:val="auto"/>
        </w:rPr>
        <w:t>Civeo Reports Fourth Quarter and Full Year 2019 Results</w:t>
      </w:r>
    </w:p>
    <w:p>
      <w:pPr>
        <w:spacing w:after="0" w:line="200" w:lineRule="exact"/>
        <w:rPr>
          <w:sz w:val="20"/>
          <w:szCs w:val="20"/>
          <w:color w:val="auto"/>
        </w:rPr>
      </w:pPr>
    </w:p>
    <w:p>
      <w:pPr>
        <w:spacing w:after="0" w:line="31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HOUSTON and CALGARY, February 27, 2020 (BUSINESS WIRE) -- Civeo Corporation (NYSE:CVEO) today reported financial and operating results for the fourth quarter and year ended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include:</w:t>
      </w:r>
    </w:p>
    <w:p>
      <w:pPr>
        <w:spacing w:after="0" w:line="144" w:lineRule="exact"/>
        <w:rPr>
          <w:sz w:val="20"/>
          <w:szCs w:val="20"/>
          <w:color w:val="auto"/>
        </w:rPr>
      </w:pPr>
    </w:p>
    <w:p>
      <w:pPr>
        <w:ind w:left="660" w:right="4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$41.0 million in operating cash flow and $37.1 million in free cash flow allowing for the reduction of total debt by $34.5 million during the fourth quarter of 2019</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leverage ratio to 2.98x at December 31, 2019 from 3.52x as of September 30,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Incurred fourth quarter net loss of $32.1 million and delivered Adjusted EBITDA of $29.9 million</w:t>
      </w:r>
    </w:p>
    <w:p>
      <w:pPr>
        <w:spacing w:after="0" w:line="225"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fourth quarter revenues of $148.7 million, an increase of 30% year-over-year due to the Action Industrial Catering ("Action") acquisition in Australia and stronger occupancy in both our Canadian lodges and Australian villages</w:t>
      </w:r>
    </w:p>
    <w:p>
      <w:pPr>
        <w:spacing w:after="0" w:line="200" w:lineRule="exact"/>
        <w:rPr>
          <w:sz w:val="20"/>
          <w:szCs w:val="20"/>
          <w:color w:val="auto"/>
        </w:rPr>
      </w:pPr>
    </w:p>
    <w:p>
      <w:pPr>
        <w:spacing w:after="0" w:line="21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“Civeo made significant progress in 2019 despite some challenges in our key end markets. We achieved year-over-year growth in revenues and EBITDA, generated $74.5 million of operating cash flow and $50.6 million of free cash flow, completed the acquisition and integration of Action and reduced our leverage ratio to 2.98x at year end,” stated Bradley J. Dodson, Civeo's President and Chief Executive Officer.</w:t>
      </w:r>
    </w:p>
    <w:p>
      <w:pPr>
        <w:spacing w:after="0" w:line="20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Mr. Dodson continued, “The fourth quarter results continued to build on our positive momentum experienced earlier in 2019 with strong operational and financial results. We realized a significant amount of free cash flow in the quarter which allowed us to materially reduce our total debt and our leverage ratio. Despite the typical seasonal holiday downtime, our Canadian and Australian segments experienced very strong occupancy compared to the fourth quarter of 2018,”</w:t>
      </w:r>
    </w:p>
    <w:p>
      <w:pPr>
        <w:spacing w:after="0" w:line="204"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Mr. Dodson added, “Looking ahead to 2020, we will continue to focus on generating free cash flow to pay down debt, strengthening our balance sheet and creating long-term shareholder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2019 Results</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fourth quarter of 2019, Civeo generated revenues of $148.7 million and reported a net loss of $32.1 million, or $0.19 per share. The loss results in part from $20.6 million in costs associated with goodwill and asset impairments and $0.2 million in Action transaction costs. During the fourth quarter of 2019, Civeo produced operating cash flow of $41.0 million, Adjusted EBITDA of $29.9 million and free cash flow of $37.1 million.</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and certain costs associated with Civeo's acquisitions of Noralta Lodge Ltd. ("Noralta") and Action.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comparison, in the fourth quarter of 2018, Civeo generated revenues of $114.5 million and reported a net loss of $13.8 million, or $0.08 per share. The loss represents a $15.2 million pre-tax loss resulting in part from $2.1 million in costs associated with Civeo’s acquisition of Noralta. During the fourth quarter of 2018, Civeo generated operating cash flow of $28.5 million, Adjusted EBITDA of $19.9 million and free cash flow of $21.9 million.</w:t>
      </w:r>
    </w:p>
    <w:p>
      <w:pPr>
        <w:spacing w:after="0" w:line="12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Overall, the increase in revenues and Adjusted EBITDA in the fourth quarter of 2019 compared to 2018 was primarily due to higher billed rooms in our Canadian and Australian segments coupled with the acquisition of Action in July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2019 Results</w:t>
      </w:r>
    </w:p>
    <w:p>
      <w:pPr>
        <w:spacing w:after="0" w:line="14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For the full year 2019, the Company reported revenues of $527.6 million and a net loss of $60.3 million, or $0.36 per share. Adjusted EBITDA for full year 2019 was $108.4 million. This compared to revenues of $466.7 million and a net loss of $131.8 million, or $0.84 per share, for the full year 2018. Adjusted EBITDA was $76.8 million in 2018.</w:t>
      </w:r>
    </w:p>
    <w:p>
      <w:pPr>
        <w:sectPr>
          <w:pgSz w:w="11900" w:h="16838" w:orient="portrait"/>
          <w:cols w:equalWidth="0" w:num="1">
            <w:col w:w="11380"/>
          </w:cols>
          <w:pgMar w:left="240" w:top="558" w:right="279" w:bottom="1440" w:gutter="0" w:footer="0" w:header="0"/>
        </w:sectPr>
      </w:pPr>
    </w:p>
    <w:bookmarkStart w:id="5" w:name="page6"/>
    <w:bookmarkEnd w:id="5"/>
    <w:p>
      <w:pPr>
        <w:ind w:right="60"/>
        <w:spacing w:after="0" w:line="256" w:lineRule="auto"/>
        <w:rPr>
          <w:sz w:val="20"/>
          <w:szCs w:val="20"/>
          <w:color w:val="auto"/>
        </w:rPr>
      </w:pPr>
      <w:r>
        <w:rPr>
          <w:rFonts w:ascii="Arial" w:cs="Arial" w:eastAsia="Arial" w:hAnsi="Arial"/>
          <w:sz w:val="18"/>
          <w:szCs w:val="18"/>
          <w:color w:val="auto"/>
        </w:rPr>
        <w:t>The increase in revenues and Adjusted EBITDA in 2019 as compared to 2018 was primarily due to higher billed rooms across the majority of our Australian segment, solid operational execution in Canada, a shift in the Canadian occupancy mix towards Sitka lodge, and the acquisition of Action in July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2019 to the results for the fourth quarter of 2018. The Adjusted EBITDA amounts discussed below exclude the goodwill and fixed asset impairments and Action and Noralta-related expenses noted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During the fourth quarter of 2019, the Canada segment generated revenues of $89.7 million, operating loss of $17.9 million and Adjusted EBITDA of $20.9 million, compared to revenues of $69.4 million, operating loss of $8.2 million and Adjusted EBITDA of $11.3 million in the fourth quarter of 2018. The fourth quarter of 2019 included a goodwill impairment charge of $19.9 million and an asset impairment charge of $0.7 million.</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and Adjusted EBITDA were higher primarily due to a 22% increase in total room nights in the fourth quarter of 2019 compared to the fourth quarter of 2018. The increase in occupied rooms was primarily due to greater turnaround activity in the oil sands region coupled with higher capacity and occupancy at our Sitka Lodge serving the LNG Canada project.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the fourth quarter of 2019, the Australia segment generated revenues of $48.9 million, operating income of $1.8 million and Adjusted EBITDA of $15.7 million, compared to revenues of $29.7 million, operating loss of $1.8 million and Adjusted EBITDA of $11.8 million in the fourth quarter of 2018.</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Results for the fourth quarter of 2019 reflect the impact of a weakened Australian dollar relative to the U.S. dollar, which decreased revenues by $1.7 million. On a constant currency basis, the Australian segment experienced a 70.5% period-over-period increase in revenues due to the acquisition of Action and 17% higher room nights year-over-year in our villages primarily due to continued improvement in customer maintenance activity in the Bowen Basin. The Adjusted EBITDA increase was also primarily due to higher billed rooms as noted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U.S. segment generated revenues of $10.0 million, operating loss of $6.7 million and an Adjusted EBITDA loss of $0.2 million in the fourth quarter of 2019, compared to revenues of $ 15.5 million, operating loss of $2.2 million and an Adjusted EBITDA loss of $1.9 million in the fourth quarter of 2018. The revenue and Adjusted EBITDA decrease was primarily due to the Acadian Acres contract rolling off in mid-2019 and subdued customer drilling and completion activity.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Civeo recognized an income tax provision of $3.2 million, which resulted in an effective tax rate of (11%) in the fourth quarter of 2019. During the fourth quarter of 2018, Civeo recognized an income tax benefit of $2.0 million, which resulted in an effective tax rate of 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4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of December 31, 2019, Civeo had total liquidity of approximately $124.1 million, consisting of $120.8 million available under its revolving credit facilities and $3.3 million of cash on hand.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Civeo’s total debt outstanding on December 31, 2019 was $359.1 million, a $34.5 million decrease since September 30, 2019.</w:t>
      </w:r>
    </w:p>
    <w:p>
      <w:pPr>
        <w:spacing w:after="0" w:line="14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2019, Civeo invested $29.8 million in capital expenditures, up from $17.1 million during 2018. This increase is primarily related to the completed expansion of our Sitka Lodge in Kitimat, British Columbia by approximately 500 rooms during the first half of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and Full Year 2020 Guidance</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the first quarter of 2020, Civeo expects revenues of $139.5 million to $143.5 million and EBITDA of $20.0 million to $22.0 million. For the full year of 2020, Civeo expects revenues of $560.0 million to $576.0 million, EBITDA of $100.0 million to $108.0 million and capital expenditures of $18.0 million to $22.0 million.</w:t>
      </w:r>
    </w:p>
    <w:p>
      <w:pPr>
        <w:sectPr>
          <w:pgSz w:w="11900" w:h="16838" w:orient="portrait"/>
          <w:cols w:equalWidth="0" w:num="1">
            <w:col w:w="11380"/>
          </w:cols>
          <w:pgMar w:left="240" w:top="57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Civeo will host a conference call to discuss its fourth quarter 2019 financial results today at 11:00 a.m. Eastern time. This call is being webcast and can be accessed at Civeo's website at www.civeo.com. Participants may also join the conference call by dialing (800)-263-0877 in the United States or (646)-828-8143 internationally and using the conference ID 2683193#. A replay will be available after the call by dialing (844) 512-2921 in the United States or (412) 317-6671 internationally and using the conference ID 2683193#.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 this news release include the statements regarding Civeo’s future plans and guidance,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2018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420"/>
          </w:cols>
          <w:pgMar w:left="240" w:top="571"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22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82"/>
        </w:trPr>
        <w:tc>
          <w:tcPr>
            <w:tcW w:w="4140" w:type="dxa"/>
            <w:vAlign w:val="bottom"/>
          </w:tcPr>
          <w:p>
            <w:pPr>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148,689</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114,520</w:t>
            </w:r>
          </w:p>
        </w:tc>
        <w:tc>
          <w:tcPr>
            <w:tcW w:w="2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527,555</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466,692</w:t>
            </w:r>
          </w:p>
        </w:tc>
        <w:tc>
          <w:tcPr>
            <w:tcW w:w="0" w:type="dxa"/>
            <w:vAlign w:val="bottom"/>
          </w:tcPr>
          <w:p>
            <w:pPr>
              <w:spacing w:after="0"/>
              <w:rPr>
                <w:sz w:val="1"/>
                <w:szCs w:val="1"/>
                <w:color w:val="auto"/>
              </w:rPr>
            </w:pPr>
          </w:p>
        </w:tc>
      </w:tr>
      <w:tr>
        <w:trPr>
          <w:trHeight w:val="594"/>
        </w:trPr>
        <w:tc>
          <w:tcPr>
            <w:tcW w:w="414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Cost of sales and services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102,464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83,031</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366,814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332,414</w:t>
            </w: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16,626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11,847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59,586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67,036</w:t>
            </w: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30,794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26,344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123,768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125,846</w:t>
            </w: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20,602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26,148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28,661</w:t>
            </w:r>
          </w:p>
        </w:tc>
        <w:tc>
          <w:tcPr>
            <w:tcW w:w="0" w:type="dxa"/>
            <w:vAlign w:val="bottom"/>
          </w:tcPr>
          <w:p>
            <w:pPr>
              <w:spacing w:after="0"/>
              <w:rPr>
                <w:sz w:val="1"/>
                <w:szCs w:val="1"/>
                <w:color w:val="auto"/>
              </w:rPr>
            </w:pPr>
          </w:p>
        </w:tc>
      </w:tr>
      <w:tr>
        <w:trPr>
          <w:trHeight w:val="276"/>
        </w:trPr>
        <w:tc>
          <w:tcPr>
            <w:tcW w:w="4140" w:type="dxa"/>
            <w:vAlign w:val="bottom"/>
          </w:tcPr>
          <w:p>
            <w:pPr>
              <w:ind w:left="140"/>
              <w:spacing w:after="0"/>
              <w:rPr>
                <w:sz w:val="20"/>
                <w:szCs w:val="20"/>
                <w:color w:val="auto"/>
              </w:rPr>
            </w:pPr>
            <w:r>
              <w:rPr>
                <w:rFonts w:ascii="Arial" w:cs="Arial" w:eastAsia="Arial" w:hAnsi="Arial"/>
                <w:sz w:val="14"/>
                <w:szCs w:val="14"/>
                <w:color w:val="auto"/>
              </w:rPr>
              <w:t>Other operating expense</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170,667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121,664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576,606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554,747</w:t>
            </w:r>
          </w:p>
        </w:tc>
        <w:tc>
          <w:tcPr>
            <w:tcW w:w="0" w:type="dxa"/>
            <w:vAlign w:val="bottom"/>
          </w:tcPr>
          <w:p>
            <w:pPr>
              <w:spacing w:after="0"/>
              <w:rPr>
                <w:sz w:val="1"/>
                <w:szCs w:val="1"/>
                <w:color w:val="auto"/>
              </w:rPr>
            </w:pPr>
          </w:p>
        </w:tc>
      </w:tr>
      <w:tr>
        <w:trPr>
          <w:trHeight w:val="244"/>
        </w:trPr>
        <w:tc>
          <w:tcPr>
            <w:tcW w:w="4140" w:type="dxa"/>
            <w:vAlign w:val="bottom"/>
          </w:tcPr>
          <w:p>
            <w:pPr>
              <w:spacing w:after="0"/>
              <w:rPr>
                <w:sz w:val="20"/>
                <w:szCs w:val="20"/>
                <w:color w:val="auto"/>
              </w:rPr>
            </w:pPr>
            <w:r>
              <w:rPr>
                <w:rFonts w:ascii="Arial" w:cs="Arial" w:eastAsia="Arial" w:hAnsi="Arial"/>
                <w:sz w:val="14"/>
                <w:szCs w:val="14"/>
                <w:color w:val="auto"/>
              </w:rPr>
              <w:t>Operating loss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(49,051)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(88,055)</w:t>
            </w:r>
          </w:p>
        </w:tc>
        <w:tc>
          <w:tcPr>
            <w:tcW w:w="0" w:type="dxa"/>
            <w:vAlign w:val="bottom"/>
          </w:tcPr>
          <w:p>
            <w:pPr>
              <w:spacing w:after="0"/>
              <w:rPr>
                <w:sz w:val="1"/>
                <w:szCs w:val="1"/>
                <w:color w:val="auto"/>
              </w:rPr>
            </w:pPr>
          </w:p>
        </w:tc>
      </w:tr>
      <w:tr>
        <w:trPr>
          <w:trHeight w:val="594"/>
        </w:trPr>
        <w:tc>
          <w:tcPr>
            <w:tcW w:w="414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(27,383)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(26,258)</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44"/>
        </w:trPr>
        <w:tc>
          <w:tcPr>
            <w:tcW w:w="4140" w:type="dxa"/>
            <w:vAlign w:val="bottom"/>
          </w:tcPr>
          <w:p>
            <w:pPr>
              <w:ind w:left="140"/>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(69,075)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(113,212)</w:t>
            </w: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10,741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31,365</w:t>
            </w:r>
          </w:p>
        </w:tc>
        <w:tc>
          <w:tcPr>
            <w:tcW w:w="0" w:type="dxa"/>
            <w:vAlign w:val="bottom"/>
          </w:tcPr>
          <w:p>
            <w:pPr>
              <w:spacing w:after="0"/>
              <w:rPr>
                <w:sz w:val="1"/>
                <w:szCs w:val="1"/>
                <w:color w:val="auto"/>
              </w:rPr>
            </w:pPr>
          </w:p>
        </w:tc>
      </w:tr>
      <w:tr>
        <w:trPr>
          <w:trHeight w:val="244"/>
        </w:trPr>
        <w:tc>
          <w:tcPr>
            <w:tcW w:w="414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(13,260)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(81,847)</w:t>
            </w:r>
          </w:p>
        </w:tc>
        <w:tc>
          <w:tcPr>
            <w:tcW w:w="0" w:type="dxa"/>
            <w:vAlign w:val="bottom"/>
          </w:tcPr>
          <w:p>
            <w:pPr>
              <w:spacing w:after="0"/>
              <w:rPr>
                <w:sz w:val="1"/>
                <w:szCs w:val="1"/>
                <w:color w:val="auto"/>
              </w:rPr>
            </w:pPr>
          </w:p>
        </w:tc>
      </w:tr>
      <w:tr>
        <w:trPr>
          <w:trHeight w:val="276"/>
        </w:trPr>
        <w:tc>
          <w:tcPr>
            <w:tcW w:w="4140" w:type="dxa"/>
            <w:vAlign w:val="bottom"/>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44"/>
        </w:trPr>
        <w:tc>
          <w:tcPr>
            <w:tcW w:w="414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(58,491)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(82,243)</w:t>
            </w:r>
          </w:p>
        </w:tc>
        <w:tc>
          <w:tcPr>
            <w:tcW w:w="0" w:type="dxa"/>
            <w:vAlign w:val="bottom"/>
          </w:tcPr>
          <w:p>
            <w:pPr>
              <w:spacing w:after="0"/>
              <w:rPr>
                <w:sz w:val="1"/>
                <w:szCs w:val="1"/>
                <w:color w:val="auto"/>
              </w:rPr>
            </w:pPr>
          </w:p>
        </w:tc>
      </w:tr>
      <w:tr>
        <w:trPr>
          <w:trHeight w:val="276"/>
        </w:trPr>
        <w:tc>
          <w:tcPr>
            <w:tcW w:w="4140" w:type="dxa"/>
            <w:vAlign w:val="bottom"/>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49,589</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Net loss attributable to Civeo Corporation common</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(32,064)</w:t>
            </w:r>
          </w:p>
        </w:tc>
        <w:tc>
          <w:tcPr>
            <w:tcW w:w="120" w:type="dxa"/>
            <w:vAlign w:val="bottom"/>
          </w:tcPr>
          <w:p>
            <w:pPr>
              <w:spacing w:after="0"/>
              <w:rPr>
                <w:sz w:val="15"/>
                <w:szCs w:val="15"/>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(13,804)</w:t>
            </w:r>
          </w:p>
        </w:tc>
        <w:tc>
          <w:tcPr>
            <w:tcW w:w="200" w:type="dxa"/>
            <w:vAlign w:val="bottom"/>
          </w:tcPr>
          <w:p>
            <w:pPr>
              <w:spacing w:after="0"/>
              <w:rPr>
                <w:sz w:val="15"/>
                <w:szCs w:val="15"/>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(60,340)</w:t>
            </w:r>
          </w:p>
        </w:tc>
        <w:tc>
          <w:tcPr>
            <w:tcW w:w="120" w:type="dxa"/>
            <w:vAlign w:val="bottom"/>
          </w:tcPr>
          <w:p>
            <w:pPr>
              <w:spacing w:after="0"/>
              <w:rPr>
                <w:sz w:val="15"/>
                <w:szCs w:val="15"/>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(131,832)</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20"/>
                <w:szCs w:val="20"/>
                <w:color w:val="auto"/>
              </w:rPr>
            </w:pPr>
            <w:r>
              <w:rPr>
                <w:rFonts w:ascii="Arial" w:cs="Arial" w:eastAsia="Arial" w:hAnsi="Arial"/>
                <w:sz w:val="14"/>
                <w:szCs w:val="14"/>
                <w:color w:val="auto"/>
              </w:rPr>
              <w:t>shareholders</w:t>
            </w:r>
          </w:p>
        </w:tc>
        <w:tc>
          <w:tcPr>
            <w:tcW w:w="2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420" w:type="dxa"/>
            <w:vAlign w:val="bottom"/>
            <w:gridSpan w:val="4"/>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(0.08)</w:t>
            </w:r>
          </w:p>
        </w:tc>
        <w:tc>
          <w:tcPr>
            <w:tcW w:w="2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(0.08)</w:t>
            </w:r>
          </w:p>
        </w:tc>
        <w:tc>
          <w:tcPr>
            <w:tcW w:w="2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594"/>
        </w:trPr>
        <w:tc>
          <w:tcPr>
            <w:tcW w:w="414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167,653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165,599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167,047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157,231</w:t>
            </w:r>
          </w:p>
        </w:tc>
        <w:tc>
          <w:tcPr>
            <w:tcW w:w="0" w:type="dxa"/>
            <w:vAlign w:val="bottom"/>
          </w:tcPr>
          <w:p>
            <w:pPr>
              <w:spacing w:after="0"/>
              <w:rPr>
                <w:sz w:val="1"/>
                <w:szCs w:val="1"/>
                <w:color w:val="auto"/>
              </w:rPr>
            </w:pP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167,653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165,599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167,047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157,231</w:t>
            </w:r>
          </w:p>
        </w:tc>
        <w:tc>
          <w:tcPr>
            <w:tcW w:w="0" w:type="dxa"/>
            <w:vAlign w:val="bottom"/>
          </w:tcPr>
          <w:p>
            <w:pPr>
              <w:spacing w:after="0"/>
              <w:rPr>
                <w:sz w:val="1"/>
                <w:szCs w:val="1"/>
                <w:color w:val="auto"/>
              </w:rPr>
            </w:pPr>
          </w:p>
        </w:tc>
      </w:tr>
    </w:tbl>
    <w:p>
      <w:pPr>
        <w:sectPr>
          <w:pgSz w:w="11900" w:h="16838" w:orient="portrait"/>
          <w:cols w:equalWidth="0" w:num="1">
            <w:col w:w="9220"/>
          </w:cols>
          <w:pgMar w:left="1360" w:top="549" w:right="13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6"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1"/>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3,331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12,372</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99,493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70,223</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10,297</w:t>
            </w:r>
          </w:p>
        </w:tc>
        <w:tc>
          <w:tcPr>
            <w:tcW w:w="0" w:type="dxa"/>
            <w:vAlign w:val="bottom"/>
          </w:tcPr>
          <w:p>
            <w:pPr>
              <w:spacing w:after="0"/>
              <w:rPr>
                <w:sz w:val="1"/>
                <w:szCs w:val="1"/>
                <w:color w:val="auto"/>
              </w:rPr>
            </w:pPr>
          </w:p>
        </w:tc>
      </w:tr>
      <w:tr>
        <w:trPr>
          <w:trHeight w:val="283"/>
        </w:trPr>
        <w:tc>
          <w:tcPr>
            <w:tcW w:w="39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37"/>
        </w:trPr>
        <w:tc>
          <w:tcPr>
            <w:tcW w:w="3980" w:type="dxa"/>
            <w:vAlign w:val="bottom"/>
          </w:tcPr>
          <w:p>
            <w:pPr>
              <w:ind w:left="2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131,441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107,797</w:t>
            </w:r>
          </w:p>
        </w:tc>
        <w:tc>
          <w:tcPr>
            <w:tcW w:w="0" w:type="dxa"/>
            <w:vAlign w:val="bottom"/>
          </w:tcPr>
          <w:p>
            <w:pPr>
              <w:spacing w:after="0"/>
              <w:rPr>
                <w:sz w:val="1"/>
                <w:szCs w:val="1"/>
                <w:color w:val="auto"/>
              </w:rPr>
            </w:pPr>
          </w:p>
        </w:tc>
      </w:tr>
      <w:tr>
        <w:trPr>
          <w:trHeight w:val="594"/>
        </w:trPr>
        <w:tc>
          <w:tcPr>
            <w:tcW w:w="39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590,309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658,905</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114,207</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111,837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119,409</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24,876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9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7"/>
        </w:trPr>
        <w:tc>
          <w:tcPr>
            <w:tcW w:w="3980" w:type="dxa"/>
            <w:vAlign w:val="bottom"/>
          </w:tcPr>
          <w:p>
            <w:pPr>
              <w:ind w:left="2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969,912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1,001,677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36,971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28,334</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21,755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15,956</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83"/>
        </w:trPr>
        <w:tc>
          <w:tcPr>
            <w:tcW w:w="39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37"/>
        </w:trPr>
        <w:tc>
          <w:tcPr>
            <w:tcW w:w="398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86,683</w:t>
            </w:r>
          </w:p>
        </w:tc>
        <w:tc>
          <w:tcPr>
            <w:tcW w:w="0" w:type="dxa"/>
            <w:vAlign w:val="bottom"/>
          </w:tcPr>
          <w:p>
            <w:pPr>
              <w:spacing w:after="0"/>
              <w:rPr>
                <w:sz w:val="1"/>
                <w:szCs w:val="1"/>
                <w:color w:val="auto"/>
              </w:rPr>
            </w:pPr>
          </w:p>
        </w:tc>
      </w:tr>
      <w:tr>
        <w:trPr>
          <w:trHeight w:val="594"/>
        </w:trPr>
        <w:tc>
          <w:tcPr>
            <w:tcW w:w="398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321,792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342,908</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9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18,220</w:t>
            </w:r>
          </w:p>
        </w:tc>
        <w:tc>
          <w:tcPr>
            <w:tcW w:w="0" w:type="dxa"/>
            <w:vAlign w:val="bottom"/>
          </w:tcPr>
          <w:p>
            <w:pPr>
              <w:spacing w:after="0"/>
              <w:rPr>
                <w:sz w:val="1"/>
                <w:szCs w:val="1"/>
                <w:color w:val="auto"/>
              </w:rPr>
            </w:pPr>
          </w:p>
        </w:tc>
      </w:tr>
      <w:tr>
        <w:trPr>
          <w:trHeight w:val="237"/>
        </w:trPr>
        <w:tc>
          <w:tcPr>
            <w:tcW w:w="3980" w:type="dxa"/>
            <w:vAlign w:val="bottom"/>
          </w:tcPr>
          <w:p>
            <w:pPr>
              <w:ind w:left="26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479,107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466,253</w:t>
            </w:r>
          </w:p>
        </w:tc>
        <w:tc>
          <w:tcPr>
            <w:tcW w:w="0" w:type="dxa"/>
            <w:vAlign w:val="bottom"/>
          </w:tcPr>
          <w:p>
            <w:pPr>
              <w:spacing w:after="0"/>
              <w:rPr>
                <w:sz w:val="1"/>
                <w:szCs w:val="1"/>
                <w:color w:val="auto"/>
              </w:rPr>
            </w:pPr>
          </w:p>
        </w:tc>
      </w:tr>
      <w:tr>
        <w:trPr>
          <w:trHeight w:val="594"/>
        </w:trPr>
        <w:tc>
          <w:tcPr>
            <w:tcW w:w="398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58,129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56,280</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1,572,249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1,562,133</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(771,590)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(710,551)</w:t>
            </w:r>
          </w:p>
        </w:tc>
        <w:tc>
          <w:tcPr>
            <w:tcW w:w="0" w:type="dxa"/>
            <w:vAlign w:val="bottom"/>
          </w:tcPr>
          <w:p>
            <w:pPr>
              <w:spacing w:after="0"/>
              <w:rPr>
                <w:sz w:val="1"/>
                <w:szCs w:val="1"/>
                <w:color w:val="auto"/>
              </w:rPr>
            </w:pPr>
          </w:p>
        </w:tc>
      </w:tr>
      <w:tr>
        <w:trPr>
          <w:trHeight w:val="270"/>
        </w:trPr>
        <w:tc>
          <w:tcPr>
            <w:tcW w:w="3980" w:type="dxa"/>
            <w:vAlign w:val="bottom"/>
          </w:tcPr>
          <w:p>
            <w:pPr>
              <w:ind w:left="14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83"/>
        </w:trPr>
        <w:tc>
          <w:tcPr>
            <w:tcW w:w="39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(363,173)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(371,249)</w:t>
            </w:r>
          </w:p>
        </w:tc>
        <w:tc>
          <w:tcPr>
            <w:tcW w:w="0" w:type="dxa"/>
            <w:vAlign w:val="bottom"/>
          </w:tcPr>
          <w:p>
            <w:pPr>
              <w:spacing w:after="0"/>
              <w:rPr>
                <w:sz w:val="1"/>
                <w:szCs w:val="1"/>
                <w:color w:val="auto"/>
              </w:rPr>
            </w:pPr>
          </w:p>
        </w:tc>
      </w:tr>
      <w:tr>
        <w:trPr>
          <w:trHeight w:val="250"/>
        </w:trPr>
        <w:tc>
          <w:tcPr>
            <w:tcW w:w="3980" w:type="dxa"/>
            <w:vAlign w:val="bottom"/>
          </w:tcPr>
          <w:p>
            <w:pPr>
              <w:ind w:left="26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490,143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535,424</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980" w:type="dxa"/>
            <w:vAlign w:val="bottom"/>
          </w:tcPr>
          <w:p>
            <w:pPr>
              <w:ind w:left="14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490,805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535,424</w:t>
            </w:r>
          </w:p>
        </w:tc>
        <w:tc>
          <w:tcPr>
            <w:tcW w:w="0" w:type="dxa"/>
            <w:vAlign w:val="bottom"/>
          </w:tcPr>
          <w:p>
            <w:pPr>
              <w:spacing w:after="0"/>
              <w:rPr>
                <w:sz w:val="1"/>
                <w:szCs w:val="1"/>
                <w:color w:val="auto"/>
              </w:rPr>
            </w:pPr>
          </w:p>
        </w:tc>
      </w:tr>
      <w:tr>
        <w:trPr>
          <w:trHeight w:val="240"/>
        </w:trPr>
        <w:tc>
          <w:tcPr>
            <w:tcW w:w="3980" w:type="dxa"/>
            <w:vAlign w:val="bottom"/>
          </w:tcPr>
          <w:p>
            <w:pPr>
              <w:ind w:left="26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969,912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1,001,677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54"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47"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TWELVE MONTHS ENDED</w:t>
      </w:r>
    </w:p>
    <w:p>
      <w:pPr>
        <w:spacing w:after="0" w:line="25"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575"/>
        </w:trPr>
        <w:tc>
          <w:tcPr>
            <w:tcW w:w="61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(58,334)</w:t>
            </w:r>
          </w:p>
        </w:tc>
        <w:tc>
          <w:tcPr>
            <w:tcW w:w="12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(81,847)</w:t>
            </w: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123,768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125,846</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26,148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28,661</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Deferred income tax benefit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(31,403)</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11,036</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Gain on disposals of assets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(1,606)</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Provision for loss on receivables, net of recoveries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4,879</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13,326</w:t>
            </w:r>
          </w:p>
        </w:tc>
      </w:tr>
      <w:tr>
        <w:trPr>
          <w:trHeight w:val="270"/>
        </w:trPr>
        <w:tc>
          <w:tcPr>
            <w:tcW w:w="612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3,376</w:t>
            </w:r>
          </w:p>
        </w:tc>
      </w:tr>
      <w:tr>
        <w:trPr>
          <w:trHeight w:val="270"/>
        </w:trPr>
        <w:tc>
          <w:tcPr>
            <w:tcW w:w="612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(17,716)</w:t>
            </w:r>
          </w:p>
        </w:tc>
      </w:tr>
      <w:tr>
        <w:trPr>
          <w:trHeight w:val="270"/>
        </w:trPr>
        <w:tc>
          <w:tcPr>
            <w:tcW w:w="6120" w:type="dxa"/>
            <w:vAlign w:val="bottom"/>
          </w:tcPr>
          <w:p>
            <w:pPr>
              <w:ind w:left="26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5,310</w:t>
            </w:r>
          </w:p>
        </w:tc>
      </w:tr>
      <w:tr>
        <w:trPr>
          <w:trHeight w:val="283"/>
        </w:trPr>
        <w:tc>
          <w:tcPr>
            <w:tcW w:w="6120" w:type="dxa"/>
            <w:vAlign w:val="bottom"/>
          </w:tcPr>
          <w:p>
            <w:pPr>
              <w:ind w:left="26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(5,943)</w:t>
            </w:r>
          </w:p>
        </w:tc>
      </w:tr>
      <w:tr>
        <w:trPr>
          <w:trHeight w:val="237"/>
        </w:trPr>
        <w:tc>
          <w:tcPr>
            <w:tcW w:w="6120" w:type="dxa"/>
            <w:vAlign w:val="bottom"/>
          </w:tcPr>
          <w:p>
            <w:pPr>
              <w:ind w:left="36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74,481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54,391</w:t>
            </w:r>
          </w:p>
        </w:tc>
      </w:tr>
      <w:tr>
        <w:trPr>
          <w:trHeight w:val="594"/>
        </w:trPr>
        <w:tc>
          <w:tcPr>
            <w:tcW w:w="61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Payments related to acquisitions,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(171,337)</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(17,108)</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5,844</w:t>
            </w:r>
          </w:p>
        </w:tc>
      </w:tr>
      <w:tr>
        <w:trPr>
          <w:trHeight w:val="283"/>
        </w:trPr>
        <w:tc>
          <w:tcPr>
            <w:tcW w:w="61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r>
      <w:tr>
        <w:trPr>
          <w:trHeight w:val="237"/>
        </w:trPr>
        <w:tc>
          <w:tcPr>
            <w:tcW w:w="6120" w:type="dxa"/>
            <w:vAlign w:val="bottom"/>
          </w:tcPr>
          <w:p>
            <w:pPr>
              <w:ind w:left="36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(181,947)</w:t>
            </w:r>
          </w:p>
        </w:tc>
      </w:tr>
      <w:tr>
        <w:trPr>
          <w:trHeight w:val="594"/>
        </w:trPr>
        <w:tc>
          <w:tcPr>
            <w:tcW w:w="61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(26,609)</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140,973</w:t>
            </w:r>
          </w:p>
        </w:tc>
      </w:tr>
      <w:tr>
        <w:trPr>
          <w:trHeight w:val="270"/>
        </w:trPr>
        <w:tc>
          <w:tcPr>
            <w:tcW w:w="612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(4,009)</w:t>
            </w:r>
          </w:p>
        </w:tc>
      </w:tr>
      <w:tr>
        <w:trPr>
          <w:trHeight w:val="283"/>
        </w:trPr>
        <w:tc>
          <w:tcPr>
            <w:tcW w:w="61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37"/>
        </w:trPr>
        <w:tc>
          <w:tcPr>
            <w:tcW w:w="6120" w:type="dxa"/>
            <w:vAlign w:val="bottom"/>
          </w:tcPr>
          <w:p>
            <w:pPr>
              <w:ind w:left="360"/>
              <w:spacing w:after="0"/>
              <w:rPr>
                <w:sz w:val="20"/>
                <w:szCs w:val="20"/>
                <w:color w:val="auto"/>
              </w:rPr>
            </w:pPr>
            <w:r>
              <w:rPr>
                <w:rFonts w:ascii="Arial" w:cs="Arial" w:eastAsia="Arial" w:hAnsi="Arial"/>
                <w:sz w:val="16"/>
                <w:szCs w:val="16"/>
                <w:color w:val="auto"/>
              </w:rPr>
              <w:t>Net cash flows provided by (used in) financing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109,523</w:t>
            </w:r>
          </w:p>
        </w:tc>
      </w:tr>
      <w:tr>
        <w:trPr>
          <w:trHeight w:val="607"/>
        </w:trPr>
        <w:tc>
          <w:tcPr>
            <w:tcW w:w="61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w:t>
            </w:r>
          </w:p>
        </w:tc>
      </w:tr>
      <w:tr>
        <w:trPr>
          <w:trHeight w:val="237"/>
        </w:trPr>
        <w:tc>
          <w:tcPr>
            <w:tcW w:w="61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(20,275)</w:t>
            </w:r>
          </w:p>
        </w:tc>
      </w:tr>
      <w:tr>
        <w:trPr>
          <w:trHeight w:val="607"/>
        </w:trPr>
        <w:tc>
          <w:tcPr>
            <w:tcW w:w="61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32,647</w:t>
            </w:r>
          </w:p>
        </w:tc>
      </w:tr>
      <w:tr>
        <w:trPr>
          <w:trHeight w:val="240"/>
        </w:trPr>
        <w:tc>
          <w:tcPr>
            <w:tcW w:w="61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12,372</w:t>
            </w:r>
          </w:p>
        </w:tc>
      </w:tr>
      <w:tr>
        <w:trPr>
          <w:trHeight w:val="20"/>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932" w:right="1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6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5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25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2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1"/>
        </w:trPr>
        <w:tc>
          <w:tcPr>
            <w:tcW w:w="242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89,708</w:t>
            </w:r>
          </w:p>
        </w:tc>
        <w:tc>
          <w:tcPr>
            <w:tcW w:w="14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69,351</w:t>
            </w:r>
          </w:p>
        </w:tc>
        <w:tc>
          <w:tcPr>
            <w:tcW w:w="14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325,651</w:t>
            </w:r>
          </w:p>
        </w:tc>
        <w:tc>
          <w:tcPr>
            <w:tcW w:w="14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296,012</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48,933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29,696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156,093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119,238</w:t>
            </w:r>
          </w:p>
        </w:tc>
        <w:tc>
          <w:tcPr>
            <w:tcW w:w="0" w:type="dxa"/>
            <w:vAlign w:val="bottom"/>
          </w:tcPr>
          <w:p>
            <w:pPr>
              <w:spacing w:after="0"/>
              <w:rPr>
                <w:sz w:val="1"/>
                <w:szCs w:val="1"/>
                <w:color w:val="auto"/>
              </w:rPr>
            </w:pPr>
          </w:p>
        </w:tc>
      </w:tr>
      <w:tr>
        <w:trPr>
          <w:trHeight w:val="283"/>
        </w:trPr>
        <w:tc>
          <w:tcPr>
            <w:tcW w:w="24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10,048</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15,473</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45,811</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51,442</w:t>
            </w:r>
          </w:p>
        </w:tc>
        <w:tc>
          <w:tcPr>
            <w:tcW w:w="0" w:type="dxa"/>
            <w:vAlign w:val="bottom"/>
          </w:tcPr>
          <w:p>
            <w:pPr>
              <w:spacing w:after="0"/>
              <w:rPr>
                <w:sz w:val="1"/>
                <w:szCs w:val="1"/>
                <w:color w:val="auto"/>
              </w:rPr>
            </w:pPr>
          </w:p>
        </w:tc>
      </w:tr>
      <w:tr>
        <w:trPr>
          <w:trHeight w:val="237"/>
        </w:trPr>
        <w:tc>
          <w:tcPr>
            <w:tcW w:w="242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148,689</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114,520</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527,555</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466,692</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10,112</w:t>
            </w:r>
          </w:p>
        </w:tc>
        <w:tc>
          <w:tcPr>
            <w:tcW w:w="14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51,745</w:t>
            </w:r>
          </w:p>
        </w:tc>
        <w:tc>
          <w:tcPr>
            <w:tcW w:w="14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21,639</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15,563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11,759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49,871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44,821</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5,479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5,566</w:t>
            </w:r>
          </w:p>
        </w:tc>
        <w:tc>
          <w:tcPr>
            <w:tcW w:w="0" w:type="dxa"/>
            <w:vAlign w:val="bottom"/>
          </w:tcPr>
          <w:p>
            <w:pPr>
              <w:spacing w:after="0"/>
              <w:rPr>
                <w:sz w:val="1"/>
                <w:szCs w:val="1"/>
                <w:color w:val="auto"/>
              </w:rPr>
            </w:pPr>
          </w:p>
        </w:tc>
      </w:tr>
      <w:tr>
        <w:trPr>
          <w:trHeight w:val="283"/>
        </w:trPr>
        <w:tc>
          <w:tcPr>
            <w:tcW w:w="242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(6,601)</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(25,254)</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(33,008)</w:t>
            </w:r>
          </w:p>
        </w:tc>
        <w:tc>
          <w:tcPr>
            <w:tcW w:w="0" w:type="dxa"/>
            <w:vAlign w:val="bottom"/>
          </w:tcPr>
          <w:p>
            <w:pPr>
              <w:spacing w:after="0"/>
              <w:rPr>
                <w:sz w:val="1"/>
                <w:szCs w:val="1"/>
                <w:color w:val="auto"/>
              </w:rPr>
            </w:pPr>
          </w:p>
        </w:tc>
      </w:tr>
      <w:tr>
        <w:trPr>
          <w:trHeight w:val="237"/>
        </w:trPr>
        <w:tc>
          <w:tcPr>
            <w:tcW w:w="242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17,845</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81,841</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39,018</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20,913</w:t>
            </w:r>
          </w:p>
        </w:tc>
        <w:tc>
          <w:tcPr>
            <w:tcW w:w="14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11,313</w:t>
            </w:r>
          </w:p>
        </w:tc>
        <w:tc>
          <w:tcPr>
            <w:tcW w:w="14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72,347</w:t>
            </w:r>
          </w:p>
        </w:tc>
        <w:tc>
          <w:tcPr>
            <w:tcW w:w="14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53,816</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15,716</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11,759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55,786</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44,821</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5,479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5,566</w:t>
            </w:r>
          </w:p>
        </w:tc>
        <w:tc>
          <w:tcPr>
            <w:tcW w:w="0" w:type="dxa"/>
            <w:vAlign w:val="bottom"/>
          </w:tcPr>
          <w:p>
            <w:pPr>
              <w:spacing w:after="0"/>
              <w:rPr>
                <w:sz w:val="1"/>
                <w:szCs w:val="1"/>
                <w:color w:val="auto"/>
              </w:rPr>
            </w:pPr>
          </w:p>
        </w:tc>
      </w:tr>
      <w:tr>
        <w:trPr>
          <w:trHeight w:val="283"/>
        </w:trPr>
        <w:tc>
          <w:tcPr>
            <w:tcW w:w="242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(6,601)</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(5,077)</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(25,254)</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(27,425)</w:t>
            </w:r>
          </w:p>
        </w:tc>
        <w:tc>
          <w:tcPr>
            <w:tcW w:w="0" w:type="dxa"/>
            <w:vAlign w:val="bottom"/>
          </w:tcPr>
          <w:p>
            <w:pPr>
              <w:spacing w:after="0"/>
              <w:rPr>
                <w:sz w:val="1"/>
                <w:szCs w:val="1"/>
                <w:color w:val="auto"/>
              </w:rPr>
            </w:pPr>
          </w:p>
        </w:tc>
      </w:tr>
      <w:tr>
        <w:trPr>
          <w:trHeight w:val="237"/>
        </w:trPr>
        <w:tc>
          <w:tcPr>
            <w:tcW w:w="242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29,873</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19,903</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108,358</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76,778</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(17,876)</w:t>
            </w:r>
          </w:p>
        </w:tc>
        <w:tc>
          <w:tcPr>
            <w:tcW w:w="14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(8,177)</w:t>
            </w:r>
          </w:p>
        </w:tc>
        <w:tc>
          <w:tcPr>
            <w:tcW w:w="14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(32,313)</w:t>
            </w:r>
          </w:p>
        </w:tc>
        <w:tc>
          <w:tcPr>
            <w:tcW w:w="14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(63,519)</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(6,730)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(2,195)</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(11,214)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(8,640)</w:t>
            </w:r>
          </w:p>
        </w:tc>
        <w:tc>
          <w:tcPr>
            <w:tcW w:w="0" w:type="dxa"/>
            <w:vAlign w:val="bottom"/>
          </w:tcPr>
          <w:p>
            <w:pPr>
              <w:spacing w:after="0"/>
              <w:rPr>
                <w:sz w:val="1"/>
                <w:szCs w:val="1"/>
                <w:color w:val="auto"/>
              </w:rPr>
            </w:pPr>
          </w:p>
        </w:tc>
      </w:tr>
      <w:tr>
        <w:trPr>
          <w:trHeight w:val="283"/>
        </w:trPr>
        <w:tc>
          <w:tcPr>
            <w:tcW w:w="242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(13,946)</w:t>
            </w:r>
          </w:p>
        </w:tc>
        <w:tc>
          <w:tcPr>
            <w:tcW w:w="0" w:type="dxa"/>
            <w:vAlign w:val="bottom"/>
          </w:tcPr>
          <w:p>
            <w:pPr>
              <w:spacing w:after="0"/>
              <w:rPr>
                <w:sz w:val="1"/>
                <w:szCs w:val="1"/>
                <w:color w:val="auto"/>
              </w:rPr>
            </w:pPr>
          </w:p>
        </w:tc>
      </w:tr>
      <w:tr>
        <w:trPr>
          <w:trHeight w:val="240"/>
        </w:trPr>
        <w:tc>
          <w:tcPr>
            <w:tcW w:w="2420" w:type="dxa"/>
            <w:vAlign w:val="bottom"/>
          </w:tcPr>
          <w:p>
            <w:pPr>
              <w:ind w:left="440"/>
              <w:spacing w:after="0"/>
              <w:rPr>
                <w:sz w:val="20"/>
                <w:szCs w:val="20"/>
                <w:color w:val="auto"/>
              </w:rPr>
            </w:pPr>
            <w:r>
              <w:rPr>
                <w:rFonts w:ascii="Arial" w:cs="Arial" w:eastAsia="Arial" w:hAnsi="Arial"/>
                <w:sz w:val="16"/>
                <w:szCs w:val="16"/>
                <w:color w:val="auto"/>
              </w:rPr>
              <w:t>Total operating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(21,978)</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(49,051)</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(88,055)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554" w:right="1440"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2432"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20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575"/>
        </w:trPr>
        <w:tc>
          <w:tcPr>
            <w:tcW w:w="2040" w:type="dxa"/>
            <w:vAlign w:val="bottom"/>
          </w:tcPr>
          <w:p>
            <w:pPr>
              <w:spacing w:after="0"/>
              <w:rPr>
                <w:sz w:val="20"/>
                <w:szCs w:val="20"/>
                <w:color w:val="auto"/>
              </w:rPr>
            </w:pPr>
            <w:r>
              <w:rPr>
                <w:rFonts w:ascii="Arial" w:cs="Arial" w:eastAsia="Arial" w:hAnsi="Arial"/>
                <w:sz w:val="16"/>
                <w:szCs w:val="16"/>
                <w:color w:val="auto"/>
              </w:rPr>
              <w:t>EBITDA (1)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9,118</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17,845</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81,841</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39,018</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Adjusted EBITDA (1)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29,873</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19,903</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108,358</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76,778</w:t>
            </w:r>
          </w:p>
        </w:tc>
      </w:tr>
      <w:tr>
        <w:trPr>
          <w:trHeight w:val="270"/>
        </w:trPr>
        <w:tc>
          <w:tcPr>
            <w:tcW w:w="2040" w:type="dxa"/>
            <w:vAlign w:val="bottom"/>
          </w:tcPr>
          <w:p>
            <w:pPr>
              <w:spacing w:after="0"/>
              <w:rPr>
                <w:sz w:val="20"/>
                <w:szCs w:val="20"/>
                <w:color w:val="auto"/>
              </w:rPr>
            </w:pPr>
            <w:r>
              <w:rPr>
                <w:rFonts w:ascii="Arial" w:cs="Arial" w:eastAsia="Arial" w:hAnsi="Arial"/>
                <w:sz w:val="16"/>
                <w:szCs w:val="16"/>
                <w:color w:val="auto"/>
              </w:rPr>
              <w:t>Free Cash Flow (2)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37,084</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21,893</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50,575</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43,127</w:t>
            </w:r>
          </w:p>
        </w:tc>
      </w:tr>
    </w:tbl>
    <w:p>
      <w:pPr>
        <w:spacing w:after="0" w:line="210" w:lineRule="exact"/>
        <w:rPr>
          <w:sz w:val="20"/>
          <w:szCs w:val="20"/>
          <w:color w:val="auto"/>
        </w:rPr>
      </w:pPr>
    </w:p>
    <w:p>
      <w:pPr>
        <w:ind w:left="332" w:hanging="332"/>
        <w:spacing w:after="0" w:line="248" w:lineRule="auto"/>
        <w:tabs>
          <w:tab w:leader="none" w:pos="3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acquisitions of Noralta and Action.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178" w:lineRule="exact"/>
        <w:rPr>
          <w:rFonts w:ascii="Arial" w:cs="Arial" w:eastAsia="Arial" w:hAnsi="Arial"/>
          <w:sz w:val="16"/>
          <w:szCs w:val="16"/>
          <w:color w:val="auto"/>
        </w:rPr>
      </w:pPr>
    </w:p>
    <w:p>
      <w:pPr>
        <w:ind w:left="332" w:right="38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1472"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1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21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575"/>
        </w:trPr>
        <w:tc>
          <w:tcPr>
            <w:tcW w:w="386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(31,599)</w:t>
            </w:r>
          </w:p>
        </w:tc>
        <w:tc>
          <w:tcPr>
            <w:tcW w:w="14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(58,491)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(82,243)</w:t>
            </w: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(31,365)</w:t>
            </w: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30,794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123,768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125,846</w:t>
            </w: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83"/>
        </w:trPr>
        <w:tc>
          <w:tcPr>
            <w:tcW w:w="386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6,713</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26,258</w:t>
            </w:r>
          </w:p>
        </w:tc>
      </w:tr>
      <w:tr>
        <w:trPr>
          <w:trHeight w:val="250"/>
        </w:trPr>
        <w:tc>
          <w:tcPr>
            <w:tcW w:w="3860" w:type="dxa"/>
            <w:vAlign w:val="bottom"/>
          </w:tcPr>
          <w:p>
            <w:pPr>
              <w:ind w:left="22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81,841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39,018</w:t>
            </w:r>
          </w:p>
        </w:tc>
      </w:tr>
      <w:tr>
        <w:trPr>
          <w:trHeight w:val="251"/>
        </w:trPr>
        <w:tc>
          <w:tcPr>
            <w:tcW w:w="3860" w:type="dxa"/>
            <w:vAlign w:val="bottom"/>
          </w:tcPr>
          <w:p>
            <w:pPr>
              <w:spacing w:after="0"/>
              <w:rPr>
                <w:sz w:val="20"/>
                <w:szCs w:val="20"/>
                <w:color w:val="auto"/>
              </w:rPr>
            </w:pPr>
            <w:r>
              <w:rPr>
                <w:rFonts w:ascii="Arial" w:cs="Arial" w:eastAsia="Arial" w:hAnsi="Arial"/>
                <w:sz w:val="16"/>
                <w:szCs w:val="16"/>
                <w:color w:val="auto"/>
              </w:rPr>
              <w:t>Adjustments to EBITDA</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386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28,661</w:t>
            </w:r>
          </w:p>
        </w:tc>
      </w:tr>
      <w:tr>
        <w:trPr>
          <w:trHeight w:val="270"/>
        </w:trPr>
        <w:tc>
          <w:tcPr>
            <w:tcW w:w="3860" w:type="dxa"/>
            <w:vAlign w:val="bottom"/>
          </w:tcPr>
          <w:p>
            <w:pPr>
              <w:ind w:left="240"/>
              <w:spacing w:after="0"/>
              <w:rPr>
                <w:sz w:val="20"/>
                <w:szCs w:val="20"/>
                <w:color w:val="auto"/>
              </w:rPr>
            </w:pPr>
            <w:r>
              <w:rPr>
                <w:rFonts w:ascii="Arial" w:cs="Arial" w:eastAsia="Arial" w:hAnsi="Arial"/>
                <w:sz w:val="16"/>
                <w:szCs w:val="16"/>
                <w:color w:val="auto"/>
              </w:rPr>
              <w:t>Impairment of goodwill (b)</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860" w:type="dxa"/>
            <w:vAlign w:val="bottom"/>
          </w:tcPr>
          <w:p>
            <w:pPr>
              <w:ind w:left="220"/>
              <w:spacing w:after="0"/>
              <w:rPr>
                <w:sz w:val="20"/>
                <w:szCs w:val="20"/>
                <w:color w:val="auto"/>
              </w:rPr>
            </w:pPr>
            <w:r>
              <w:rPr>
                <w:rFonts w:ascii="Arial" w:cs="Arial" w:eastAsia="Arial" w:hAnsi="Arial"/>
                <w:sz w:val="16"/>
                <w:szCs w:val="16"/>
                <w:color w:val="auto"/>
              </w:rPr>
              <w:t>Noralta transaction costs (c)</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9,099</w:t>
            </w:r>
          </w:p>
        </w:tc>
      </w:tr>
      <w:tr>
        <w:trPr>
          <w:trHeight w:val="283"/>
        </w:trPr>
        <w:tc>
          <w:tcPr>
            <w:tcW w:w="3860" w:type="dxa"/>
            <w:vAlign w:val="bottom"/>
          </w:tcPr>
          <w:p>
            <w:pPr>
              <w:ind w:left="240"/>
              <w:spacing w:after="0"/>
              <w:rPr>
                <w:sz w:val="20"/>
                <w:szCs w:val="20"/>
                <w:color w:val="auto"/>
              </w:rPr>
            </w:pPr>
            <w:r>
              <w:rPr>
                <w:rFonts w:ascii="Arial" w:cs="Arial" w:eastAsia="Arial" w:hAnsi="Arial"/>
                <w:sz w:val="16"/>
                <w:szCs w:val="16"/>
                <w:color w:val="auto"/>
              </w:rPr>
              <w:t>Action transaction costs (d)</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86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29,873</w:t>
            </w: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108,358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76,778</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52" w:right="120" w:hanging="328"/>
        <w:spacing w:after="0" w:line="250" w:lineRule="auto"/>
        <w:tabs>
          <w:tab w:leader="none" w:pos="65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asset impairments recorded in the fourth and second quarter of 2019 and the first quarter 2018. In the fourth quarter 2019, we recorded a pre-tax loss related to the impairment of assets in Canada of $0.7 million ($0.5 million after-tax, or $0.00 per diluted share), which is included in Impairment expense on the unaudited statements of operations. In the second quarter 2019, we recorded a pre-tax loss related to the impairment of assets in Australia of $5.5 million ($5.5 million after-tax, or $0.03 per diluted share), which is included in Impairment expense on the unaudited statements of operations. This includes $1.0 million of impairment expense related to an error corrected in</w:t>
      </w:r>
    </w:p>
    <w:p>
      <w:pPr>
        <w:sectPr>
          <w:pgSz w:w="11900" w:h="16838" w:orient="portrait"/>
          <w:cols w:equalWidth="0" w:num="1">
            <w:col w:w="11372"/>
          </w:cols>
          <w:pgMar w:left="248" w:top="554" w:right="279" w:bottom="1440" w:gutter="0" w:footer="0" w:header="0"/>
        </w:sectPr>
      </w:pPr>
    </w:p>
    <w:bookmarkStart w:id="12" w:name="page13"/>
    <w:bookmarkEnd w:id="12"/>
    <w:p>
      <w:pPr>
        <w:ind w:left="652" w:right="260"/>
        <w:spacing w:after="0" w:line="286" w:lineRule="auto"/>
        <w:rPr>
          <w:sz w:val="20"/>
          <w:szCs w:val="20"/>
          <w:color w:val="auto"/>
        </w:rPr>
      </w:pPr>
      <w:r>
        <w:rPr>
          <w:rFonts w:ascii="Arial" w:cs="Arial" w:eastAsia="Arial" w:hAnsi="Arial"/>
          <w:sz w:val="16"/>
          <w:szCs w:val="16"/>
          <w:color w:val="auto"/>
        </w:rPr>
        <w:t>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pacing w:after="0" w:line="163" w:lineRule="exact"/>
        <w:rPr>
          <w:sz w:val="20"/>
          <w:szCs w:val="20"/>
          <w:color w:val="auto"/>
        </w:rPr>
      </w:pPr>
    </w:p>
    <w:p>
      <w:pPr>
        <w:ind w:left="652" w:right="20"/>
        <w:spacing w:after="0" w:line="260" w:lineRule="auto"/>
        <w:rPr>
          <w:sz w:val="20"/>
          <w:szCs w:val="20"/>
          <w:color w:val="auto"/>
        </w:rPr>
      </w:pPr>
      <w:r>
        <w:rPr>
          <w:rFonts w:ascii="Arial" w:cs="Arial" w:eastAsia="Arial" w:hAnsi="Arial"/>
          <w:sz w:val="16"/>
          <w:szCs w:val="16"/>
          <w:color w:val="auto"/>
        </w:rPr>
        <w:t>In the first quarter 2018, we recorded a pre-tax loss related to the impairment of assets in Canada of $28.7 million ($20.9 million after-tax, or $0.14 per diluted share), which is included in Impairment expense on the unaudited statements of operations.</w:t>
      </w:r>
    </w:p>
    <w:p>
      <w:pPr>
        <w:spacing w:after="0" w:line="169" w:lineRule="exact"/>
        <w:rPr>
          <w:sz w:val="20"/>
          <w:szCs w:val="20"/>
          <w:color w:val="auto"/>
        </w:rPr>
      </w:pPr>
    </w:p>
    <w:p>
      <w:pPr>
        <w:ind w:left="652" w:right="520" w:hanging="328"/>
        <w:spacing w:after="0" w:line="260" w:lineRule="auto"/>
        <w:tabs>
          <w:tab w:leader="none" w:pos="652" w:val="left"/>
        </w:tabs>
        <w:numPr>
          <w:ilvl w:val="1"/>
          <w:numId w:val="5"/>
        </w:numPr>
        <w:rPr>
          <w:rFonts w:ascii="Arial" w:cs="Arial" w:eastAsia="Arial" w:hAnsi="Arial"/>
          <w:sz w:val="16"/>
          <w:szCs w:val="16"/>
          <w:color w:val="auto"/>
        </w:rPr>
      </w:pPr>
      <w:r>
        <w:rPr>
          <w:rFonts w:ascii="Arial" w:cs="Arial" w:eastAsia="Arial" w:hAnsi="Arial"/>
          <w:sz w:val="16"/>
          <w:szCs w:val="16"/>
          <w:color w:val="auto"/>
        </w:rPr>
        <w:t>Relates to the impairment of goodwill. The $19.9 million impairment ($19.9 million after-tax, or $0.12 per diluted share) is related to our Canada reporting unit and is included in Impairment expense on the statements of operations.</w:t>
      </w:r>
    </w:p>
    <w:p>
      <w:pPr>
        <w:spacing w:after="0" w:line="182" w:lineRule="exact"/>
        <w:rPr>
          <w:rFonts w:ascii="Arial" w:cs="Arial" w:eastAsia="Arial" w:hAnsi="Arial"/>
          <w:sz w:val="16"/>
          <w:szCs w:val="16"/>
          <w:color w:val="auto"/>
        </w:rPr>
      </w:pPr>
    </w:p>
    <w:p>
      <w:pPr>
        <w:ind w:left="652" w:right="20" w:hanging="328"/>
        <w:spacing w:after="0" w:line="278" w:lineRule="auto"/>
        <w:tabs>
          <w:tab w:leader="none" w:pos="652"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Relates to costs incurred associated with Civeo's acquisition of Noralta. For the twelve month period ended December 31, 2018, the $9.1 million of costs in 2018 ($8.0 million after-tax, or </w:t>
      </w:r>
      <w:r>
        <w:rPr>
          <w:rFonts w:ascii="Arial" w:cs="Arial" w:eastAsia="Arial" w:hAnsi="Arial"/>
          <w:sz w:val="18"/>
          <w:szCs w:val="18"/>
          <w:color w:val="auto"/>
        </w:rPr>
        <w:t>$0.05</w:t>
      </w:r>
      <w:r>
        <w:rPr>
          <w:rFonts w:ascii="Arial" w:cs="Arial" w:eastAsia="Arial" w:hAnsi="Arial"/>
          <w:sz w:val="16"/>
          <w:szCs w:val="16"/>
          <w:color w:val="auto"/>
        </w:rPr>
        <w:t xml:space="preserve"> per diluted share), are reflected in the Canada ($3.5 million) and Corporate and eliminations ($5.6 million) reportable segments and are included in Costs of sales and services ($1.0 million), Selling, general and administrative expenses ($7.2 million) and Other income (expense) ($0.9 million) on the unaudited statements of operations. For the three month period ended December 31, 2018, the $2.1 million of costs in 2018 ($1.7 million after-tax, or $0.01, per diluted share), are reflected in the Canada ($1.2 million) and Corporate and eliminations ($0.9 million) reportable segments and are included in Costs of sales and services ($0.6 million), Selling, general and administrative expenses ($0.6 million) and Other income (expense) ($0.9 million) on the unaudited statements of operations.</w:t>
      </w:r>
    </w:p>
    <w:p>
      <w:pPr>
        <w:spacing w:after="0" w:line="169" w:lineRule="exact"/>
        <w:rPr>
          <w:rFonts w:ascii="Arial" w:cs="Arial" w:eastAsia="Arial" w:hAnsi="Arial"/>
          <w:sz w:val="16"/>
          <w:szCs w:val="16"/>
          <w:color w:val="auto"/>
        </w:rPr>
      </w:pPr>
    </w:p>
    <w:p>
      <w:pPr>
        <w:ind w:left="652" w:right="200" w:hanging="328"/>
        <w:spacing w:after="0" w:line="250" w:lineRule="auto"/>
        <w:tabs>
          <w:tab w:leader="none" w:pos="652" w:val="left"/>
        </w:tabs>
        <w:numPr>
          <w:ilvl w:val="1"/>
          <w:numId w:val="5"/>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Action. For the twelve month period ended December 31, 2019, the $0.4 million of costs ($0.4 million after-tax, or $0.00, per diluted share), are reflected in the Australia reportable segment and are included in Selling, general and administrative expenses on the unaudited statements of operations. For the three month period ended December 31, 2019, the $0.2 million of costs ($0.2 million after-tax, or $0.00, per diluted share), are reflected in the Australia reportable segment and are included in Selling, general and administrative expenses on the unaudited statements of operations.</w:t>
      </w:r>
    </w:p>
    <w:p>
      <w:pPr>
        <w:spacing w:after="0" w:line="176" w:lineRule="exact"/>
        <w:rPr>
          <w:rFonts w:ascii="Arial" w:cs="Arial" w:eastAsia="Arial" w:hAnsi="Arial"/>
          <w:sz w:val="16"/>
          <w:szCs w:val="16"/>
          <w:color w:val="auto"/>
        </w:rPr>
      </w:pPr>
    </w:p>
    <w:p>
      <w:pPr>
        <w:ind w:left="332" w:hanging="332"/>
        <w:spacing w:after="0" w:line="248"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181" w:lineRule="exact"/>
        <w:rPr>
          <w:rFonts w:ascii="Arial" w:cs="Arial" w:eastAsia="Arial" w:hAnsi="Arial"/>
          <w:sz w:val="16"/>
          <w:szCs w:val="16"/>
          <w:color w:val="auto"/>
        </w:rPr>
      </w:pPr>
    </w:p>
    <w:p>
      <w:pPr>
        <w:ind w:left="332" w:right="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1132"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9"/>
              </w:rPr>
              <w:t>TWELVE MONTHS ENDED</w:t>
            </w:r>
          </w:p>
        </w:tc>
      </w:tr>
      <w:tr>
        <w:trPr>
          <w:trHeight w:val="215"/>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21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4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575"/>
        </w:trPr>
        <w:tc>
          <w:tcPr>
            <w:tcW w:w="45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40,955</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28,529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74,481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54,391</w:t>
            </w:r>
          </w:p>
        </w:tc>
      </w:tr>
      <w:tr>
        <w:trPr>
          <w:trHeight w:val="270"/>
        </w:trPr>
        <w:tc>
          <w:tcPr>
            <w:tcW w:w="45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(29,812)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(17,108)</w:t>
            </w:r>
          </w:p>
        </w:tc>
      </w:tr>
      <w:tr>
        <w:trPr>
          <w:trHeight w:val="238"/>
        </w:trPr>
        <w:tc>
          <w:tcPr>
            <w:tcW w:w="4540" w:type="dxa"/>
            <w:vAlign w:val="bottom"/>
          </w:tcPr>
          <w:p>
            <w:pPr>
              <w:ind w:left="220"/>
              <w:spacing w:after="0"/>
              <w:rPr>
                <w:sz w:val="20"/>
                <w:szCs w:val="20"/>
                <w:color w:val="auto"/>
              </w:rPr>
            </w:pPr>
            <w:r>
              <w:rPr>
                <w:rFonts w:ascii="Arial" w:cs="Arial" w:eastAsia="Arial" w:hAnsi="Arial"/>
                <w:sz w:val="16"/>
                <w:szCs w:val="16"/>
                <w:color w:val="auto"/>
              </w:rPr>
              <w:t>Proceeds from disposition of property, plant and</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6"/>
                <w:szCs w:val="16"/>
                <w:color w:val="auto"/>
              </w:rPr>
              <w:t>equipment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5,844</w:t>
            </w:r>
          </w:p>
        </w:tc>
      </w:tr>
      <w:tr>
        <w:trPr>
          <w:trHeight w:val="240"/>
        </w:trPr>
        <w:tc>
          <w:tcPr>
            <w:tcW w:w="454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43,127</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12"/>
          </w:cols>
          <w:pgMar w:left="248" w:top="587" w:right="239" w:bottom="1440" w:gutter="0" w:footer="0" w:header="0"/>
        </w:sectPr>
      </w:pPr>
    </w:p>
    <w:bookmarkStart w:id="13" w:name="page14"/>
    <w:bookmarkEnd w:id="13"/>
    <w:p>
      <w:pPr>
        <w:jc w:val="center"/>
        <w:ind w:right="13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32"/>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49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948"/>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0888"/>
          </w:cols>
          <w:pgMar w:left="572" w:top="743" w:right="439" w:bottom="1440" w:gutter="0" w:footer="0" w:header="0"/>
        </w:sectPr>
      </w:pPr>
    </w:p>
    <w:p>
      <w:pPr>
        <w:spacing w:after="0" w:line="336" w:lineRule="exact"/>
        <w:rPr>
          <w:sz w:val="20"/>
          <w:szCs w:val="20"/>
          <w:color w:val="auto"/>
        </w:rPr>
      </w:pPr>
    </w:p>
    <w:p>
      <w:pPr>
        <w:jc w:val="center"/>
        <w:ind w:left="4508"/>
        <w:spacing w:after="0"/>
        <w:rPr>
          <w:sz w:val="20"/>
          <w:szCs w:val="20"/>
          <w:color w:val="auto"/>
        </w:rPr>
      </w:pPr>
      <w:r>
        <w:rPr>
          <w:rFonts w:ascii="Arial" w:cs="Arial" w:eastAsia="Arial" w:hAnsi="Arial"/>
          <w:sz w:val="16"/>
          <w:szCs w:val="16"/>
          <w:b w:val="1"/>
          <w:bCs w:val="1"/>
          <w:color w:val="auto"/>
        </w:rPr>
        <w:t>THREE MONTHS ENDING</w:t>
      </w:r>
    </w:p>
    <w:p>
      <w:pPr>
        <w:spacing w:after="0" w:line="25" w:lineRule="exact"/>
        <w:rPr>
          <w:sz w:val="20"/>
          <w:szCs w:val="20"/>
          <w:color w:val="auto"/>
        </w:rPr>
      </w:pPr>
    </w:p>
    <w:p>
      <w:pPr>
        <w:jc w:val="center"/>
        <w:ind w:left="4508"/>
        <w:spacing w:after="0"/>
        <w:rPr>
          <w:sz w:val="20"/>
          <w:szCs w:val="20"/>
          <w:color w:val="auto"/>
        </w:rPr>
      </w:pPr>
      <w:r>
        <w:rPr>
          <w:rFonts w:ascii="Arial" w:cs="Arial" w:eastAsia="Arial" w:hAnsi="Arial"/>
          <w:sz w:val="16"/>
          <w:szCs w:val="16"/>
          <w:b w:val="1"/>
          <w:bCs w:val="1"/>
          <w:color w:val="auto"/>
        </w:rPr>
        <w:t>MARCH 31, 2020</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YEAR ENDING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2020</w:t>
      </w:r>
    </w:p>
    <w:p>
      <w:pPr>
        <w:spacing w:after="0" w:line="86" w:lineRule="exact"/>
        <w:rPr>
          <w:sz w:val="20"/>
          <w:szCs w:val="20"/>
          <w:color w:val="auto"/>
        </w:rPr>
      </w:pPr>
    </w:p>
    <w:p>
      <w:pPr>
        <w:sectPr>
          <w:pgSz w:w="11900" w:h="16838" w:orient="portrait"/>
          <w:cols w:equalWidth="0" w:num="2">
            <w:col w:w="6488" w:space="540"/>
            <w:col w:w="3860"/>
          </w:cols>
          <w:pgMar w:left="572" w:top="743" w:right="439" w:bottom="1440" w:gutter="0" w:footer="0" w:header="0"/>
          <w:type w:val="continuous"/>
        </w:sectPr>
      </w:pPr>
    </w:p>
    <w:p>
      <w:pPr>
        <w:ind w:left="1868"/>
        <w:spacing w:after="0"/>
        <w:rPr>
          <w:sz w:val="20"/>
          <w:szCs w:val="20"/>
          <w:color w:val="auto"/>
        </w:rPr>
      </w:pPr>
      <w:r>
        <w:rPr>
          <w:rFonts w:ascii="Arial" w:cs="Arial" w:eastAsia="Arial" w:hAnsi="Arial"/>
          <w:sz w:val="16"/>
          <w:szCs w:val="16"/>
          <w:color w:val="auto"/>
        </w:rPr>
        <w:t>EBITDA Range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spacing w:after="0"/>
        <w:tabs>
          <w:tab w:leader="none" w:pos="180" w:val="left"/>
        </w:tabs>
        <w:rPr>
          <w:sz w:val="20"/>
          <w:szCs w:val="20"/>
          <w:color w:val="auto"/>
        </w:rPr>
      </w:pPr>
      <w:r>
        <w:rPr>
          <w:rFonts w:ascii="Arial" w:cs="Arial" w:eastAsia="Arial" w:hAnsi="Arial"/>
          <w:sz w:val="16"/>
          <w:szCs w:val="16"/>
          <w:color w:val="auto"/>
        </w:rPr>
        <w:t>20.0</w:t>
        <w:tab/>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Arial" w:cs="Arial" w:eastAsia="Arial" w:hAnsi="Arial"/>
          <w:sz w:val="16"/>
          <w:szCs w:val="16"/>
          <w:color w:val="auto"/>
        </w:rPr>
        <w:t>22.0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108.0</w:t>
      </w:r>
    </w:p>
    <w:p>
      <w:pPr>
        <w:spacing w:after="0" w:line="211" w:lineRule="exact"/>
        <w:rPr>
          <w:sz w:val="20"/>
          <w:szCs w:val="20"/>
          <w:color w:val="auto"/>
        </w:rPr>
      </w:pPr>
    </w:p>
    <w:p>
      <w:pPr>
        <w:sectPr>
          <w:pgSz w:w="11900" w:h="16838" w:orient="portrait"/>
          <w:cols w:equalWidth="0" w:num="7">
            <w:col w:w="3688" w:space="720"/>
            <w:col w:w="100" w:space="560"/>
            <w:col w:w="600" w:space="560"/>
            <w:col w:w="600" w:space="460"/>
            <w:col w:w="420" w:space="200"/>
            <w:col w:w="80" w:space="480"/>
            <w:col w:w="2420"/>
          </w:cols>
          <w:pgMar w:left="572" w:top="743" w:right="439" w:bottom="1440" w:gutter="0" w:footer="0" w:header="0"/>
          <w:type w:val="continuous"/>
        </w:sectPr>
      </w:pPr>
    </w:p>
    <w:p>
      <w:pPr>
        <w:spacing w:after="0" w:line="21" w:lineRule="exact"/>
        <w:rPr>
          <w:sz w:val="20"/>
          <w:szCs w:val="20"/>
          <w:color w:val="auto"/>
        </w:rPr>
      </w:pPr>
    </w:p>
    <w:p>
      <w:pPr>
        <w:ind w:left="328" w:hanging="328"/>
        <w:spacing w:after="0" w:line="260"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311" w:lineRule="exact"/>
        <w:rPr>
          <w:sz w:val="20"/>
          <w:szCs w:val="20"/>
          <w:color w:val="auto"/>
        </w:rPr>
      </w:pPr>
    </w:p>
    <w:tbl>
      <w:tblPr>
        <w:tblLayout w:type="fixed"/>
        <w:tblInd w:w="1388"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28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ENDING MARCH</w:t>
            </w:r>
          </w:p>
        </w:tc>
        <w:tc>
          <w:tcPr>
            <w:tcW w:w="320" w:type="dxa"/>
            <w:vAlign w:val="bottom"/>
          </w:tcPr>
          <w:p>
            <w:pPr>
              <w:spacing w:after="0"/>
              <w:rPr>
                <w:sz w:val="16"/>
                <w:szCs w:val="16"/>
                <w:color w:val="auto"/>
              </w:rPr>
            </w:pPr>
          </w:p>
        </w:tc>
        <w:tc>
          <w:tcPr>
            <w:tcW w:w="184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rPr>
              <w:t>YEAR ENDING</w:t>
            </w:r>
          </w:p>
        </w:tc>
        <w:tc>
          <w:tcPr>
            <w:tcW w:w="500" w:type="dxa"/>
            <w:vAlign w:val="bottom"/>
          </w:tcPr>
          <w:p>
            <w:pPr>
              <w:spacing w:after="0"/>
              <w:rPr>
                <w:sz w:val="16"/>
                <w:szCs w:val="16"/>
                <w:color w:val="auto"/>
              </w:rPr>
            </w:pPr>
          </w:p>
        </w:tc>
      </w:tr>
      <w:tr>
        <w:trPr>
          <w:trHeight w:val="215"/>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31, 2020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center"/>
              <w:ind w:left="119"/>
              <w:spacing w:after="0"/>
              <w:rPr>
                <w:sz w:val="20"/>
                <w:szCs w:val="20"/>
                <w:color w:val="auto"/>
              </w:rPr>
            </w:pPr>
            <w:r>
              <w:rPr>
                <w:rFonts w:ascii="Arial" w:cs="Arial" w:eastAsia="Arial" w:hAnsi="Arial"/>
                <w:sz w:val="16"/>
                <w:szCs w:val="16"/>
                <w:b w:val="1"/>
                <w:bCs w:val="1"/>
                <w:color w:val="auto"/>
              </w:rPr>
              <w:t>DECEMBER 31, 2020</w:t>
            </w:r>
          </w:p>
        </w:tc>
        <w:tc>
          <w:tcPr>
            <w:tcW w:w="500" w:type="dxa"/>
            <w:vAlign w:val="bottom"/>
          </w:tcPr>
          <w:p>
            <w:pPr>
              <w:spacing w:after="0"/>
              <w:rPr>
                <w:sz w:val="18"/>
                <w:szCs w:val="18"/>
                <w:color w:val="auto"/>
              </w:rPr>
            </w:pPr>
          </w:p>
        </w:tc>
      </w:tr>
      <w:tr>
        <w:trPr>
          <w:trHeight w:val="270"/>
        </w:trPr>
        <w:tc>
          <w:tcPr>
            <w:tcW w:w="2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(estimated)</w:t>
            </w: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rPr>
              <w:t>(estimated)</w:t>
            </w:r>
          </w:p>
        </w:tc>
        <w:tc>
          <w:tcPr>
            <w:tcW w:w="500" w:type="dxa"/>
            <w:vAlign w:val="bottom"/>
          </w:tcPr>
          <w:p>
            <w:pPr>
              <w:spacing w:after="0"/>
              <w:rPr>
                <w:sz w:val="23"/>
                <w:szCs w:val="23"/>
                <w:color w:val="auto"/>
              </w:rPr>
            </w:pPr>
          </w:p>
        </w:tc>
      </w:tr>
      <w:tr>
        <w:trPr>
          <w:trHeight w:val="594"/>
        </w:trPr>
        <w:tc>
          <w:tcPr>
            <w:tcW w:w="2540" w:type="dxa"/>
            <w:vAlign w:val="bottom"/>
          </w:tcPr>
          <w:p>
            <w:pPr>
              <w:spacing w:after="0"/>
              <w:rPr>
                <w:sz w:val="20"/>
                <w:szCs w:val="20"/>
                <w:color w:val="auto"/>
              </w:rPr>
            </w:pPr>
            <w:r>
              <w:rPr>
                <w:rFonts w:ascii="Arial" w:cs="Arial" w:eastAsia="Arial" w:hAnsi="Arial"/>
                <w:sz w:val="16"/>
                <w:szCs w:val="16"/>
                <w:color w:val="auto"/>
              </w:rPr>
              <w:t>Net loss</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4"/>
                <w:szCs w:val="24"/>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4"/>
                <w:szCs w:val="24"/>
                <w:color w:val="auto"/>
              </w:rPr>
            </w:pPr>
          </w:p>
        </w:tc>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254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70"/>
        </w:trPr>
        <w:tc>
          <w:tcPr>
            <w:tcW w:w="25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83"/>
        </w:trPr>
        <w:tc>
          <w:tcPr>
            <w:tcW w:w="2540" w:type="dxa"/>
            <w:vAlign w:val="bottom"/>
          </w:tcPr>
          <w:p>
            <w:pPr>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40"/>
        </w:trPr>
        <w:tc>
          <w:tcPr>
            <w:tcW w:w="2540" w:type="dxa"/>
            <w:vAlign w:val="bottom"/>
          </w:tcPr>
          <w:p>
            <w:pPr>
              <w:ind w:left="220"/>
              <w:spacing w:after="0"/>
              <w:rPr>
                <w:sz w:val="20"/>
                <w:szCs w:val="20"/>
                <w:color w:val="auto"/>
              </w:rPr>
            </w:pPr>
            <w:r>
              <w:rPr>
                <w:rFonts w:ascii="Arial" w:cs="Arial" w:eastAsia="Arial" w:hAnsi="Arial"/>
                <w:sz w:val="16"/>
                <w:szCs w:val="16"/>
                <w:color w:val="auto"/>
              </w:rPr>
              <w:t>EBITDA</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108.0</w:t>
            </w:r>
          </w:p>
        </w:tc>
      </w:tr>
      <w:tr>
        <w:trPr>
          <w:trHeight w:val="20"/>
        </w:trPr>
        <w:tc>
          <w:tcPr>
            <w:tcW w:w="2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88"/>
          </w:cols>
          <w:pgMar w:left="572" w:top="743" w:right="439" w:bottom="1440" w:gutter="0" w:footer="0" w:header="0"/>
          <w:type w:val="continuous"/>
        </w:sectPr>
      </w:pPr>
    </w:p>
    <w:bookmarkStart w:id="14" w:name="page15"/>
    <w:bookmarkEnd w:id="14"/>
    <w:p>
      <w:pPr>
        <w:jc w:val="center"/>
        <w:ind w:right="-3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1392"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gridSpan w:val="5"/>
          </w:tcPr>
          <w:p>
            <w:pPr>
              <w:jc w:val="right"/>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20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413"/>
        </w:trPr>
        <w:tc>
          <w:tcPr>
            <w:tcW w:w="4120" w:type="dxa"/>
            <w:vAlign w:val="bottom"/>
          </w:tcPr>
          <w:p>
            <w:pPr>
              <w:spacing w:after="0"/>
              <w:rPr>
                <w:sz w:val="20"/>
                <w:szCs w:val="20"/>
                <w:color w:val="auto"/>
              </w:rPr>
            </w:pPr>
            <w:r>
              <w:rPr>
                <w:rFonts w:ascii="Arial" w:cs="Arial" w:eastAsia="Arial" w:hAnsi="Arial"/>
                <w:sz w:val="16"/>
                <w:szCs w:val="16"/>
                <w:color w:val="auto"/>
              </w:rPr>
              <w:t>Supplemental Operating Data - Canadian Segment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120" w:type="dxa"/>
            <w:vAlign w:val="bottom"/>
          </w:tcPr>
          <w:p>
            <w:pPr>
              <w:ind w:left="220"/>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12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77,803</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62,641</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281,577</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266,899</w:t>
            </w:r>
          </w:p>
        </w:tc>
      </w:tr>
      <w:tr>
        <w:trPr>
          <w:trHeight w:val="270"/>
        </w:trPr>
        <w:tc>
          <w:tcPr>
            <w:tcW w:w="4120" w:type="dxa"/>
            <w:vAlign w:val="bottom"/>
          </w:tcPr>
          <w:p>
            <w:pPr>
              <w:ind w:left="440"/>
              <w:spacing w:after="0"/>
              <w:rPr>
                <w:sz w:val="20"/>
                <w:szCs w:val="20"/>
                <w:color w:val="auto"/>
              </w:rPr>
            </w:pPr>
            <w:r>
              <w:rPr>
                <w:rFonts w:ascii="Arial" w:cs="Arial" w:eastAsia="Arial" w:hAnsi="Arial"/>
                <w:sz w:val="16"/>
                <w:szCs w:val="16"/>
                <w:color w:val="auto"/>
              </w:rPr>
              <w:t>Mobile facility rental revenue (2)</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9,575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9,316</w:t>
            </w:r>
          </w:p>
        </w:tc>
      </w:tr>
      <w:tr>
        <w:trPr>
          <w:trHeight w:val="270"/>
        </w:trPr>
        <w:tc>
          <w:tcPr>
            <w:tcW w:w="4120" w:type="dxa"/>
            <w:vAlign w:val="bottom"/>
          </w:tcPr>
          <w:p>
            <w:pPr>
              <w:ind w:left="440"/>
              <w:spacing w:after="0"/>
              <w:rPr>
                <w:sz w:val="20"/>
                <w:szCs w:val="20"/>
                <w:color w:val="auto"/>
              </w:rPr>
            </w:pPr>
            <w:r>
              <w:rPr>
                <w:rFonts w:ascii="Arial" w:cs="Arial" w:eastAsia="Arial" w:hAnsi="Arial"/>
                <w:sz w:val="16"/>
                <w:szCs w:val="16"/>
                <w:color w:val="auto"/>
              </w:rPr>
              <w:t>Food and other services revenue (3)</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33,485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15,601</w:t>
            </w:r>
          </w:p>
        </w:tc>
      </w:tr>
      <w:tr>
        <w:trPr>
          <w:trHeight w:val="283"/>
        </w:trPr>
        <w:tc>
          <w:tcPr>
            <w:tcW w:w="4120" w:type="dxa"/>
            <w:vAlign w:val="bottom"/>
          </w:tcPr>
          <w:p>
            <w:pPr>
              <w:ind w:left="440"/>
              <w:spacing w:after="0"/>
              <w:rPr>
                <w:sz w:val="20"/>
                <w:szCs w:val="20"/>
                <w:color w:val="auto"/>
              </w:rPr>
            </w:pPr>
            <w:r>
              <w:rPr>
                <w:rFonts w:ascii="Arial" w:cs="Arial" w:eastAsia="Arial" w:hAnsi="Arial"/>
                <w:sz w:val="16"/>
                <w:szCs w:val="16"/>
                <w:color w:val="auto"/>
              </w:rPr>
              <w:t>Manufacturing revenue (4)</w:t>
            </w:r>
          </w:p>
        </w:tc>
        <w:tc>
          <w:tcPr>
            <w:tcW w:w="1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4,196</w:t>
            </w:r>
          </w:p>
        </w:tc>
      </w:tr>
      <w:tr>
        <w:trPr>
          <w:trHeight w:val="237"/>
        </w:trPr>
        <w:tc>
          <w:tcPr>
            <w:tcW w:w="412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89,708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325,651</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296,012</w:t>
            </w:r>
          </w:p>
        </w:tc>
      </w:tr>
      <w:tr>
        <w:trPr>
          <w:trHeight w:val="432"/>
        </w:trPr>
        <w:tc>
          <w:tcPr>
            <w:tcW w:w="4120" w:type="dxa"/>
            <w:vAlign w:val="bottom"/>
          </w:tcPr>
          <w:p>
            <w:pPr>
              <w:ind w:left="240"/>
              <w:spacing w:after="0"/>
              <w:rPr>
                <w:sz w:val="20"/>
                <w:szCs w:val="20"/>
                <w:color w:val="auto"/>
              </w:rPr>
            </w:pPr>
            <w:r>
              <w:rPr>
                <w:rFonts w:ascii="Arial" w:cs="Arial" w:eastAsia="Arial" w:hAnsi="Arial"/>
                <w:sz w:val="16"/>
                <w:szCs w:val="16"/>
                <w:color w:val="auto"/>
              </w:rPr>
              <w:t>Costs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12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50,539</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43,335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187,679</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182,387</w:t>
            </w:r>
          </w:p>
        </w:tc>
      </w:tr>
      <w:tr>
        <w:trPr>
          <w:trHeight w:val="270"/>
        </w:trPr>
        <w:tc>
          <w:tcPr>
            <w:tcW w:w="4120" w:type="dxa"/>
            <w:vAlign w:val="bottom"/>
          </w:tcPr>
          <w:p>
            <w:pPr>
              <w:ind w:left="460"/>
              <w:spacing w:after="0"/>
              <w:rPr>
                <w:sz w:val="20"/>
                <w:szCs w:val="20"/>
                <w:color w:val="auto"/>
              </w:rPr>
            </w:pPr>
            <w:r>
              <w:rPr>
                <w:rFonts w:ascii="Arial" w:cs="Arial" w:eastAsia="Arial" w:hAnsi="Arial"/>
                <w:sz w:val="16"/>
                <w:szCs w:val="16"/>
                <w:color w:val="auto"/>
              </w:rPr>
              <w:t>Mobile facility rental cost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7,493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9,985</w:t>
            </w:r>
          </w:p>
        </w:tc>
      </w:tr>
      <w:tr>
        <w:trPr>
          <w:trHeight w:val="270"/>
        </w:trPr>
        <w:tc>
          <w:tcPr>
            <w:tcW w:w="412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30,595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14,756</w:t>
            </w:r>
          </w:p>
        </w:tc>
      </w:tr>
      <w:tr>
        <w:trPr>
          <w:trHeight w:val="270"/>
        </w:trPr>
        <w:tc>
          <w:tcPr>
            <w:tcW w:w="4120" w:type="dxa"/>
            <w:vAlign w:val="bottom"/>
          </w:tcPr>
          <w:p>
            <w:pPr>
              <w:ind w:left="460"/>
              <w:spacing w:after="0"/>
              <w:rPr>
                <w:sz w:val="20"/>
                <w:szCs w:val="20"/>
                <w:color w:val="auto"/>
              </w:rPr>
            </w:pPr>
            <w:r>
              <w:rPr>
                <w:rFonts w:ascii="Arial" w:cs="Arial" w:eastAsia="Arial" w:hAnsi="Arial"/>
                <w:sz w:val="16"/>
                <w:szCs w:val="16"/>
                <w:color w:val="auto"/>
              </w:rPr>
              <w:t>Manufacturing cost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4,995</w:t>
            </w:r>
          </w:p>
        </w:tc>
      </w:tr>
      <w:tr>
        <w:trPr>
          <w:trHeight w:val="283"/>
        </w:trPr>
        <w:tc>
          <w:tcPr>
            <w:tcW w:w="412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12,832</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15,134</w:t>
            </w:r>
          </w:p>
        </w:tc>
      </w:tr>
      <w:tr>
        <w:trPr>
          <w:trHeight w:val="237"/>
        </w:trPr>
        <w:tc>
          <w:tcPr>
            <w:tcW w:w="4120" w:type="dxa"/>
            <w:vAlign w:val="bottom"/>
          </w:tcPr>
          <w:p>
            <w:pPr>
              <w:ind w:left="680"/>
              <w:spacing w:after="0"/>
              <w:rPr>
                <w:sz w:val="20"/>
                <w:szCs w:val="20"/>
                <w:color w:val="auto"/>
              </w:rPr>
            </w:pPr>
            <w:r>
              <w:rPr>
                <w:rFonts w:ascii="Arial" w:cs="Arial" w:eastAsia="Arial" w:hAnsi="Arial"/>
                <w:sz w:val="16"/>
                <w:szCs w:val="16"/>
                <w:color w:val="auto"/>
              </w:rPr>
              <w:t>Total Canadian cost of sales and services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63,424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54,985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239,624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227,257</w:t>
            </w:r>
          </w:p>
        </w:tc>
      </w:tr>
      <w:tr>
        <w:trPr>
          <w:trHeight w:val="432"/>
        </w:trPr>
        <w:tc>
          <w:tcPr>
            <w:tcW w:w="412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432"/>
        </w:trPr>
        <w:tc>
          <w:tcPr>
            <w:tcW w:w="412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837,217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687,217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3,078,727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3,007,229</w:t>
            </w:r>
          </w:p>
        </w:tc>
      </w:tr>
      <w:tr>
        <w:trPr>
          <w:trHeight w:val="432"/>
        </w:trPr>
        <w:tc>
          <w:tcPr>
            <w:tcW w:w="412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0.758</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0.757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0.754</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0.772</w:t>
            </w:r>
          </w:p>
        </w:tc>
      </w:tr>
      <w:tr>
        <w:trPr>
          <w:trHeight w:val="594"/>
        </w:trPr>
        <w:tc>
          <w:tcPr>
            <w:tcW w:w="4120" w:type="dxa"/>
            <w:vAlign w:val="bottom"/>
          </w:tcPr>
          <w:p>
            <w:pPr>
              <w:spacing w:after="0"/>
              <w:rPr>
                <w:sz w:val="20"/>
                <w:szCs w:val="20"/>
                <w:color w:val="auto"/>
              </w:rPr>
            </w:pPr>
            <w:r>
              <w:rPr>
                <w:rFonts w:ascii="Arial" w:cs="Arial" w:eastAsia="Arial" w:hAnsi="Arial"/>
                <w:sz w:val="16"/>
                <w:szCs w:val="16"/>
                <w:color w:val="auto"/>
              </w:rPr>
              <w:t>Supplemental Operating Data - Australian Segment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12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33,574</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29,553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126,047</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117,896</w:t>
            </w:r>
          </w:p>
        </w:tc>
      </w:tr>
      <w:tr>
        <w:trPr>
          <w:trHeight w:val="283"/>
        </w:trPr>
        <w:tc>
          <w:tcPr>
            <w:tcW w:w="4120" w:type="dxa"/>
            <w:vAlign w:val="bottom"/>
          </w:tcPr>
          <w:p>
            <w:pPr>
              <w:ind w:left="440"/>
              <w:spacing w:after="0"/>
              <w:rPr>
                <w:sz w:val="20"/>
                <w:szCs w:val="20"/>
                <w:color w:val="auto"/>
              </w:rPr>
            </w:pPr>
            <w:r>
              <w:rPr>
                <w:rFonts w:ascii="Arial" w:cs="Arial" w:eastAsia="Arial" w:hAnsi="Arial"/>
                <w:sz w:val="16"/>
                <w:szCs w:val="16"/>
                <w:color w:val="auto"/>
              </w:rPr>
              <w:t>Food and other services revenue (3)</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30,046</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w:t>
            </w:r>
          </w:p>
        </w:tc>
      </w:tr>
      <w:tr>
        <w:trPr>
          <w:trHeight w:val="237"/>
        </w:trPr>
        <w:tc>
          <w:tcPr>
            <w:tcW w:w="412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48,933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29,696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156,093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119,238</w:t>
            </w:r>
          </w:p>
        </w:tc>
      </w:tr>
      <w:tr>
        <w:trPr>
          <w:trHeight w:val="432"/>
        </w:trPr>
        <w:tc>
          <w:tcPr>
            <w:tcW w:w="4120" w:type="dxa"/>
            <w:vAlign w:val="bottom"/>
          </w:tcPr>
          <w:p>
            <w:pPr>
              <w:ind w:left="240"/>
              <w:spacing w:after="0"/>
              <w:rPr>
                <w:sz w:val="20"/>
                <w:szCs w:val="20"/>
                <w:color w:val="auto"/>
              </w:rPr>
            </w:pPr>
            <w:r>
              <w:rPr>
                <w:rFonts w:ascii="Arial" w:cs="Arial" w:eastAsia="Arial" w:hAnsi="Arial"/>
                <w:sz w:val="16"/>
                <w:szCs w:val="16"/>
                <w:color w:val="auto"/>
              </w:rPr>
              <w:t>Costs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12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15,229</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14,424</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60,045</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57,366</w:t>
            </w:r>
          </w:p>
        </w:tc>
      </w:tr>
      <w:tr>
        <w:trPr>
          <w:trHeight w:val="270"/>
        </w:trPr>
        <w:tc>
          <w:tcPr>
            <w:tcW w:w="412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26,073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83"/>
        </w:trPr>
        <w:tc>
          <w:tcPr>
            <w:tcW w:w="412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r>
      <w:tr>
        <w:trPr>
          <w:trHeight w:val="237"/>
        </w:trPr>
        <w:tc>
          <w:tcPr>
            <w:tcW w:w="4120" w:type="dxa"/>
            <w:vAlign w:val="bottom"/>
          </w:tcPr>
          <w:p>
            <w:pPr>
              <w:ind w:left="680"/>
              <w:spacing w:after="0"/>
              <w:rPr>
                <w:sz w:val="20"/>
                <w:szCs w:val="20"/>
                <w:color w:val="auto"/>
              </w:rPr>
            </w:pPr>
            <w:r>
              <w:rPr>
                <w:rFonts w:ascii="Arial" w:cs="Arial" w:eastAsia="Arial" w:hAnsi="Arial"/>
                <w:sz w:val="16"/>
                <w:szCs w:val="16"/>
                <w:color w:val="auto"/>
              </w:rPr>
              <w:t>Total Australian cost of sales and services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29,372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15,179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89,090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61,068</w:t>
            </w:r>
          </w:p>
        </w:tc>
      </w:tr>
      <w:tr>
        <w:trPr>
          <w:trHeight w:val="432"/>
        </w:trPr>
        <w:tc>
          <w:tcPr>
            <w:tcW w:w="412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432"/>
        </w:trPr>
        <w:tc>
          <w:tcPr>
            <w:tcW w:w="412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463,330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397,335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1,717,186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1,512,030</w:t>
            </w:r>
          </w:p>
        </w:tc>
      </w:tr>
      <w:tr>
        <w:trPr>
          <w:trHeight w:val="432"/>
        </w:trPr>
        <w:tc>
          <w:tcPr>
            <w:tcW w:w="41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0.684</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0.718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0.695</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0.748</w:t>
            </w:r>
          </w:p>
        </w:tc>
      </w:tr>
    </w:tbl>
    <w:p>
      <w:pPr>
        <w:spacing w:after="0" w:line="210" w:lineRule="exact"/>
        <w:rPr>
          <w:sz w:val="20"/>
          <w:szCs w:val="20"/>
          <w:color w:val="auto"/>
        </w:rPr>
      </w:pPr>
    </w:p>
    <w:p>
      <w:pPr>
        <w:ind w:left="332" w:hanging="332"/>
        <w:spacing w:after="0"/>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revenues related to modular construction services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72"/>
          </w:cols>
          <w:pgMar w:left="248" w:top="743" w:right="5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713-353-5407</w:t>
      </w:r>
    </w:p>
    <w:sectPr>
      <w:pgSz w:w="11900" w:h="16838" w:orient="portrait"/>
      <w:cols w:equalWidth="0" w:num="1">
        <w:col w:w="10219"/>
      </w:cols>
      <w:pgMar w:left="240" w:top="7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2"/>
    </w:lvl>
  </w:abstractNum>
  <w:abstractNum w:abstractNumId="5">
    <w:nsid w:val="41B71EFB"/>
    <w:multiLevelType w:val="hybridMultilevel"/>
    <w:lvl w:ilvl="0">
      <w:lvlJc w:val="left"/>
      <w:lvlText w:val="(%1)"/>
      <w:numFmt w:val="decimal"/>
      <w:start w:val="2"/>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2020-02-27T08:31:00Z</dcterms:created>
  <dcterms:modified xsi:type="dcterms:W3CDTF">2020-02-27T08:31:00Z</dcterms:modified>
</cp:coreProperties>
</file>