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___)*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Civeo Corp</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17878Y207</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p>
      <w:pPr>
        <w:jc w:val="both"/>
        <w:ind w:left="860" w:right="7399" w:hanging="9"/>
        <w:spacing w:after="0" w:line="536" w:lineRule="auto"/>
        <w:tabs>
          <w:tab w:leader="none" w:pos="138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 w:lineRule="exact"/>
        <w:rPr>
          <w:sz w:val="24"/>
          <w:szCs w:val="24"/>
          <w:color w:val="auto"/>
        </w:rPr>
      </w:pPr>
    </w:p>
    <w:p>
      <w:pPr>
        <w:ind w:right="275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75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17878Y207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Horizon Kinetics Asset Management LLC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(see instructions)</w:t>
      </w:r>
    </w:p>
    <w:p>
      <w:pPr>
        <w:spacing w:after="0" w:line="224"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 Sec Use Only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Owned by Each Reporting Person With:</w:t>
      </w:r>
    </w:p>
    <w:p>
      <w:pPr>
        <w:sectPr>
          <w:pgSz w:w="11900" w:h="16854" w:orient="portrait"/>
          <w:cols w:equalWidth="0" w:num="1">
            <w:col w:w="10139"/>
          </w:cols>
          <w:pgMar w:left="320" w:top="218" w:right="1440" w:bottom="0" w:gutter="0" w:footer="0" w:header="0"/>
        </w:sectPr>
      </w:pPr>
    </w:p>
    <w:p>
      <w:pPr>
        <w:spacing w:after="0" w:line="169"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5 Sole Voting Power:</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3,870,376</w:t>
      </w:r>
    </w:p>
    <w:p>
      <w:pPr>
        <w:spacing w:after="0" w:line="200" w:lineRule="exact"/>
        <w:rPr>
          <w:sz w:val="24"/>
          <w:szCs w:val="24"/>
          <w:color w:val="auto"/>
        </w:rPr>
      </w:pPr>
    </w:p>
    <w:p>
      <w:pPr>
        <w:sectPr>
          <w:pgSz w:w="11900" w:h="16854" w:orient="portrait"/>
          <w:cols w:equalWidth="0" w:num="2">
            <w:col w:w="2960" w:space="620"/>
            <w:col w:w="6559"/>
          </w:cols>
          <w:pgMar w:left="320" w:top="218" w:right="1440" w:bottom="0" w:gutter="0" w:footer="0" w:header="0"/>
          <w:type w:val="continuous"/>
        </w:sectPr>
      </w:pPr>
    </w:p>
    <w:p>
      <w:pPr>
        <w:spacing w:after="0" w:line="2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6 Shared Voting Power: 0</w:t>
      </w:r>
    </w:p>
    <w:p>
      <w:pPr>
        <w:sectPr>
          <w:pgSz w:w="11900" w:h="16854" w:orient="portrait"/>
          <w:cols w:equalWidth="0" w:num="1">
            <w:col w:w="10139"/>
          </w:cols>
          <w:pgMar w:left="320" w:top="218" w:right="1440" w:bottom="0" w:gutter="0" w:footer="0" w:header="0"/>
          <w:type w:val="continuous"/>
        </w:sectPr>
      </w:pPr>
    </w:p>
    <w:p>
      <w:pPr>
        <w:spacing w:after="0" w:line="224" w:lineRule="exact"/>
        <w:rPr>
          <w:sz w:val="24"/>
          <w:szCs w:val="24"/>
          <w:color w:val="auto"/>
        </w:rPr>
      </w:pPr>
    </w:p>
    <w:p>
      <w:pPr>
        <w:ind w:left="860"/>
        <w:spacing w:after="0"/>
        <w:tabs>
          <w:tab w:leader="none" w:pos="3980" w:val="left"/>
        </w:tabs>
        <w:rPr>
          <w:sz w:val="20"/>
          <w:szCs w:val="20"/>
          <w:color w:val="auto"/>
        </w:rPr>
      </w:pPr>
      <w:r>
        <w:rPr>
          <w:rFonts w:ascii="Courier New" w:cs="Courier New" w:eastAsia="Courier New" w:hAnsi="Courier New"/>
          <w:sz w:val="18"/>
          <w:szCs w:val="18"/>
          <w:color w:val="auto"/>
        </w:rPr>
        <w:t>7 Sole Dispositive Power:</w:t>
      </w:r>
      <w:r>
        <w:rPr>
          <w:sz w:val="20"/>
          <w:szCs w:val="20"/>
          <w:color w:val="auto"/>
        </w:rPr>
        <w:tab/>
      </w:r>
      <w:r>
        <w:rPr>
          <w:rFonts w:ascii="Courier New" w:cs="Courier New" w:eastAsia="Courier New" w:hAnsi="Courier New"/>
          <w:sz w:val="16"/>
          <w:szCs w:val="16"/>
          <w:color w:val="auto"/>
        </w:rPr>
        <w:t>3,870,376</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8 Shared Dispositive Power: 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 Aggregate Amount Beneficially Owned by Each Reporting Person:</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3,870,376</w:t>
      </w:r>
    </w:p>
    <w:p>
      <w:pPr>
        <w:spacing w:after="0" w:line="169" w:lineRule="exact"/>
        <w:rPr>
          <w:sz w:val="24"/>
          <w:szCs w:val="24"/>
          <w:color w:val="auto"/>
        </w:rPr>
      </w:pPr>
    </w:p>
    <w:p>
      <w:pPr>
        <w:ind w:right="2659"/>
        <w:spacing w:after="0" w:line="346" w:lineRule="auto"/>
        <w:rPr>
          <w:sz w:val="20"/>
          <w:szCs w:val="20"/>
          <w:color w:val="auto"/>
        </w:rPr>
      </w:pPr>
      <w:r>
        <w:rPr>
          <w:rFonts w:ascii="Courier New" w:cs="Courier New" w:eastAsia="Courier New" w:hAnsi="Courier New"/>
          <w:sz w:val="18"/>
          <w:szCs w:val="18"/>
          <w:color w:val="auto"/>
        </w:rPr>
        <w:t>10 Check box if the aggregate amount in row (9) excludes certain shares (See Instructions)[ ]</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 28.2%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 Type of Reporting Person (See Instructions): IA</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Name of Issuer:</w:t>
      </w:r>
    </w:p>
    <w:p>
      <w:pPr>
        <w:sectPr>
          <w:pgSz w:w="11900" w:h="16854" w:orient="portrait"/>
          <w:cols w:equalWidth="0" w:num="1">
            <w:col w:w="10139"/>
          </w:cols>
          <w:pgMar w:left="320" w:top="218" w:right="1440" w:bottom="0" w:gutter="0" w:footer="0" w:header="0"/>
          <w:type w:val="continuous"/>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CIVEO CORP.</w:t>
      </w:r>
    </w:p>
    <w:p>
      <w:pPr>
        <w:spacing w:after="0" w:line="201" w:lineRule="exact"/>
        <w:rPr>
          <w:sz w:val="20"/>
          <w:szCs w:val="20"/>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THREE ALLEN CENTER, 333 CLAY STREET, SUITE 4980, HOUSTON TEXAS 77002</w:t>
      </w:r>
    </w:p>
    <w:p>
      <w:pPr>
        <w:spacing w:after="0" w:line="238" w:lineRule="auto"/>
        <w:rPr>
          <w:sz w:val="20"/>
          <w:szCs w:val="20"/>
          <w:color w:val="auto"/>
        </w:rPr>
      </w:pPr>
      <w:r>
        <w:rPr>
          <w:rFonts w:ascii="Courier New" w:cs="Courier New" w:eastAsia="Courier New" w:hAnsi="Courier New"/>
          <w:sz w:val="18"/>
          <w:szCs w:val="18"/>
          <w:color w:val="auto"/>
        </w:rPr>
        <w:t>Item 2.</w:t>
      </w:r>
    </w:p>
    <w:p>
      <w:pPr>
        <w:ind w:left="860" w:hanging="852"/>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Persons Filing:</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Horizon Kinetics Asset Management LLC</w:t>
      </w:r>
    </w:p>
    <w:p>
      <w:pPr>
        <w:spacing w:after="0" w:line="169" w:lineRule="exact"/>
        <w:rPr>
          <w:rFonts w:ascii="Courier New" w:cs="Courier New" w:eastAsia="Courier New" w:hAnsi="Courier New"/>
          <w:sz w:val="18"/>
          <w:szCs w:val="18"/>
          <w:color w:val="auto"/>
        </w:rPr>
      </w:pPr>
    </w:p>
    <w:p>
      <w:pPr>
        <w:ind w:left="860" w:right="2979" w:hanging="852"/>
        <w:spacing w:after="0" w:line="40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470 Park Avenue South, 4th Floor South, NY, NY, 10016</w:t>
      </w:r>
    </w:p>
    <w:p>
      <w:pPr>
        <w:ind w:left="860" w:right="8019" w:hanging="852"/>
        <w:spacing w:after="0" w:line="40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Delaware</w:t>
      </w:r>
    </w:p>
    <w:p>
      <w:pPr>
        <w:ind w:left="860" w:right="6139" w:hanging="852"/>
        <w:spacing w:after="0" w:line="346"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and Class of Securities: common Stock</w:t>
      </w:r>
    </w:p>
    <w:p>
      <w:pPr>
        <w:spacing w:after="0" w:line="19"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No.:17878Y207</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372" w:lineRule="exact"/>
        <w:rPr>
          <w:sz w:val="20"/>
          <w:szCs w:val="20"/>
          <w:color w:val="auto"/>
        </w:rPr>
      </w:pPr>
    </w:p>
    <w:p>
      <w:pPr>
        <w:ind w:right="2859" w:firstLine="851"/>
        <w:spacing w:after="0" w:line="346" w:lineRule="auto"/>
        <w:tabs>
          <w:tab w:leader="none" w:pos="168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 13d-1(b)(1)(ii)(E).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9"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r>
        <w:rPr>
          <w:rFonts w:ascii="Courier New" w:cs="Courier New" w:eastAsia="Courier New" w:hAnsi="Courier New"/>
          <w:sz w:val="16"/>
          <w:szCs w:val="16"/>
          <w:color w:val="auto"/>
        </w:rPr>
        <w:t>3,870,376</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28.2%</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700" w:hanging="849"/>
        <w:spacing w:after="0"/>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r>
        <w:rPr>
          <w:rFonts w:ascii="Courier New" w:cs="Courier New" w:eastAsia="Courier New" w:hAnsi="Courier New"/>
          <w:sz w:val="16"/>
          <w:szCs w:val="16"/>
          <w:color w:val="auto"/>
        </w:rPr>
        <w:t>3,870,376</w:t>
      </w:r>
    </w:p>
    <w:p>
      <w:pPr>
        <w:ind w:left="1700" w:hanging="849"/>
        <w:spacing w:after="0" w:line="238" w:lineRule="auto"/>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ind w:left="1700" w:hanging="849"/>
        <w:spacing w:after="0"/>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r>
        <w:rPr>
          <w:rFonts w:ascii="Courier New" w:cs="Courier New" w:eastAsia="Courier New" w:hAnsi="Courier New"/>
          <w:sz w:val="16"/>
          <w:szCs w:val="16"/>
          <w:color w:val="auto"/>
        </w:rPr>
        <w:t>3,870,376</w:t>
      </w:r>
    </w:p>
    <w:p>
      <w:pPr>
        <w:ind w:left="1700" w:hanging="849"/>
        <w:spacing w:after="0"/>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200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9"/>
              </w:rPr>
              <w:t>of Five Percent or</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Less of a Class.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If this</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c>
          <w:tcPr>
            <w:tcW w:w="46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7"/>
              </w:rPr>
              <w:t>is being filed to report the fact that as of</w:t>
            </w:r>
          </w:p>
        </w:tc>
      </w:tr>
      <w:tr>
        <w:trPr>
          <w:trHeight w:val="203"/>
        </w:trPr>
        <w:tc>
          <w:tcPr>
            <w:tcW w:w="2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the date hereof the</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w:t>
            </w:r>
          </w:p>
        </w:tc>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person has ceased to be the</w:t>
            </w:r>
          </w:p>
        </w:tc>
      </w:tr>
      <w:tr>
        <w:trPr>
          <w:trHeight w:val="203"/>
        </w:trPr>
        <w:tc>
          <w:tcPr>
            <w:tcW w:w="2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beneficial owner of</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more than</w:t>
            </w:r>
          </w:p>
        </w:tc>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five percent of the class of</w:t>
            </w:r>
          </w:p>
        </w:tc>
      </w:tr>
      <w:tr>
        <w:trPr>
          <w:trHeight w:val="296"/>
        </w:trPr>
        <w:tc>
          <w:tcPr>
            <w:tcW w:w="1860" w:type="dxa"/>
            <w:vAlign w:val="bottom"/>
            <w:gridSpan w:val="2"/>
          </w:tcPr>
          <w:p>
            <w:pPr>
              <w:spacing w:after="0"/>
              <w:rPr>
                <w:sz w:val="20"/>
                <w:szCs w:val="20"/>
                <w:color w:val="auto"/>
              </w:rPr>
            </w:pPr>
            <w:r>
              <w:rPr>
                <w:rFonts w:ascii="Courier New" w:cs="Courier New" w:eastAsia="Courier New" w:hAnsi="Courier New"/>
                <w:sz w:val="18"/>
                <w:szCs w:val="18"/>
                <w:color w:val="auto"/>
              </w:rPr>
              <w:t>securities, check</w:t>
            </w:r>
          </w:p>
        </w:tc>
        <w:tc>
          <w:tcPr>
            <w:tcW w:w="2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the following [</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w:t>
            </w:r>
          </w:p>
        </w:tc>
      </w:tr>
    </w:tbl>
    <w:p>
      <w:pPr>
        <w:spacing w:after="0" w:line="109" w:lineRule="exact"/>
        <w:rPr>
          <w:sz w:val="20"/>
          <w:szCs w:val="20"/>
          <w:color w:val="auto"/>
        </w:rPr>
      </w:pPr>
    </w:p>
    <w:p>
      <w:pPr>
        <w:ind w:right="3399"/>
        <w:spacing w:after="0" w:line="257"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 which</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acquired the security being reported on by the parent holding</w:t>
      </w:r>
    </w:p>
    <w:p>
      <w:pPr>
        <w:spacing w:after="0" w:line="238" w:lineRule="auto"/>
        <w:rPr>
          <w:sz w:val="20"/>
          <w:szCs w:val="20"/>
          <w:color w:val="auto"/>
        </w:rPr>
      </w:pPr>
      <w:r>
        <w:rPr>
          <w:rFonts w:ascii="Courier New" w:cs="Courier New" w:eastAsia="Courier New" w:hAnsi="Courier New"/>
          <w:sz w:val="18"/>
          <w:szCs w:val="18"/>
          <w:color w:val="auto"/>
        </w:rPr>
        <w:t>company or control person.</w:t>
      </w:r>
    </w:p>
    <w:p>
      <w:pPr>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1" w:lineRule="exact"/>
        <w:rPr>
          <w:sz w:val="20"/>
          <w:szCs w:val="20"/>
          <w:color w:val="auto"/>
        </w:rPr>
      </w:pPr>
    </w:p>
    <w:p>
      <w:pPr>
        <w:ind w:right="2559"/>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7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30, 2023</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Jay Kesslen</w:t>
      </w:r>
    </w:p>
    <w:p>
      <w:pPr>
        <w:spacing w:after="0" w:line="238" w:lineRule="auto"/>
        <w:rPr>
          <w:sz w:val="20"/>
          <w:szCs w:val="20"/>
          <w:color w:val="auto"/>
        </w:rPr>
      </w:pPr>
      <w:r>
        <w:rPr>
          <w:rFonts w:ascii="Courier New" w:cs="Courier New" w:eastAsia="Courier New" w:hAnsi="Courier New"/>
          <w:sz w:val="18"/>
          <w:szCs w:val="18"/>
          <w:color w:val="auto"/>
        </w:rPr>
        <w:t>Jay Kesslen</w:t>
      </w:r>
    </w:p>
    <w:p>
      <w:pPr>
        <w:spacing w:after="0"/>
        <w:rPr>
          <w:sz w:val="20"/>
          <w:szCs w:val="20"/>
          <w:color w:val="auto"/>
        </w:rPr>
      </w:pPr>
      <w:r>
        <w:rPr>
          <w:rFonts w:ascii="Courier New" w:cs="Courier New" w:eastAsia="Courier New" w:hAnsi="Courier New"/>
          <w:sz w:val="18"/>
          <w:szCs w:val="18"/>
          <w:color w:val="auto"/>
        </w:rPr>
        <w:t>General Counsel</w:t>
      </w:r>
    </w:p>
    <w:sectPr>
      <w:pgSz w:w="11900" w:h="16838" w:orient="portrait"/>
      <w:cols w:equalWidth="0" w:num="1">
        <w:col w:w="10139"/>
      </w:cols>
      <w:pgMar w:left="320" w:top="110" w:right="1440" w:bottom="7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5"/>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2023-01-30T10:54:04Z</dcterms:created>
  <dcterms:modified xsi:type="dcterms:W3CDTF">2023-01-30T10:54:04Z</dcterms:modified>
</cp:coreProperties>
</file>