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29, 2020</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71" w:lineRule="exact"/>
        <w:rPr>
          <w:sz w:val="24"/>
          <w:szCs w:val="24"/>
          <w:color w:val="auto"/>
        </w:rPr>
      </w:pPr>
    </w:p>
    <w:p>
      <w:pPr>
        <w:ind w:left="740"/>
        <w:spacing w:after="0"/>
        <w:tabs>
          <w:tab w:leader="none" w:pos="5240" w:val="left"/>
          <w:tab w:leader="none" w:pos="8520" w:val="left"/>
        </w:tabs>
        <w:rPr>
          <w:sz w:val="20"/>
          <w:szCs w:val="20"/>
          <w:color w:val="auto"/>
        </w:rPr>
      </w:pPr>
      <w:r>
        <w:rPr>
          <w:rFonts w:ascii="Arial" w:cs="Arial" w:eastAsia="Arial" w:hAnsi="Arial"/>
          <w:sz w:val="22"/>
          <w:szCs w:val="22"/>
          <w:b w:val="1"/>
          <w:bCs w:val="1"/>
          <w:color w:val="auto"/>
        </w:rPr>
        <w:t>British Columbia, Canada</w:t>
      </w:r>
      <w:r>
        <w:rPr>
          <w:sz w:val="20"/>
          <w:szCs w:val="20"/>
          <w:color w:val="auto"/>
        </w:rPr>
        <w:tab/>
      </w:r>
      <w:r>
        <w:rPr>
          <w:rFonts w:ascii="Arial" w:cs="Arial" w:eastAsia="Arial" w:hAnsi="Arial"/>
          <w:sz w:val="22"/>
          <w:szCs w:val="22"/>
          <w:b w:val="1"/>
          <w:bCs w:val="1"/>
          <w:color w:val="auto"/>
        </w:rPr>
        <w:t>1-36246</w:t>
      </w:r>
      <w:r>
        <w:rPr>
          <w:sz w:val="20"/>
          <w:szCs w:val="20"/>
          <w:color w:val="auto"/>
        </w:rPr>
        <w:tab/>
      </w:r>
      <w:r>
        <w:rPr>
          <w:rFonts w:ascii="Arial" w:cs="Arial" w:eastAsia="Arial" w:hAnsi="Arial"/>
          <w:sz w:val="19"/>
          <w:szCs w:val="19"/>
          <w:b w:val="1"/>
          <w:bCs w:val="1"/>
          <w:color w:val="auto"/>
        </w:rPr>
        <w:t>98-1253716</w:t>
      </w:r>
    </w:p>
    <w:p>
      <w:pPr>
        <w:spacing w:after="0" w:line="28" w:lineRule="exact"/>
        <w:rPr>
          <w:sz w:val="24"/>
          <w:szCs w:val="24"/>
          <w:color w:val="auto"/>
        </w:rPr>
      </w:pPr>
    </w:p>
    <w:p>
      <w:pPr>
        <w:ind w:left="1220"/>
        <w:spacing w:after="0"/>
        <w:tabs>
          <w:tab w:leader="none" w:pos="4940" w:val="left"/>
          <w:tab w:leader="none" w:pos="82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w:t>
      </w:r>
      <w:r>
        <w:rPr>
          <w:sz w:val="20"/>
          <w:szCs w:val="20"/>
          <w:color w:val="auto"/>
        </w:rPr>
        <w:tab/>
      </w:r>
      <w:r>
        <w:rPr>
          <w:rFonts w:ascii="Arial" w:cs="Arial" w:eastAsia="Arial" w:hAnsi="Arial"/>
          <w:sz w:val="16"/>
          <w:szCs w:val="16"/>
          <w:color w:val="auto"/>
        </w:rPr>
        <w:t>(I.R.S. Employer</w:t>
      </w:r>
    </w:p>
    <w:p>
      <w:pPr>
        <w:ind w:left="980"/>
        <w:spacing w:after="0"/>
        <w:tabs>
          <w:tab w:leader="none" w:pos="5260" w:val="left"/>
          <w:tab w:leader="none" w:pos="8180" w:val="left"/>
        </w:tabs>
        <w:rPr>
          <w:sz w:val="20"/>
          <w:szCs w:val="20"/>
          <w:color w:val="auto"/>
        </w:rPr>
      </w:pPr>
      <w:r>
        <w:rPr>
          <w:rFonts w:ascii="Arial" w:cs="Arial" w:eastAsia="Arial" w:hAnsi="Arial"/>
          <w:sz w:val="18"/>
          <w:szCs w:val="18"/>
          <w:color w:val="auto"/>
        </w:rPr>
        <w:t>of incorporation or organization)</w:t>
      </w:r>
      <w:r>
        <w:rPr>
          <w:sz w:val="20"/>
          <w:szCs w:val="20"/>
          <w:color w:val="auto"/>
        </w:rPr>
        <w:tab/>
      </w:r>
      <w:r>
        <w:rPr>
          <w:rFonts w:ascii="Arial" w:cs="Arial" w:eastAsia="Arial" w:hAnsi="Arial"/>
          <w:sz w:val="18"/>
          <w:szCs w:val="18"/>
          <w:color w:val="auto"/>
        </w:rPr>
        <w:t>Number)</w:t>
      </w:r>
      <w:r>
        <w:rPr>
          <w:sz w:val="20"/>
          <w:szCs w:val="20"/>
          <w:color w:val="auto"/>
        </w:rPr>
        <w:tab/>
      </w:r>
      <w:r>
        <w:rPr>
          <w:rFonts w:ascii="Arial" w:cs="Arial" w:eastAsia="Arial" w:hAnsi="Arial"/>
          <w:sz w:val="17"/>
          <w:szCs w:val="17"/>
          <w:color w:val="auto"/>
        </w:rPr>
        <w:t>Identification No.)</w:t>
      </w:r>
    </w:p>
    <w:p>
      <w:pPr>
        <w:spacing w:after="0" w:line="155" w:lineRule="exact"/>
        <w:rPr>
          <w:sz w:val="24"/>
          <w:szCs w:val="24"/>
          <w:color w:val="auto"/>
        </w:rPr>
      </w:pPr>
    </w:p>
    <w:p>
      <w:pPr>
        <w:ind w:left="4720"/>
        <w:spacing w:after="0"/>
        <w:rPr>
          <w:sz w:val="20"/>
          <w:szCs w:val="20"/>
          <w:color w:val="auto"/>
        </w:rPr>
      </w:pPr>
      <w:r>
        <w:rPr>
          <w:rFonts w:ascii="Arial" w:cs="Arial" w:eastAsia="Arial" w:hAnsi="Arial"/>
          <w:sz w:val="22"/>
          <w:szCs w:val="22"/>
          <w:b w:val="1"/>
          <w:bCs w:val="1"/>
          <w:color w:val="auto"/>
        </w:rPr>
        <w:t>Three Allen Center</w:t>
      </w:r>
    </w:p>
    <w:p>
      <w:pPr>
        <w:spacing w:after="0" w:line="152" w:lineRule="exact"/>
        <w:rPr>
          <w:sz w:val="24"/>
          <w:szCs w:val="24"/>
          <w:color w:val="auto"/>
        </w:rPr>
      </w:pPr>
    </w:p>
    <w:p>
      <w:pPr>
        <w:ind w:left="4380"/>
        <w:spacing w:after="0"/>
        <w:rPr>
          <w:sz w:val="20"/>
          <w:szCs w:val="20"/>
          <w:color w:val="auto"/>
        </w:rPr>
      </w:pPr>
      <w:r>
        <w:rPr>
          <w:rFonts w:ascii="Arial" w:cs="Arial" w:eastAsia="Arial" w:hAnsi="Arial"/>
          <w:sz w:val="22"/>
          <w:szCs w:val="22"/>
          <w:b w:val="1"/>
          <w:bCs w:val="1"/>
          <w:color w:val="auto"/>
        </w:rPr>
        <w:t>333 Clay Street, Suite 4980</w:t>
      </w:r>
    </w:p>
    <w:p>
      <w:pPr>
        <w:spacing w:after="0" w:line="179" w:lineRule="exact"/>
        <w:rPr>
          <w:sz w:val="24"/>
          <w:szCs w:val="24"/>
          <w:color w:val="auto"/>
        </w:rPr>
      </w:pPr>
    </w:p>
    <w:p>
      <w:pPr>
        <w:ind w:left="4720"/>
        <w:spacing w:after="0"/>
        <w:tabs>
          <w:tab w:leader="none" w:pos="6460" w:val="left"/>
        </w:tabs>
        <w:rPr>
          <w:sz w:val="20"/>
          <w:szCs w:val="20"/>
          <w:color w:val="auto"/>
        </w:rPr>
      </w:pPr>
      <w:r>
        <w:rPr>
          <w:rFonts w:ascii="Arial" w:cs="Arial" w:eastAsia="Arial" w:hAnsi="Arial"/>
          <w:sz w:val="22"/>
          <w:szCs w:val="22"/>
          <w:b w:val="1"/>
          <w:bCs w:val="1"/>
          <w:color w:val="auto"/>
        </w:rPr>
        <w:t>Houston, Texas</w:t>
      </w:r>
      <w:r>
        <w:rPr>
          <w:sz w:val="20"/>
          <w:szCs w:val="20"/>
          <w:color w:val="auto"/>
        </w:rPr>
        <w:tab/>
      </w:r>
      <w:r>
        <w:rPr>
          <w:rFonts w:ascii="Arial" w:cs="Arial" w:eastAsia="Arial" w:hAnsi="Arial"/>
          <w:sz w:val="19"/>
          <w:szCs w:val="19"/>
          <w:b w:val="1"/>
          <w:bCs w:val="1"/>
          <w:color w:val="auto"/>
        </w:rPr>
        <w:t>77002</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zip code of principal executive offices)</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70"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8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800" w:type="dxa"/>
            <w:vAlign w:val="bottom"/>
            <w:tcBorders>
              <w:left w:val="single" w:sz="8" w:color="00000A"/>
              <w:bottom w:val="single" w:sz="8" w:color="00000A"/>
              <w:right w:val="single" w:sz="8" w:color="00000A"/>
            </w:tcBorders>
          </w:tcPr>
          <w:p>
            <w:pPr>
              <w:spacing w:after="0"/>
              <w:rPr>
                <w:sz w:val="9"/>
                <w:szCs w:val="9"/>
                <w:color w:val="auto"/>
              </w:rPr>
            </w:pPr>
          </w:p>
        </w:tc>
        <w:tc>
          <w:tcPr>
            <w:tcW w:w="2600" w:type="dxa"/>
            <w:vAlign w:val="bottom"/>
            <w:tcBorders>
              <w:bottom w:val="single" w:sz="8" w:color="00000A"/>
              <w:right w:val="single" w:sz="8" w:color="00000A"/>
            </w:tcBorders>
          </w:tcPr>
          <w:p>
            <w:pPr>
              <w:spacing w:after="0"/>
              <w:rPr>
                <w:sz w:val="9"/>
                <w:szCs w:val="9"/>
                <w:color w:val="auto"/>
              </w:rPr>
            </w:pPr>
          </w:p>
        </w:tc>
        <w:tc>
          <w:tcPr>
            <w:tcW w:w="4820" w:type="dxa"/>
            <w:vAlign w:val="bottom"/>
            <w:tcBorders>
              <w:bottom w:val="single" w:sz="8" w:color="00000A"/>
              <w:right w:val="single" w:sz="8" w:color="00000A"/>
            </w:tcBorders>
          </w:tcPr>
          <w:p>
            <w:pPr>
              <w:spacing w:after="0"/>
              <w:rPr>
                <w:sz w:val="9"/>
                <w:szCs w:val="9"/>
                <w:color w:val="auto"/>
              </w:rPr>
            </w:pPr>
          </w:p>
        </w:tc>
      </w:tr>
      <w:tr>
        <w:trPr>
          <w:trHeight w:val="224"/>
        </w:trPr>
        <w:tc>
          <w:tcPr>
            <w:tcW w:w="38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8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800" w:type="dxa"/>
            <w:vAlign w:val="bottom"/>
            <w:tcBorders>
              <w:left w:val="single" w:sz="8" w:color="00000A"/>
              <w:bottom w:val="single" w:sz="8" w:color="00000A"/>
              <w:right w:val="single" w:sz="8" w:color="00000A"/>
            </w:tcBorders>
          </w:tcPr>
          <w:p>
            <w:pPr>
              <w:spacing w:after="0"/>
              <w:rPr>
                <w:sz w:val="9"/>
                <w:szCs w:val="9"/>
                <w:color w:val="auto"/>
              </w:rPr>
            </w:pPr>
          </w:p>
        </w:tc>
        <w:tc>
          <w:tcPr>
            <w:tcW w:w="2600" w:type="dxa"/>
            <w:vAlign w:val="bottom"/>
            <w:tcBorders>
              <w:bottom w:val="single" w:sz="8" w:color="00000A"/>
              <w:right w:val="single" w:sz="8" w:color="00000A"/>
            </w:tcBorders>
          </w:tcPr>
          <w:p>
            <w:pPr>
              <w:spacing w:after="0"/>
              <w:rPr>
                <w:sz w:val="9"/>
                <w:szCs w:val="9"/>
                <w:color w:val="auto"/>
              </w:rPr>
            </w:pPr>
          </w:p>
        </w:tc>
        <w:tc>
          <w:tcPr>
            <w:tcW w:w="4820" w:type="dxa"/>
            <w:vAlign w:val="bottom"/>
            <w:tcBorders>
              <w:bottom w:val="single" w:sz="8" w:color="00000A"/>
              <w:right w:val="single" w:sz="8" w:color="00000A"/>
            </w:tcBorders>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20"/>
          </w:cols>
          <w:pgMar w:left="320" w:top="1390" w:right="359" w:bottom="1440" w:gutter="0" w:footer="0" w:header="0"/>
        </w:sectPr>
      </w:pPr>
    </w:p>
    <w:p>
      <w:pPr>
        <w:spacing w:after="0" w:line="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613"/>
        <w:spacing w:after="0" w:line="253" w:lineRule="auto"/>
        <w:rPr>
          <w:sz w:val="20"/>
          <w:szCs w:val="20"/>
          <w:color w:val="auto"/>
        </w:rPr>
      </w:pPr>
      <w:r>
        <w:rPr>
          <w:rFonts w:ascii="Arial" w:cs="Arial" w:eastAsia="Arial" w:hAnsi="Arial"/>
          <w:sz w:val="22"/>
          <w:szCs w:val="22"/>
          <w:color w:val="auto"/>
        </w:rPr>
        <w:t>On July 29, 2020, Civeo Corporation (“Civeo”) issued a press release announcing its financial condition and results of operations as of and for the quarter ended June 30, 2020.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40" w:hanging="300"/>
        <w:spacing w:after="0"/>
        <w:tabs>
          <w:tab w:leader="none" w:pos="74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1760" w:type="dxa"/>
            <w:vAlign w:val="bottom"/>
            <w:gridSpan w:val="3"/>
          </w:tcPr>
          <w:p>
            <w:pPr>
              <w:spacing w:after="0" w:line="253" w:lineRule="exact"/>
              <w:rPr>
                <w:sz w:val="20"/>
                <w:szCs w:val="20"/>
                <w:color w:val="auto"/>
              </w:rPr>
            </w:pPr>
            <w:r>
              <w:rPr>
                <w:rFonts w:ascii="Arial" w:cs="Arial" w:eastAsia="Arial" w:hAnsi="Arial"/>
                <w:sz w:val="22"/>
                <w:szCs w:val="22"/>
                <w:color w:val="auto"/>
              </w:rPr>
              <w:t xml:space="preserve">Exhibit </w:t>
            </w:r>
            <w:r>
              <w:rPr>
                <w:rFonts w:ascii="MS PGothic" w:cs="MS PGothic" w:eastAsia="MS PGothic" w:hAnsi="MS PGothic"/>
                <w:sz w:val="22"/>
                <w:szCs w:val="22"/>
                <w:color w:val="auto"/>
              </w:rPr>
              <w:t> </w:t>
            </w:r>
            <w:r>
              <w:rPr>
                <w:rFonts w:ascii="Arial" w:cs="Arial" w:eastAsia="Arial" w:hAnsi="Arial"/>
                <w:sz w:val="22"/>
                <w:szCs w:val="22"/>
                <w:color w:val="auto"/>
              </w:rPr>
              <w:t>Number</w:t>
            </w:r>
          </w:p>
        </w:tc>
        <w:tc>
          <w:tcPr>
            <w:tcW w:w="292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r>
      <w:tr>
        <w:trPr>
          <w:trHeight w:val="27"/>
        </w:trPr>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r>
      <w:tr>
        <w:trPr>
          <w:trHeight w:val="577"/>
        </w:trPr>
        <w:tc>
          <w:tcPr>
            <w:tcW w:w="640" w:type="dxa"/>
            <w:vAlign w:val="bottom"/>
          </w:tcPr>
          <w:p>
            <w:pPr>
              <w:spacing w:after="0"/>
              <w:rPr>
                <w:sz w:val="20"/>
                <w:szCs w:val="20"/>
                <w:color w:val="auto"/>
              </w:rPr>
            </w:pPr>
            <w:r>
              <w:rPr>
                <w:rFonts w:ascii="Arial" w:cs="Arial" w:eastAsia="Arial" w:hAnsi="Arial"/>
                <w:sz w:val="22"/>
                <w:szCs w:val="22"/>
                <w:color w:val="auto"/>
              </w:rPr>
              <w:t>99.1</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2"/>
          </w:tcPr>
          <w:p>
            <w:pPr>
              <w:spacing w:after="0"/>
              <w:rPr>
                <w:rFonts w:ascii="Arial" w:cs="Arial" w:eastAsia="Arial" w:hAnsi="Arial"/>
                <w:sz w:val="22"/>
                <w:szCs w:val="22"/>
                <w:color w:val="0000FF"/>
                <w:w w:val="84"/>
              </w:rPr>
            </w:pPr>
            <w:hyperlink w:anchor="page5">
              <w:r>
                <w:rPr>
                  <w:rFonts w:ascii="Arial" w:cs="Arial" w:eastAsia="Arial" w:hAnsi="Arial"/>
                  <w:sz w:val="22"/>
                  <w:szCs w:val="22"/>
                  <w:u w:val="single" w:color="auto"/>
                  <w:color w:val="0000FF"/>
                  <w:w w:val="84"/>
                </w:rPr>
                <w:t>Press Release dated July</w:t>
              </w:r>
              <w:r>
                <w:rPr>
                  <w:rFonts w:ascii="Arial" w:cs="Arial" w:eastAsia="Arial" w:hAnsi="Arial"/>
                  <w:sz w:val="22"/>
                  <w:szCs w:val="22"/>
                  <w:color w:val="0000FF"/>
                  <w:w w:val="84"/>
                </w:rPr>
                <w:t xml:space="preserve"> 29, </w:t>
              </w:r>
              <w:r>
                <w:rPr>
                  <w:rFonts w:ascii="Arial" w:cs="Arial" w:eastAsia="Arial" w:hAnsi="Arial"/>
                  <w:sz w:val="22"/>
                  <w:szCs w:val="22"/>
                  <w:u w:val="single" w:color="auto"/>
                  <w:color w:val="0000FF"/>
                  <w:w w:val="84"/>
                </w:rPr>
                <w:t>2020</w:t>
              </w:r>
            </w:hyperlink>
          </w:p>
        </w:tc>
      </w:tr>
    </w:tbl>
    <w:p>
      <w:pPr>
        <w:sectPr>
          <w:pgSz w:w="11900" w:h="16838" w:orient="portrait"/>
          <w:cols w:equalWidth="0" w:num="1">
            <w:col w:w="11240"/>
          </w:cols>
          <w:pgMar w:left="320" w:top="130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Dated: July 29, 2020</w:t>
      </w:r>
    </w:p>
    <w:p>
      <w:pPr>
        <w:spacing w:after="0" w:line="254"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1026160</wp:posOffset>
            </wp:positionH>
            <wp:positionV relativeFrom="paragraph">
              <wp:posOffset>-17780</wp:posOffset>
            </wp:positionV>
            <wp:extent cx="1143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Name: Carolyn J. Stone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Second Quarter 2020 Results</w:t>
      </w:r>
    </w:p>
    <w:p>
      <w:pPr>
        <w:spacing w:after="0" w:line="200" w:lineRule="exact"/>
        <w:rPr>
          <w:sz w:val="20"/>
          <w:szCs w:val="20"/>
          <w:color w:val="auto"/>
        </w:rPr>
      </w:pPr>
    </w:p>
    <w:p>
      <w:pPr>
        <w:spacing w:after="0" w:line="326"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HOUSTON and CALGARY, July 29, 2020 (BUSINESS WIRE) -- Civeo Corporation (NYSE:CVEO) today reported financial and operating results for the second quarter ended June 30,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second quarter revenues of $114.7 million, net income of $6.1 million and operating cash flow of $24.5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second quarter Adjusted EBITDA of $28.1 million and free cash flow of $25.1 million;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leverage ratio to 2.34x as of June 30, 2020 from 2.54x as of March 31, 2020.</w:t>
      </w: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 am pleased with the financial performance of the Company in the second quarter given this environment, but I am most proud of our team’s safety performance during this challenging time. Their efforts to keep each other and our guests safe and our locations open are a testament to Civeo's core values. As we are all still working hard to navigate the COVID-19 pandemic, I want to once again thank our employees for their commitment and focus during this difficult time. I am proud of how our team has handled this pandemic and we have received extremely positive feedback from our customers and other stakeholders. We are continuing to closely monitor the COVID-19 situation and follow our stringent safety protocols,“ stated Bradley J. Dodson, Civeo's President and Chief Executive Officer.</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Mr. Dodson continued, “Civeo’s second quarter financial performance underscores 1) our team’s ability to execute quickly and respond to difficult market conditions; 2) our strong customer relationships and contracts; and 3) the benefits of the Company’s diversified geographic and commodity end-market footprint. While keeping our customers and guests safe, we were able to address our cost structure quickly in North America as occupancy and activity decreased swiftly in March and April. With a strong market position in Canada, we were able to capture the majority of the occupancy in our target markets, allowing us to generate positive operational contributions. Our differentiating exposure to the Australian natural resources industry also benefited the company as occupancy and profitability continued to improve in that region. The second quarter’s solid performance was highlighted by a 44% year-over-year increase in our Australian segment’s Adjusted EBITDA. In total, despite the significant decline in oil prices and related decline in Canadian occupancy, we continued to generate strong free cash flow and reduce our leverage ratio."</w:t>
      </w:r>
    </w:p>
    <w:p>
      <w:pPr>
        <w:spacing w:after="0" w:line="2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Mr. Dodson concluded, "Looking forward, we expect occupancy in Canada to improve modestly in the second half of 2020 compared to the second quarter run rate, and we expect continued strength in our Australian operations. Overall our focus remains the same: continue to operate safely, maximize cash flow generation and reduce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2020 Results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the second quarter of 2020, Civeo generated revenues of $114.7 million and reported net income of $6.1 million (diluted net income of $5.3 million or $ 0.03 per diluted share). Net income includes $4.7 million of income ($4.7 million after-tax, or $0.03 per diluted share) associated with the settlement of a representations and warranties claim related to the Noralta acquisition. During the second quarter of 2020, Civeo produced operating cash flow of $24.5 million, Adjusted EBITDA of $28.1 million and free cash flow of $ 25.1 million. The second quarter of 2020 Adjusted EBITDA outperformed the second quarter of 2019 primarily due to increased occupancy in our Australian Bowen Basin villages, the contribution from the Action Catering acquisition and $6.2 million of other income related to proceeds from the Canada Emergency Wage Subsidy ("CEWS").</w:t>
      </w:r>
    </w:p>
    <w:p>
      <w:pPr>
        <w:spacing w:after="0" w:line="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By comparison, in the second quarter of 2019, Civeo generated revenues of $122.2 million and reported a net loss of $15.3 million, or $0.09 per diluted share. The second quarter net loss included asset impairments in Australia totaling $5.5 million, or $0.03 per diluted share. During the second quarter of 2019, Civeo produced operating cash flow of $3.6 million and Adjusted EBITDA of $26.5 million.</w:t>
      </w:r>
    </w:p>
    <w:p>
      <w:pPr>
        <w:spacing w:after="0" w:line="1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w:t>
      </w:r>
      <w:r>
        <w:rPr>
          <w:rFonts w:ascii="Arial" w:cs="Arial" w:eastAsia="Arial" w:hAnsi="Arial"/>
          <w:sz w:val="16"/>
          <w:szCs w:val="16"/>
          <w:color w:val="auto"/>
        </w:rPr>
        <w:t>, adjustments</w:t>
      </w:r>
      <w:r>
        <w:rPr>
          <w:rFonts w:ascii="Arial" w:cs="Arial" w:eastAsia="Arial" w:hAnsi="Arial"/>
          <w:sz w:val="18"/>
          <w:szCs w:val="18"/>
          <w:color w:val="auto"/>
        </w:rPr>
        <w:t xml:space="preserve"> regarding an asset retirement obligation recorded in the second quarter of 2019 and proceeds from a representations and warranties claim related to a prior acquisition. Free cash flow is a non-GAAP financial measure that is defined as net cash flows provided by operating activities less capital expenditures plus proceeds from asset sales. Please see the reconciliations to GAAP measures at the end of this news release.)</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2020 to the results for the second quarter of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During the second quarter of 2020, the Canadian segment generated revenues of $53.0 million, operating loss of $6.7 million and Adjusted EBITDA of $15.3 million, compared to revenues of $78.1 million, operating loss of $5.8 million and Adjusted EBITDA of $16.3 million in the second quarter of 2019. The second quarter of 2020 Adjusted EBITDA included $6.2 million of other income related to proceeds from the CEWS and a $1.7 million gain on sale of assets from the partial sale of assets from our Henday lodge.</w:t>
      </w:r>
    </w:p>
    <w:p>
      <w:pPr>
        <w:spacing w:after="0" w:line="23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a constant currency basis, the Canadian segment experienced a 30% period-over-period decrease in revenues driven by a 45% year-over-year reduction in billed rooms related to decreased customer activity due to the decline in oil prices and the COVID-19 pandemic. Adjusted EBITDA for the Canadian segment decreased 19% year-over-year primarily due to lower billed rooms in the oil sands lodges, partially offset by the CEWS proceeds and a higher gain on sale of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During the second quarter of 2020, the Australian segment generated revenues of $ 57.1 million, operating income of $8.2 million and Adjusted EBITDA of $18.8 million, compared to revenues of $31.0 million, operating loss of $5.6 million and Adjusted EBITDA of $13.0 million in the second quarter of 2019. The second quarter of 2020 results reflect the impact of a weakened Australian dollar relative to the U.S. dollar, which decreased revenues and Adjusted EBITDA by $2.2 million and $1.2 million, respectively.</w:t>
      </w:r>
    </w:p>
    <w:p>
      <w:pPr>
        <w:spacing w:after="0" w:line="136" w:lineRule="exact"/>
        <w:rPr>
          <w:sz w:val="20"/>
          <w:szCs w:val="20"/>
          <w:color w:val="auto"/>
        </w:rPr>
      </w:pPr>
    </w:p>
    <w:p>
      <w:pPr>
        <w:jc w:val="both"/>
        <w:ind w:right="520"/>
        <w:spacing w:after="0" w:line="250" w:lineRule="auto"/>
        <w:rPr>
          <w:sz w:val="20"/>
          <w:szCs w:val="20"/>
          <w:color w:val="auto"/>
        </w:rPr>
      </w:pPr>
      <w:r>
        <w:rPr>
          <w:rFonts w:ascii="Arial" w:cs="Arial" w:eastAsia="Arial" w:hAnsi="Arial"/>
          <w:sz w:val="18"/>
          <w:szCs w:val="18"/>
          <w:color w:val="auto"/>
        </w:rPr>
        <w:t>On a constant currency basis, the Australian segment experienced a 96% period-over-period increase in revenues primarily driven by contributions from the acquisition of Action Catering coupled with increased occupancy at our Bowen Basin villages. Australian village occupancy increased 21% year-over-year largely due to continued improvement in metallurgical coal activity across the Bowen Basin.</w:t>
      </w:r>
    </w:p>
    <w:p>
      <w:pPr>
        <w:spacing w:after="0" w:line="1"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Adjusted EBITDA from the Australian segment increased 44% year-over-year due to higher village occupancy coupled with contributions from the acquisition of Action Catering. Australian revenues in the second quarter of 2020 increased more year-over-year than Australian Adjusted EBITDA due to the inherent lower margins in the service-only business model of Action Catering.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The U.S. segment generated revenues of $4.6 million, operating loss of $2.6 million and negative Adjusted EBITDA of $1.4 million in the second quarter of 2020, compared to revenues of $13.1 million, operating loss of $1.4 million and Adjusted EBITDA of $2.6 million in the second quarter of 2019. Revenues and Adjusted EBITDA declined year-over-year primarily due to lower drilling and completion activity coupled with lower occupancy in the U.S. lodges.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Civeo recognized an income tax expense of $0.1 million, which resulted in an effective tax rate of 2%, in the second quarter of 2020. During the second quarter of 2019, Civeo recognized an income tax benefit of $2.9 million, which resulted in an effective tax rate of 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June 30, 2020, Civeo had total liquidity of approximately $166.2 million, consisting of $158.9 million available under its revolving credit facilities and $7.3 million of cash on hand.</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Civeo’s total debt outstanding on June 30, 2020 was $299.5 million, a $15.3 million decrease since March 31, 2020. The decrease consisted of $28.0 million in debt payments from cash flow generated by the business, partially offset by an unfavorable foreign currency translation impact of $12.7 million.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leverage ratio from 2.54x as of March 31, 2020 to 2.34x as of June 30, 2020.</w:t>
      </w:r>
    </w:p>
    <w:p>
      <w:pPr>
        <w:spacing w:after="0" w:line="15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second quarter of 2020, Civeo invested $1.2 million in capital expenditures, down from $11.5 million during the second quarter of 2019 due to the completion of the Sitka lodge expansion in 2019.</w:t>
      </w:r>
    </w:p>
    <w:p>
      <w:pPr>
        <w:sectPr>
          <w:pgSz w:w="11900" w:h="16838" w:orient="portrait"/>
          <w:cols w:equalWidth="0" w:num="1">
            <w:col w:w="11160"/>
          </w:cols>
          <w:pgMar w:left="320" w:top="908"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Full Year 2020 Guidance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Civeo is again providing full year 2020 revenue and EBITDA guidance. For the full year of 2020, Civeo expects revenues of $476 million to $486 million and Adjusted EBITDA of $80 million to $85 million. This guidance is based on our expectations as of the date hereof and assumes no material changes to the current macro environment, or conditions related to the COVID-19 pandemic and the responses thereto. The Company is maintaining its full year 2020 capital expenditure guidance of approximately $15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Civeo will host a conference call to discuss its second quarter 2020 financial results today at 11:00 a.m. Eastern time. This call is being webcast and can be accessed at Civeo's website at www.civeo.com. Participants may also join the conference call by dialing (800) 263-0877 in the United States or (646) 828-8143 internationally and using the conference ID 6978181#. A replay will be available after the call by dialing (844) 512-2921 in the United States or (412) 317-6671 internationally and using the conference ID 6978181#.</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expectations in the Canada and Australia segments,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the development of new projects, including whether such projects will continue in the future, risks associated with the trading price of the company’s common shares, availability and cost of capital, risks associated with our ability to remain in compliance with our financial covenants in our debt agreements,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2019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ectPr>
          <w:pgSz w:w="11900" w:h="16838" w:orient="portrait"/>
          <w:cols w:equalWidth="0" w:num="1">
            <w:col w:w="11220"/>
          </w:cols>
          <w:pgMar w:left="320" w:top="90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 Financial Schedules Follow -</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5"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4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r>
      <w:tr>
        <w:trPr>
          <w:trHeight w:val="222"/>
        </w:trPr>
        <w:tc>
          <w:tcPr>
            <w:tcW w:w="4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460"/>
        </w:trPr>
        <w:tc>
          <w:tcPr>
            <w:tcW w:w="4120" w:type="dxa"/>
            <w:vAlign w:val="bottom"/>
          </w:tcPr>
          <w:p>
            <w:pPr>
              <w:spacing w:after="0"/>
              <w:rPr>
                <w:sz w:val="20"/>
                <w:szCs w:val="20"/>
                <w:color w:val="auto"/>
              </w:rPr>
            </w:pPr>
            <w:r>
              <w:rPr>
                <w:rFonts w:ascii="Arial" w:cs="Arial" w:eastAsia="Arial" w:hAnsi="Arial"/>
                <w:sz w:val="14"/>
                <w:szCs w:val="14"/>
                <w:color w:val="auto"/>
              </w:rPr>
              <w:t>Revenues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114,702</w:t>
            </w:r>
          </w:p>
        </w:tc>
        <w:tc>
          <w:tcPr>
            <w:tcW w:w="18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122,153</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253,494</w:t>
            </w:r>
          </w:p>
        </w:tc>
        <w:tc>
          <w:tcPr>
            <w:tcW w:w="18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230,703</w:t>
            </w:r>
          </w:p>
        </w:tc>
      </w:tr>
      <w:tr>
        <w:trPr>
          <w:trHeight w:val="473"/>
        </w:trPr>
        <w:tc>
          <w:tcPr>
            <w:tcW w:w="4120" w:type="dxa"/>
            <w:vAlign w:val="bottom"/>
          </w:tcPr>
          <w:p>
            <w:pPr>
              <w:spacing w:after="0"/>
              <w:rPr>
                <w:sz w:val="20"/>
                <w:szCs w:val="20"/>
                <w:color w:val="auto"/>
              </w:rPr>
            </w:pPr>
            <w:r>
              <w:rPr>
                <w:rFonts w:ascii="Arial" w:cs="Arial" w:eastAsia="Arial" w:hAnsi="Arial"/>
                <w:sz w:val="14"/>
                <w:szCs w:val="14"/>
                <w:color w:val="auto"/>
              </w:rPr>
              <w:t>Costs and expenses: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Cost of sales and services</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83,133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85,240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186,446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164,870</w:t>
            </w: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11,490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12,530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25,427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28,626</w:t>
            </w: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Depreciation and amortization expense</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22,205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30,996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47,707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61,778</w:t>
            </w: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Impairment expense</w:t>
            </w:r>
          </w:p>
        </w:tc>
        <w:tc>
          <w:tcPr>
            <w:tcW w:w="3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144,120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5,546</w:t>
            </w:r>
          </w:p>
        </w:tc>
      </w:tr>
      <w:tr>
        <w:trPr>
          <w:trHeight w:val="222"/>
        </w:trPr>
        <w:tc>
          <w:tcPr>
            <w:tcW w:w="4120" w:type="dxa"/>
            <w:vAlign w:val="bottom"/>
          </w:tcPr>
          <w:p>
            <w:pPr>
              <w:ind w:left="100"/>
              <w:spacing w:after="0"/>
              <w:rPr>
                <w:sz w:val="20"/>
                <w:szCs w:val="20"/>
                <w:color w:val="auto"/>
              </w:rPr>
            </w:pPr>
            <w:r>
              <w:rPr>
                <w:rFonts w:ascii="Arial" w:cs="Arial" w:eastAsia="Arial" w:hAnsi="Arial"/>
                <w:sz w:val="14"/>
                <w:szCs w:val="14"/>
                <w:color w:val="auto"/>
              </w:rPr>
              <w:t>Other operating expense (income)</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r>
      <w:tr>
        <w:trPr>
          <w:trHeight w:val="209"/>
        </w:trPr>
        <w:tc>
          <w:tcPr>
            <w:tcW w:w="4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116,543</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134,209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404,404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260,652</w:t>
            </w:r>
          </w:p>
        </w:tc>
      </w:tr>
      <w:tr>
        <w:trPr>
          <w:trHeight w:val="203"/>
        </w:trPr>
        <w:tc>
          <w:tcPr>
            <w:tcW w:w="4120" w:type="dxa"/>
            <w:vAlign w:val="bottom"/>
          </w:tcPr>
          <w:p>
            <w:pPr>
              <w:spacing w:after="0"/>
              <w:rPr>
                <w:sz w:val="20"/>
                <w:szCs w:val="20"/>
                <w:color w:val="auto"/>
              </w:rPr>
            </w:pPr>
            <w:r>
              <w:rPr>
                <w:rFonts w:ascii="Arial" w:cs="Arial" w:eastAsia="Arial" w:hAnsi="Arial"/>
                <w:sz w:val="14"/>
                <w:szCs w:val="14"/>
                <w:color w:val="auto"/>
              </w:rPr>
              <w:t>Operating loss</w:t>
            </w:r>
          </w:p>
        </w:tc>
        <w:tc>
          <w:tcPr>
            <w:tcW w:w="36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(1,841)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(12,056)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(150,910)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(29,949)</w:t>
            </w:r>
          </w:p>
        </w:tc>
      </w:tr>
      <w:tr>
        <w:trPr>
          <w:trHeight w:val="473"/>
        </w:trPr>
        <w:tc>
          <w:tcPr>
            <w:tcW w:w="4120" w:type="dxa"/>
            <w:vAlign w:val="bottom"/>
          </w:tcPr>
          <w:p>
            <w:pPr>
              <w:spacing w:after="0"/>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(3,854)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(6,720)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(9,449)</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(13,355)</w:t>
            </w:r>
          </w:p>
        </w:tc>
      </w:tr>
      <w:tr>
        <w:trPr>
          <w:trHeight w:val="216"/>
        </w:trPr>
        <w:tc>
          <w:tcPr>
            <w:tcW w:w="4120" w:type="dxa"/>
            <w:vAlign w:val="bottom"/>
          </w:tcPr>
          <w:p>
            <w:pPr>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22"/>
        </w:trPr>
        <w:tc>
          <w:tcPr>
            <w:tcW w:w="4120" w:type="dxa"/>
            <w:vAlign w:val="bottom"/>
          </w:tcPr>
          <w:p>
            <w:pPr>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12,667</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4,033</w:t>
            </w:r>
          </w:p>
        </w:tc>
      </w:tr>
      <w:tr>
        <w:trPr>
          <w:trHeight w:val="204"/>
        </w:trPr>
        <w:tc>
          <w:tcPr>
            <w:tcW w:w="4120" w:type="dxa"/>
            <w:vAlign w:val="bottom"/>
          </w:tcPr>
          <w:p>
            <w:pPr>
              <w:ind w:left="100"/>
              <w:spacing w:after="0"/>
              <w:rPr>
                <w:sz w:val="20"/>
                <w:szCs w:val="20"/>
                <w:color w:val="auto"/>
              </w:rPr>
            </w:pPr>
            <w:r>
              <w:rPr>
                <w:rFonts w:ascii="Arial" w:cs="Arial" w:eastAsia="Arial" w:hAnsi="Arial"/>
                <w:sz w:val="14"/>
                <w:szCs w:val="14"/>
                <w:color w:val="auto"/>
              </w:rPr>
              <w:t>Income (loss) before income taxes</w:t>
            </w:r>
          </w:p>
        </w:tc>
        <w:tc>
          <w:tcPr>
            <w:tcW w:w="3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6,951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(17,699)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(147,672)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(39,222)</w:t>
            </w:r>
          </w:p>
        </w:tc>
      </w:tr>
      <w:tr>
        <w:trPr>
          <w:trHeight w:val="222"/>
        </w:trPr>
        <w:tc>
          <w:tcPr>
            <w:tcW w:w="412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8,689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7,334</w:t>
            </w:r>
          </w:p>
        </w:tc>
      </w:tr>
      <w:tr>
        <w:trPr>
          <w:trHeight w:val="203"/>
        </w:trPr>
        <w:tc>
          <w:tcPr>
            <w:tcW w:w="4120" w:type="dxa"/>
            <w:vAlign w:val="bottom"/>
          </w:tcPr>
          <w:p>
            <w:pPr>
              <w:spacing w:after="0"/>
              <w:rPr>
                <w:sz w:val="20"/>
                <w:szCs w:val="20"/>
                <w:color w:val="auto"/>
              </w:rPr>
            </w:pPr>
            <w:r>
              <w:rPr>
                <w:rFonts w:ascii="Arial" w:cs="Arial" w:eastAsia="Arial" w:hAnsi="Arial"/>
                <w:sz w:val="14"/>
                <w:szCs w:val="14"/>
                <w:color w:val="auto"/>
              </w:rPr>
              <w:t>Net income (loss)</w:t>
            </w:r>
          </w:p>
        </w:tc>
        <w:tc>
          <w:tcPr>
            <w:tcW w:w="36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6,829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(14,849)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(138,983)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(31,888)</w:t>
            </w:r>
          </w:p>
        </w:tc>
      </w:tr>
      <w:tr>
        <w:trPr>
          <w:trHeight w:val="222"/>
        </w:trPr>
        <w:tc>
          <w:tcPr>
            <w:tcW w:w="4120" w:type="dxa"/>
            <w:vAlign w:val="bottom"/>
          </w:tcPr>
          <w:p>
            <w:pPr>
              <w:ind w:left="100"/>
              <w:spacing w:after="0"/>
              <w:rPr>
                <w:sz w:val="20"/>
                <w:szCs w:val="20"/>
                <w:color w:val="auto"/>
              </w:rPr>
            </w:pPr>
            <w:r>
              <w:rPr>
                <w:rFonts w:ascii="Arial" w:cs="Arial" w:eastAsia="Arial" w:hAnsi="Arial"/>
                <w:sz w:val="14"/>
                <w:szCs w:val="14"/>
                <w:color w:val="auto"/>
              </w:rPr>
              <w:t>Less: Net income attributable to noncontrolling interest</w:t>
            </w:r>
          </w:p>
        </w:tc>
        <w:tc>
          <w:tcPr>
            <w:tcW w:w="360" w:type="dxa"/>
            <w:vAlign w:val="bottom"/>
          </w:tcPr>
          <w:p>
            <w:pPr>
              <w:spacing w:after="0"/>
              <w:rPr>
                <w:sz w:val="19"/>
                <w:szCs w:val="19"/>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3"/>
        </w:trPr>
        <w:tc>
          <w:tcPr>
            <w:tcW w:w="412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6,607</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(14,849)</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(139,463)</w:t>
            </w:r>
          </w:p>
        </w:tc>
        <w:tc>
          <w:tcPr>
            <w:tcW w:w="1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(31,888)</w:t>
            </w:r>
          </w:p>
        </w:tc>
      </w:tr>
      <w:tr>
        <w:trPr>
          <w:trHeight w:val="222"/>
        </w:trPr>
        <w:tc>
          <w:tcPr>
            <w:tcW w:w="4120" w:type="dxa"/>
            <w:vAlign w:val="bottom"/>
          </w:tcPr>
          <w:p>
            <w:pPr>
              <w:ind w:left="100"/>
              <w:spacing w:after="0"/>
              <w:rPr>
                <w:sz w:val="20"/>
                <w:szCs w:val="20"/>
                <w:color w:val="auto"/>
              </w:rPr>
            </w:pPr>
            <w:r>
              <w:rPr>
                <w:rFonts w:ascii="Arial" w:cs="Arial" w:eastAsia="Arial" w:hAnsi="Arial"/>
                <w:sz w:val="14"/>
                <w:szCs w:val="14"/>
                <w:color w:val="auto"/>
              </w:rPr>
              <w:t>Less: Dividends attributable to Class A preferred shares</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920</w:t>
            </w:r>
          </w:p>
        </w:tc>
      </w:tr>
      <w:tr>
        <w:trPr>
          <w:trHeight w:val="215"/>
        </w:trPr>
        <w:tc>
          <w:tcPr>
            <w:tcW w:w="412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6,136</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(15,310)</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(140,402)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(32,808)</w:t>
            </w:r>
          </w:p>
        </w:tc>
      </w:tr>
      <w:tr>
        <w:trPr>
          <w:trHeight w:val="20"/>
        </w:trPr>
        <w:tc>
          <w:tcPr>
            <w:tcW w:w="4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7"/>
        </w:trPr>
        <w:tc>
          <w:tcPr>
            <w:tcW w:w="448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120" w:type="dxa"/>
            <w:vAlign w:val="bottom"/>
          </w:tcPr>
          <w:p>
            <w:pPr>
              <w:spacing w:after="0"/>
              <w:rPr>
                <w:sz w:val="20"/>
                <w:szCs w:val="20"/>
                <w:color w:val="auto"/>
              </w:rPr>
            </w:pPr>
            <w:r>
              <w:rPr>
                <w:rFonts w:ascii="Arial" w:cs="Arial" w:eastAsia="Arial" w:hAnsi="Arial"/>
                <w:sz w:val="14"/>
                <w:szCs w:val="14"/>
                <w:color w:val="auto"/>
              </w:rPr>
              <w:t>shareholders:</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(0.83)</w:t>
            </w:r>
          </w:p>
        </w:tc>
        <w:tc>
          <w:tcPr>
            <w:tcW w:w="18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Diluted</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(0.83)</w:t>
            </w:r>
          </w:p>
        </w:tc>
        <w:tc>
          <w:tcPr>
            <w:tcW w:w="18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(0.20)</w:t>
            </w:r>
          </w:p>
        </w:tc>
      </w:tr>
      <w:tr>
        <w:trPr>
          <w:trHeight w:val="473"/>
        </w:trPr>
        <w:tc>
          <w:tcPr>
            <w:tcW w:w="412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Basic</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169,812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167,532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169,165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166,437</w:t>
            </w:r>
          </w:p>
        </w:tc>
      </w:tr>
      <w:tr>
        <w:trPr>
          <w:trHeight w:val="216"/>
        </w:trPr>
        <w:tc>
          <w:tcPr>
            <w:tcW w:w="4120" w:type="dxa"/>
            <w:vAlign w:val="bottom"/>
          </w:tcPr>
          <w:p>
            <w:pPr>
              <w:ind w:left="100"/>
              <w:spacing w:after="0"/>
              <w:rPr>
                <w:sz w:val="20"/>
                <w:szCs w:val="20"/>
                <w:color w:val="auto"/>
              </w:rPr>
            </w:pPr>
            <w:r>
              <w:rPr>
                <w:rFonts w:ascii="Arial" w:cs="Arial" w:eastAsia="Arial" w:hAnsi="Arial"/>
                <w:sz w:val="14"/>
                <w:szCs w:val="14"/>
                <w:color w:val="auto"/>
              </w:rPr>
              <w:t>Diluted</w:t>
            </w:r>
          </w:p>
        </w:tc>
        <w:tc>
          <w:tcPr>
            <w:tcW w:w="360" w:type="dxa"/>
            <w:vAlign w:val="bottom"/>
          </w:tcPr>
          <w:p>
            <w:pPr>
              <w:spacing w:after="0"/>
              <w:rPr>
                <w:sz w:val="18"/>
                <w:szCs w:val="18"/>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169,990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167,532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169,165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166,437</w:t>
            </w:r>
          </w:p>
        </w:tc>
      </w:tr>
    </w:tbl>
    <w:p>
      <w:pPr>
        <w:sectPr>
          <w:pgSz w:w="11900" w:h="16838" w:orient="portrait"/>
          <w:cols w:equalWidth="0" w:num="1">
            <w:col w:w="10220"/>
          </w:cols>
          <w:pgMar w:left="320" w:top="908"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4" w:lineRule="exact"/>
        <w:rPr>
          <w:sz w:val="20"/>
          <w:szCs w:val="20"/>
          <w:color w:val="auto"/>
        </w:rPr>
      </w:pPr>
    </w:p>
    <w:tbl>
      <w:tblPr>
        <w:tblLayout w:type="fixed"/>
        <w:tblInd w:w="102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04"/>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7,311</w:t>
            </w:r>
          </w:p>
        </w:tc>
        <w:tc>
          <w:tcPr>
            <w:tcW w:w="1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3,331</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85,553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99,493</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7,683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5,877</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7,589</w:t>
            </w:r>
          </w:p>
        </w:tc>
        <w:tc>
          <w:tcPr>
            <w:tcW w:w="0" w:type="dxa"/>
            <w:vAlign w:val="bottom"/>
          </w:tcPr>
          <w:p>
            <w:pPr>
              <w:spacing w:after="0"/>
              <w:rPr>
                <w:sz w:val="1"/>
                <w:szCs w:val="1"/>
                <w:color w:val="auto"/>
              </w:rPr>
            </w:pPr>
          </w:p>
        </w:tc>
      </w:tr>
      <w:tr>
        <w:trPr>
          <w:trHeight w:val="256"/>
        </w:trPr>
        <w:tc>
          <w:tcPr>
            <w:tcW w:w="3680" w:type="dxa"/>
            <w:vAlign w:val="bottom"/>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17,392</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15,151</w:t>
            </w:r>
          </w:p>
        </w:tc>
        <w:tc>
          <w:tcPr>
            <w:tcW w:w="0" w:type="dxa"/>
            <w:vAlign w:val="bottom"/>
          </w:tcPr>
          <w:p>
            <w:pPr>
              <w:spacing w:after="0"/>
              <w:rPr>
                <w:sz w:val="1"/>
                <w:szCs w:val="1"/>
                <w:color w:val="auto"/>
              </w:rPr>
            </w:pPr>
          </w:p>
        </w:tc>
      </w:tr>
      <w:tr>
        <w:trPr>
          <w:trHeight w:val="223"/>
        </w:trPr>
        <w:tc>
          <w:tcPr>
            <w:tcW w:w="36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117,939</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131,441</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486,815</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590,309</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7,778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110,173</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100,423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111,837</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21,065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24,876</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563</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734,583</w:t>
            </w:r>
          </w:p>
        </w:tc>
        <w:tc>
          <w:tcPr>
            <w:tcW w:w="18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1"/>
        </w:trPr>
        <w:tc>
          <w:tcPr>
            <w:tcW w:w="36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35,168</w:t>
            </w:r>
          </w:p>
        </w:tc>
        <w:tc>
          <w:tcPr>
            <w:tcW w:w="1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36,971</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16,910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21,755</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571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33,510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7,853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7,165</w:t>
            </w:r>
          </w:p>
        </w:tc>
        <w:tc>
          <w:tcPr>
            <w:tcW w:w="0" w:type="dxa"/>
            <w:vAlign w:val="bottom"/>
          </w:tcPr>
          <w:p>
            <w:pPr>
              <w:spacing w:after="0"/>
              <w:rPr>
                <w:sz w:val="1"/>
                <w:szCs w:val="1"/>
                <w:color w:val="auto"/>
              </w:rPr>
            </w:pPr>
          </w:p>
        </w:tc>
      </w:tr>
      <w:tr>
        <w:trPr>
          <w:trHeight w:val="256"/>
        </w:trPr>
        <w:tc>
          <w:tcPr>
            <w:tcW w:w="3680" w:type="dxa"/>
            <w:vAlign w:val="bottom"/>
          </w:tcPr>
          <w:p>
            <w:pPr>
              <w:ind w:left="10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5,484</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223"/>
        </w:trPr>
        <w:tc>
          <w:tcPr>
            <w:tcW w:w="36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99,496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110,040</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264,522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9,452</w:t>
            </w: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18,541</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21,231</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17,781</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16,592</w:t>
            </w:r>
          </w:p>
        </w:tc>
        <w:tc>
          <w:tcPr>
            <w:tcW w:w="0" w:type="dxa"/>
            <w:vAlign w:val="bottom"/>
          </w:tcPr>
          <w:p>
            <w:pPr>
              <w:spacing w:after="0"/>
              <w:rPr>
                <w:sz w:val="1"/>
                <w:szCs w:val="1"/>
                <w:color w:val="auto"/>
              </w:rPr>
            </w:pPr>
          </w:p>
        </w:tc>
      </w:tr>
      <w:tr>
        <w:trPr>
          <w:trHeight w:val="223"/>
        </w:trPr>
        <w:tc>
          <w:tcPr>
            <w:tcW w:w="368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400,340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479,107</w:t>
            </w:r>
          </w:p>
        </w:tc>
        <w:tc>
          <w:tcPr>
            <w:tcW w:w="0" w:type="dxa"/>
            <w:vAlign w:val="bottom"/>
          </w:tcPr>
          <w:p>
            <w:pPr>
              <w:spacing w:after="0"/>
              <w:rPr>
                <w:sz w:val="1"/>
                <w:szCs w:val="1"/>
                <w:color w:val="auto"/>
              </w:rPr>
            </w:pPr>
          </w:p>
        </w:tc>
      </w:tr>
      <w:tr>
        <w:trPr>
          <w:trHeight w:val="459"/>
        </w:trPr>
        <w:tc>
          <w:tcPr>
            <w:tcW w:w="368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59,068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58,129</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1"/>
                <w:szCs w:val="21"/>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1,575,788</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1,572,249</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(911,992)</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(771,590)</w:t>
            </w:r>
          </w:p>
        </w:tc>
        <w:tc>
          <w:tcPr>
            <w:tcW w:w="0" w:type="dxa"/>
            <w:vAlign w:val="bottom"/>
          </w:tcPr>
          <w:p>
            <w:pPr>
              <w:spacing w:after="0"/>
              <w:rPr>
                <w:sz w:val="1"/>
                <w:szCs w:val="1"/>
                <w:color w:val="auto"/>
              </w:rPr>
            </w:pPr>
          </w:p>
        </w:tc>
      </w:tr>
      <w:tr>
        <w:trPr>
          <w:trHeight w:val="243"/>
        </w:trPr>
        <w:tc>
          <w:tcPr>
            <w:tcW w:w="3680" w:type="dxa"/>
            <w:vAlign w:val="bottom"/>
          </w:tcPr>
          <w:p>
            <w:pPr>
              <w:ind w:left="10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(6,930)</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(5,472)</w:t>
            </w:r>
          </w:p>
        </w:tc>
        <w:tc>
          <w:tcPr>
            <w:tcW w:w="0" w:type="dxa"/>
            <w:vAlign w:val="bottom"/>
          </w:tcPr>
          <w:p>
            <w:pPr>
              <w:spacing w:after="0"/>
              <w:rPr>
                <w:sz w:val="1"/>
                <w:szCs w:val="1"/>
                <w:color w:val="auto"/>
              </w:rPr>
            </w:pPr>
          </w:p>
        </w:tc>
      </w:tr>
      <w:tr>
        <w:trPr>
          <w:trHeight w:val="256"/>
        </w:trPr>
        <w:tc>
          <w:tcPr>
            <w:tcW w:w="368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(382,315)</w:t>
            </w:r>
          </w:p>
        </w:tc>
        <w:tc>
          <w:tcPr>
            <w:tcW w:w="1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(363,173)</w:t>
            </w:r>
          </w:p>
        </w:tc>
        <w:tc>
          <w:tcPr>
            <w:tcW w:w="0" w:type="dxa"/>
            <w:vAlign w:val="bottom"/>
          </w:tcPr>
          <w:p>
            <w:pPr>
              <w:spacing w:after="0"/>
              <w:rPr>
                <w:sz w:val="1"/>
                <w:szCs w:val="1"/>
                <w:color w:val="auto"/>
              </w:rPr>
            </w:pPr>
          </w:p>
        </w:tc>
      </w:tr>
      <w:tr>
        <w:trPr>
          <w:trHeight w:val="237"/>
        </w:trPr>
        <w:tc>
          <w:tcPr>
            <w:tcW w:w="3680" w:type="dxa"/>
            <w:vAlign w:val="bottom"/>
          </w:tcPr>
          <w:p>
            <w:pPr>
              <w:ind w:left="18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333,619</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490,143</w:t>
            </w:r>
          </w:p>
        </w:tc>
        <w:tc>
          <w:tcPr>
            <w:tcW w:w="0" w:type="dxa"/>
            <w:vAlign w:val="bottom"/>
          </w:tcPr>
          <w:p>
            <w:pPr>
              <w:spacing w:after="0"/>
              <w:rPr>
                <w:sz w:val="1"/>
                <w:szCs w:val="1"/>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624</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37"/>
        </w:trPr>
        <w:tc>
          <w:tcPr>
            <w:tcW w:w="3680" w:type="dxa"/>
            <w:vAlign w:val="bottom"/>
          </w:tcPr>
          <w:p>
            <w:pPr>
              <w:ind w:left="10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334,243</w:t>
            </w:r>
          </w:p>
        </w:tc>
        <w:tc>
          <w:tcPr>
            <w:tcW w:w="1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490,805</w:t>
            </w:r>
          </w:p>
        </w:tc>
        <w:tc>
          <w:tcPr>
            <w:tcW w:w="0" w:type="dxa"/>
            <w:vAlign w:val="bottom"/>
          </w:tcPr>
          <w:p>
            <w:pPr>
              <w:spacing w:after="0"/>
              <w:rPr>
                <w:sz w:val="1"/>
                <w:szCs w:val="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734,583</w:t>
            </w:r>
          </w:p>
        </w:tc>
        <w:tc>
          <w:tcPr>
            <w:tcW w:w="180" w:type="dxa"/>
            <w:vAlign w:val="bottom"/>
          </w:tcPr>
          <w:p>
            <w:pPr>
              <w:spacing w:after="0"/>
              <w:rPr>
                <w:sz w:val="21"/>
                <w:szCs w:val="21"/>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969,912</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34"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Six Months Ended</w:t>
      </w:r>
    </w:p>
    <w:p>
      <w:pPr>
        <w:spacing w:after="0" w:line="25" w:lineRule="exact"/>
        <w:rPr>
          <w:sz w:val="20"/>
          <w:szCs w:val="20"/>
          <w:color w:val="auto"/>
        </w:rPr>
      </w:pPr>
    </w:p>
    <w:p>
      <w:pPr>
        <w:jc w:val="center"/>
        <w:ind w:left="5700"/>
        <w:spacing w:after="0"/>
        <w:rPr>
          <w:sz w:val="20"/>
          <w:szCs w:val="20"/>
          <w:color w:val="auto"/>
        </w:rPr>
      </w:pPr>
      <w:r>
        <w:rPr>
          <w:rFonts w:ascii="Arial" w:cs="Arial" w:eastAsia="Arial" w:hAnsi="Arial"/>
          <w:sz w:val="16"/>
          <w:szCs w:val="16"/>
          <w:b w:val="1"/>
          <w:bCs w:val="1"/>
          <w:color w:val="auto"/>
        </w:rPr>
        <w:t>June 30,</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467"/>
        </w:trPr>
        <w:tc>
          <w:tcPr>
            <w:tcW w:w="57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(138,983)</w:t>
            </w:r>
          </w:p>
        </w:tc>
        <w:tc>
          <w:tcPr>
            <w:tcW w:w="18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(31,888)</w:t>
            </w:r>
          </w:p>
        </w:tc>
      </w:tr>
      <w:tr>
        <w:trPr>
          <w:trHeight w:val="243"/>
        </w:trPr>
        <w:tc>
          <w:tcPr>
            <w:tcW w:w="57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47,707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61,778</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144,120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5,546</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Deferred income tax benefit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(8,941)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(7,855)</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3,539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5,029</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(1,819)</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(1,371)</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Provision (benefit) for loss on receivables, net of recoveries</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1,444</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7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10,231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(18,616)</w:t>
            </w:r>
          </w:p>
        </w:tc>
      </w:tr>
      <w:tr>
        <w:trPr>
          <w:trHeight w:val="243"/>
        </w:trPr>
        <w:tc>
          <w:tcPr>
            <w:tcW w:w="57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(1,895)</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3"/>
        </w:trPr>
        <w:tc>
          <w:tcPr>
            <w:tcW w:w="57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(4,583)</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135</w:t>
            </w:r>
          </w:p>
        </w:tc>
      </w:tr>
      <w:tr>
        <w:trPr>
          <w:trHeight w:val="243"/>
        </w:trPr>
        <w:tc>
          <w:tcPr>
            <w:tcW w:w="57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244</w:t>
            </w:r>
          </w:p>
        </w:tc>
      </w:tr>
      <w:tr>
        <w:trPr>
          <w:trHeight w:val="256"/>
        </w:trPr>
        <w:tc>
          <w:tcPr>
            <w:tcW w:w="57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w:t>
            </w:r>
          </w:p>
        </w:tc>
      </w:tr>
      <w:tr>
        <w:trPr>
          <w:trHeight w:val="224"/>
        </w:trPr>
        <w:tc>
          <w:tcPr>
            <w:tcW w:w="570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45,318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9,960</w:t>
            </w:r>
          </w:p>
        </w:tc>
      </w:tr>
      <w:tr>
        <w:trPr>
          <w:trHeight w:val="499"/>
        </w:trPr>
        <w:tc>
          <w:tcPr>
            <w:tcW w:w="57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(21,208)</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1,897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4,448</w:t>
            </w:r>
          </w:p>
        </w:tc>
      </w:tr>
      <w:tr>
        <w:trPr>
          <w:trHeight w:val="256"/>
        </w:trPr>
        <w:tc>
          <w:tcPr>
            <w:tcW w:w="57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4,619</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1,762</w:t>
            </w: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Net cash flows provided by (used in) investing activities</w:t>
            </w:r>
          </w:p>
        </w:tc>
        <w:tc>
          <w:tcPr>
            <w:tcW w:w="3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2,669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(14,998)</w:t>
            </w:r>
          </w:p>
        </w:tc>
      </w:tr>
      <w:tr>
        <w:trPr>
          <w:trHeight w:val="500"/>
        </w:trPr>
        <w:tc>
          <w:tcPr>
            <w:tcW w:w="57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(16,551)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(17,398)</w:t>
            </w:r>
          </w:p>
        </w:tc>
      </w:tr>
      <w:tr>
        <w:trPr>
          <w:trHeight w:val="243"/>
        </w:trPr>
        <w:tc>
          <w:tcPr>
            <w:tcW w:w="57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(25,630)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27,754</w:t>
            </w:r>
          </w:p>
        </w:tc>
      </w:tr>
      <w:tr>
        <w:trPr>
          <w:trHeight w:val="256"/>
        </w:trPr>
        <w:tc>
          <w:tcPr>
            <w:tcW w:w="57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Net cash flows provided by (used in) financing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(43,639)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6,073</w:t>
            </w:r>
          </w:p>
        </w:tc>
      </w:tr>
      <w:tr>
        <w:trPr>
          <w:trHeight w:val="513"/>
        </w:trPr>
        <w:tc>
          <w:tcPr>
            <w:tcW w:w="57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w:t>
            </w:r>
          </w:p>
        </w:tc>
      </w:tr>
      <w:tr>
        <w:trPr>
          <w:trHeight w:val="223"/>
        </w:trPr>
        <w:tc>
          <w:tcPr>
            <w:tcW w:w="57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3,980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1,087</w:t>
            </w:r>
          </w:p>
        </w:tc>
      </w:tr>
      <w:tr>
        <w:trPr>
          <w:trHeight w:val="513"/>
        </w:trPr>
        <w:tc>
          <w:tcPr>
            <w:tcW w:w="57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3,331</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12,372</w:t>
            </w:r>
          </w:p>
        </w:tc>
      </w:tr>
      <w:tr>
        <w:trPr>
          <w:trHeight w:val="243"/>
        </w:trPr>
        <w:tc>
          <w:tcPr>
            <w:tcW w:w="57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7,311</w:t>
            </w:r>
          </w:p>
        </w:tc>
        <w:tc>
          <w:tcPr>
            <w:tcW w:w="1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13,459</w:t>
            </w:r>
          </w:p>
        </w:tc>
      </w:tr>
      <w:tr>
        <w:trPr>
          <w:trHeight w:val="20"/>
        </w:trPr>
        <w:tc>
          <w:tcPr>
            <w:tcW w:w="5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3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52,986</w:t>
            </w:r>
          </w:p>
        </w:tc>
        <w:tc>
          <w:tcPr>
            <w:tcW w:w="16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78,102</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132,334</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144,872</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57,071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30,996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106,184</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59,417</w:t>
            </w:r>
          </w:p>
        </w:tc>
        <w:tc>
          <w:tcPr>
            <w:tcW w:w="0" w:type="dxa"/>
            <w:vAlign w:val="bottom"/>
          </w:tcPr>
          <w:p>
            <w:pPr>
              <w:spacing w:after="0"/>
              <w:rPr>
                <w:sz w:val="1"/>
                <w:szCs w:val="1"/>
                <w:color w:val="auto"/>
              </w:rPr>
            </w:pPr>
          </w:p>
        </w:tc>
      </w:tr>
      <w:tr>
        <w:trPr>
          <w:trHeight w:val="256"/>
        </w:trPr>
        <w:tc>
          <w:tcPr>
            <w:tcW w:w="32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4,645</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13,055</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14,976</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26,414</w:t>
            </w:r>
          </w:p>
        </w:tc>
        <w:tc>
          <w:tcPr>
            <w:tcW w:w="0" w:type="dxa"/>
            <w:vAlign w:val="bottom"/>
          </w:tcPr>
          <w:p>
            <w:pPr>
              <w:spacing w:after="0"/>
              <w:rPr>
                <w:sz w:val="1"/>
                <w:szCs w:val="1"/>
                <w:color w:val="auto"/>
              </w:rPr>
            </w:pPr>
          </w:p>
        </w:tc>
      </w:tr>
      <w:tr>
        <w:trPr>
          <w:trHeight w:val="243"/>
        </w:trPr>
        <w:tc>
          <w:tcPr>
            <w:tcW w:w="3260" w:type="dxa"/>
            <w:vAlign w:val="bottom"/>
          </w:tcPr>
          <w:p>
            <w:pPr>
              <w:ind w:left="42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114,702</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122,153</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253,494</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230,703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19,991</w:t>
            </w:r>
          </w:p>
        </w:tc>
        <w:tc>
          <w:tcPr>
            <w:tcW w:w="16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16,306</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(100,265)</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26,479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18,798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6,540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34,959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16,393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(13,442)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56"/>
        </w:trPr>
        <w:tc>
          <w:tcPr>
            <w:tcW w:w="326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(12,268)</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0" w:type="dxa"/>
            <w:vAlign w:val="bottom"/>
          </w:tcPr>
          <w:p>
            <w:pPr>
              <w:spacing w:after="0"/>
              <w:rPr>
                <w:sz w:val="1"/>
                <w:szCs w:val="1"/>
                <w:color w:val="auto"/>
              </w:rPr>
            </w:pPr>
          </w:p>
        </w:tc>
      </w:tr>
      <w:tr>
        <w:trPr>
          <w:trHeight w:val="243"/>
        </w:trPr>
        <w:tc>
          <w:tcPr>
            <w:tcW w:w="3260" w:type="dxa"/>
            <w:vAlign w:val="bottom"/>
          </w:tcPr>
          <w:p>
            <w:pPr>
              <w:ind w:left="42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32,784</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19,995</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(91,016)</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35,862</w:t>
            </w:r>
          </w:p>
        </w:tc>
        <w:tc>
          <w:tcPr>
            <w:tcW w:w="0" w:type="dxa"/>
            <w:vAlign w:val="bottom"/>
          </w:tcPr>
          <w:p>
            <w:pPr>
              <w:spacing w:after="0"/>
              <w:rPr>
                <w:sz w:val="1"/>
                <w:szCs w:val="1"/>
                <w:color w:val="auto"/>
              </w:rPr>
            </w:pPr>
          </w:p>
        </w:tc>
      </w:tr>
      <w:tr>
        <w:trPr>
          <w:trHeight w:val="21"/>
        </w:trPr>
        <w:tc>
          <w:tcPr>
            <w:tcW w:w="32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15,301</w:t>
            </w:r>
          </w:p>
        </w:tc>
        <w:tc>
          <w:tcPr>
            <w:tcW w:w="16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16,306</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26,726</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26,479</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18,798</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13,010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34,959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22,863</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56"/>
        </w:trPr>
        <w:tc>
          <w:tcPr>
            <w:tcW w:w="326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(12,268)</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0" w:type="dxa"/>
            <w:vAlign w:val="bottom"/>
          </w:tcPr>
          <w:p>
            <w:pPr>
              <w:spacing w:after="0"/>
              <w:rPr>
                <w:sz w:val="1"/>
                <w:szCs w:val="1"/>
                <w:color w:val="auto"/>
              </w:rPr>
            </w:pPr>
          </w:p>
        </w:tc>
      </w:tr>
      <w:tr>
        <w:trPr>
          <w:trHeight w:val="243"/>
        </w:trPr>
        <w:tc>
          <w:tcPr>
            <w:tcW w:w="3260" w:type="dxa"/>
            <w:vAlign w:val="bottom"/>
          </w:tcPr>
          <w:p>
            <w:pPr>
              <w:ind w:left="42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28,094</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26,465</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48,414</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42,332</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3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(6,719)</w:t>
            </w:r>
          </w:p>
        </w:tc>
        <w:tc>
          <w:tcPr>
            <w:tcW w:w="16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(5,761)</w:t>
            </w:r>
          </w:p>
        </w:tc>
        <w:tc>
          <w:tcPr>
            <w:tcW w:w="18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(143,350)</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(17,356)</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1"/>
                <w:szCs w:val="21"/>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8,191</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(5,579)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14,355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(5,964)</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(2,623)</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(16,757)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(2,317)</w:t>
            </w:r>
          </w:p>
        </w:tc>
        <w:tc>
          <w:tcPr>
            <w:tcW w:w="0" w:type="dxa"/>
            <w:vAlign w:val="bottom"/>
          </w:tcPr>
          <w:p>
            <w:pPr>
              <w:spacing w:after="0"/>
              <w:rPr>
                <w:sz w:val="1"/>
                <w:szCs w:val="1"/>
                <w:color w:val="auto"/>
              </w:rPr>
            </w:pPr>
          </w:p>
        </w:tc>
      </w:tr>
      <w:tr>
        <w:trPr>
          <w:trHeight w:val="256"/>
        </w:trPr>
        <w:tc>
          <w:tcPr>
            <w:tcW w:w="3260" w:type="dxa"/>
            <w:vAlign w:val="bottom"/>
          </w:tcPr>
          <w:p>
            <w:pPr>
              <w:ind w:left="18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(4,312)</w:t>
            </w:r>
          </w:p>
        </w:tc>
        <w:tc>
          <w:tcPr>
            <w:tcW w:w="0" w:type="dxa"/>
            <w:vAlign w:val="bottom"/>
          </w:tcPr>
          <w:p>
            <w:pPr>
              <w:spacing w:after="0"/>
              <w:rPr>
                <w:sz w:val="1"/>
                <w:szCs w:val="1"/>
                <w:color w:val="auto"/>
              </w:rPr>
            </w:pPr>
          </w:p>
        </w:tc>
      </w:tr>
      <w:tr>
        <w:trPr>
          <w:trHeight w:val="243"/>
        </w:trPr>
        <w:tc>
          <w:tcPr>
            <w:tcW w:w="3260" w:type="dxa"/>
            <w:vAlign w:val="bottom"/>
          </w:tcPr>
          <w:p>
            <w:pPr>
              <w:ind w:left="42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6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(12,056)</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(150,910)</w:t>
            </w:r>
          </w:p>
        </w:tc>
        <w:tc>
          <w:tcPr>
            <w:tcW w:w="18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1"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377" w:lineRule="exact"/>
        <w:rPr>
          <w:sz w:val="20"/>
          <w:szCs w:val="20"/>
          <w:color w:val="auto"/>
        </w:rPr>
      </w:pPr>
    </w:p>
    <w:tbl>
      <w:tblPr>
        <w:tblLayout w:type="fixed"/>
        <w:tblInd w:w="2392" w:type="dxa"/>
        <w:tblCellMar>
          <w:top w:w="0" w:type="dxa"/>
          <w:left w:w="0" w:type="dxa"/>
          <w:bottom w:w="0" w:type="dxa"/>
          <w:right w:w="0" w:type="dxa"/>
        </w:tblCellMar>
      </w:tblPr>
      <w:tr>
        <w:trPr>
          <w:trHeight w:val="189"/>
        </w:trPr>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ind w:left="240"/>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256"/>
        </w:trPr>
        <w:tc>
          <w:tcPr>
            <w:tcW w:w="16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r>
      <w:tr>
        <w:trPr>
          <w:trHeight w:val="480"/>
        </w:trPr>
        <w:tc>
          <w:tcPr>
            <w:tcW w:w="160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32,784</w:t>
            </w:r>
          </w:p>
        </w:tc>
        <w:tc>
          <w:tcPr>
            <w:tcW w:w="16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19,995</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(91,016)</w:t>
            </w:r>
          </w:p>
        </w:tc>
        <w:tc>
          <w:tcPr>
            <w:tcW w:w="1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35,862</w:t>
            </w:r>
          </w:p>
        </w:tc>
      </w:tr>
      <w:tr>
        <w:trPr>
          <w:trHeight w:val="243"/>
        </w:trPr>
        <w:tc>
          <w:tcPr>
            <w:tcW w:w="160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28,094</w:t>
            </w:r>
          </w:p>
        </w:tc>
        <w:tc>
          <w:tcPr>
            <w:tcW w:w="16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26,465</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240"/>
              <w:spacing w:after="0"/>
              <w:rPr>
                <w:sz w:val="20"/>
                <w:szCs w:val="20"/>
                <w:color w:val="auto"/>
              </w:rPr>
            </w:pPr>
            <w:r>
              <w:rPr>
                <w:rFonts w:ascii="Arial" w:cs="Arial" w:eastAsia="Arial" w:hAnsi="Arial"/>
                <w:sz w:val="16"/>
                <w:szCs w:val="16"/>
                <w:color w:val="auto"/>
              </w:rPr>
              <w:t>48,414</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42,332</w:t>
            </w:r>
          </w:p>
        </w:tc>
      </w:tr>
      <w:tr>
        <w:trPr>
          <w:trHeight w:val="243"/>
        </w:trPr>
        <w:tc>
          <w:tcPr>
            <w:tcW w:w="160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25,110</w:t>
            </w:r>
          </w:p>
        </w:tc>
        <w:tc>
          <w:tcPr>
            <w:tcW w:w="16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(7,919)</w:t>
            </w:r>
          </w:p>
        </w:tc>
        <w:tc>
          <w:tcPr>
            <w:tcW w:w="1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ind w:left="240"/>
              <w:spacing w:after="0"/>
              <w:rPr>
                <w:sz w:val="20"/>
                <w:szCs w:val="20"/>
                <w:color w:val="auto"/>
              </w:rPr>
            </w:pPr>
            <w:r>
              <w:rPr>
                <w:rFonts w:ascii="Arial" w:cs="Arial" w:eastAsia="Arial" w:hAnsi="Arial"/>
                <w:sz w:val="16"/>
                <w:szCs w:val="16"/>
                <w:color w:val="auto"/>
              </w:rPr>
              <w:t>43,368</w:t>
            </w:r>
          </w:p>
        </w:tc>
        <w:tc>
          <w:tcPr>
            <w:tcW w:w="18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(6,800)</w:t>
            </w:r>
          </w:p>
        </w:tc>
      </w:tr>
    </w:tbl>
    <w:p>
      <w:pPr>
        <w:spacing w:after="0" w:line="332" w:lineRule="exact"/>
        <w:rPr>
          <w:sz w:val="20"/>
          <w:szCs w:val="20"/>
          <w:color w:val="auto"/>
        </w:rPr>
      </w:pPr>
    </w:p>
    <w:p>
      <w:pPr>
        <w:ind w:left="332" w:hanging="332"/>
        <w:spacing w:after="0" w:line="231"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adjustments regarding an asset retirement obligation recorded in the second quarter of 2019 and proceeds from a representations and warranties claim related to a prior acquisition.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39" w:lineRule="exact"/>
        <w:rPr>
          <w:rFonts w:ascii="Arial" w:cs="Arial" w:eastAsia="Arial" w:hAnsi="Arial"/>
          <w:sz w:val="16"/>
          <w:szCs w:val="16"/>
          <w:color w:val="auto"/>
        </w:rPr>
      </w:pPr>
    </w:p>
    <w:p>
      <w:pPr>
        <w:ind w:left="332" w:right="20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51" w:lineRule="exact"/>
        <w:rPr>
          <w:sz w:val="20"/>
          <w:szCs w:val="20"/>
          <w:color w:val="auto"/>
        </w:rPr>
      </w:pPr>
    </w:p>
    <w:tbl>
      <w:tblPr>
        <w:tblLayout w:type="fixed"/>
        <w:tblInd w:w="1432"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2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r>
      <w:tr>
        <w:trPr>
          <w:trHeight w:val="256"/>
        </w:trPr>
        <w:tc>
          <w:tcPr>
            <w:tcW w:w="33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480"/>
        </w:trPr>
        <w:tc>
          <w:tcPr>
            <w:tcW w:w="3300" w:type="dxa"/>
            <w:vAlign w:val="bottom"/>
          </w:tcPr>
          <w:p>
            <w:pPr>
              <w:spacing w:after="0"/>
              <w:rPr>
                <w:sz w:val="20"/>
                <w:szCs w:val="20"/>
                <w:color w:val="auto"/>
              </w:rPr>
            </w:pPr>
            <w:r>
              <w:rPr>
                <w:rFonts w:ascii="Arial" w:cs="Arial" w:eastAsia="Arial" w:hAnsi="Arial"/>
                <w:sz w:val="16"/>
                <w:szCs w:val="16"/>
                <w:color w:val="auto"/>
              </w:rPr>
              <w:t>Net loss attributable to Civeo Corporation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6,607</w:t>
            </w:r>
          </w:p>
        </w:tc>
        <w:tc>
          <w:tcPr>
            <w:tcW w:w="18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(14,849)</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(139,463)</w:t>
            </w:r>
          </w:p>
        </w:tc>
        <w:tc>
          <w:tcPr>
            <w:tcW w:w="1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(31,888)</w:t>
            </w:r>
          </w:p>
        </w:tc>
      </w:tr>
      <w:tr>
        <w:trPr>
          <w:trHeight w:val="243"/>
        </w:trPr>
        <w:tc>
          <w:tcPr>
            <w:tcW w:w="3300" w:type="dxa"/>
            <w:vAlign w:val="bottom"/>
          </w:tcPr>
          <w:p>
            <w:pPr>
              <w:spacing w:after="0"/>
              <w:rPr>
                <w:sz w:val="20"/>
                <w:szCs w:val="20"/>
                <w:color w:val="auto"/>
              </w:rPr>
            </w:pPr>
            <w:r>
              <w:rPr>
                <w:rFonts w:ascii="Arial" w:cs="Arial" w:eastAsia="Arial" w:hAnsi="Arial"/>
                <w:sz w:val="16"/>
                <w:szCs w:val="16"/>
                <w:color w:val="auto"/>
              </w:rPr>
              <w:t>Income tax benefit</w:t>
            </w:r>
          </w:p>
        </w:tc>
        <w:tc>
          <w:tcPr>
            <w:tcW w:w="26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(8,689)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(7,334)</w:t>
            </w:r>
          </w:p>
        </w:tc>
      </w:tr>
      <w:tr>
        <w:trPr>
          <w:trHeight w:val="243"/>
        </w:trPr>
        <w:tc>
          <w:tcPr>
            <w:tcW w:w="3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22,205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30,996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47,707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61,778</w:t>
            </w:r>
          </w:p>
        </w:tc>
      </w:tr>
      <w:tr>
        <w:trPr>
          <w:trHeight w:val="243"/>
        </w:trPr>
        <w:tc>
          <w:tcPr>
            <w:tcW w:w="330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56"/>
        </w:trPr>
        <w:tc>
          <w:tcPr>
            <w:tcW w:w="330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3,854</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6,720</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9,449</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13,355</w:t>
            </w:r>
          </w:p>
        </w:tc>
      </w:tr>
      <w:tr>
        <w:trPr>
          <w:trHeight w:val="237"/>
        </w:trPr>
        <w:tc>
          <w:tcPr>
            <w:tcW w:w="3300" w:type="dxa"/>
            <w:vAlign w:val="bottom"/>
          </w:tcPr>
          <w:p>
            <w:pPr>
              <w:ind w:left="220"/>
              <w:spacing w:after="0"/>
              <w:rPr>
                <w:sz w:val="20"/>
                <w:szCs w:val="20"/>
                <w:color w:val="auto"/>
              </w:rPr>
            </w:pPr>
            <w:r>
              <w:rPr>
                <w:rFonts w:ascii="Arial" w:cs="Arial" w:eastAsia="Arial" w:hAnsi="Arial"/>
                <w:sz w:val="16"/>
                <w:szCs w:val="16"/>
                <w:color w:val="auto"/>
              </w:rPr>
              <w:t>EBITDA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32,784</w:t>
            </w:r>
          </w:p>
        </w:tc>
        <w:tc>
          <w:tcPr>
            <w:tcW w:w="18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19,995</w:t>
            </w:r>
          </w:p>
        </w:tc>
        <w:tc>
          <w:tcPr>
            <w:tcW w:w="1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(91,016)</w:t>
            </w:r>
          </w:p>
        </w:tc>
        <w:tc>
          <w:tcPr>
            <w:tcW w:w="16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35,862</w:t>
            </w:r>
          </w:p>
        </w:tc>
      </w:tr>
      <w:tr>
        <w:trPr>
          <w:trHeight w:val="210"/>
        </w:trPr>
        <w:tc>
          <w:tcPr>
            <w:tcW w:w="33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3"/>
        </w:trPr>
        <w:tc>
          <w:tcPr>
            <w:tcW w:w="33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5,546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50,514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5,546</w:t>
            </w:r>
          </w:p>
        </w:tc>
      </w:tr>
      <w:tr>
        <w:trPr>
          <w:trHeight w:val="243"/>
        </w:trPr>
        <w:tc>
          <w:tcPr>
            <w:tcW w:w="3300" w:type="dxa"/>
            <w:vAlign w:val="bottom"/>
          </w:tcPr>
          <w:p>
            <w:pPr>
              <w:ind w:left="220"/>
              <w:spacing w:after="0"/>
              <w:rPr>
                <w:sz w:val="20"/>
                <w:szCs w:val="20"/>
                <w:color w:val="auto"/>
              </w:rPr>
            </w:pPr>
            <w:r>
              <w:rPr>
                <w:rFonts w:ascii="Arial" w:cs="Arial" w:eastAsia="Arial" w:hAnsi="Arial"/>
                <w:sz w:val="16"/>
                <w:szCs w:val="16"/>
                <w:color w:val="auto"/>
              </w:rPr>
              <w:t>Impairment of goodwill (b)</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93,606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3300" w:type="dxa"/>
            <w:vAlign w:val="bottom"/>
          </w:tcPr>
          <w:p>
            <w:pPr>
              <w:ind w:left="200"/>
              <w:spacing w:after="0"/>
              <w:rPr>
                <w:sz w:val="20"/>
                <w:szCs w:val="20"/>
                <w:color w:val="auto"/>
              </w:rPr>
            </w:pPr>
            <w:r>
              <w:rPr>
                <w:rFonts w:ascii="Arial" w:cs="Arial" w:eastAsia="Arial" w:hAnsi="Arial"/>
                <w:sz w:val="16"/>
                <w:szCs w:val="16"/>
                <w:color w:val="auto"/>
              </w:rPr>
              <w:t>Australia ARO adjustment (c)</w:t>
            </w: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1"/>
                <w:szCs w:val="21"/>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924</w:t>
            </w:r>
          </w:p>
        </w:tc>
      </w:tr>
      <w:tr>
        <w:trPr>
          <w:trHeight w:val="237"/>
        </w:trPr>
        <w:tc>
          <w:tcPr>
            <w:tcW w:w="3300" w:type="dxa"/>
            <w:vAlign w:val="bottom"/>
          </w:tcPr>
          <w:p>
            <w:pPr>
              <w:ind w:left="200"/>
              <w:spacing w:after="0"/>
              <w:rPr>
                <w:sz w:val="20"/>
                <w:szCs w:val="20"/>
                <w:color w:val="auto"/>
              </w:rPr>
            </w:pPr>
            <w:r>
              <w:rPr>
                <w:rFonts w:ascii="Arial" w:cs="Arial" w:eastAsia="Arial" w:hAnsi="Arial"/>
                <w:sz w:val="16"/>
                <w:szCs w:val="16"/>
                <w:color w:val="auto"/>
              </w:rPr>
              <w:t>Representations and warranties settlement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8"/>
        </w:trPr>
        <w:tc>
          <w:tcPr>
            <w:tcW w:w="3300" w:type="dxa"/>
            <w:vAlign w:val="bottom"/>
          </w:tcPr>
          <w:p>
            <w:pPr>
              <w:ind w:left="200"/>
              <w:spacing w:after="0"/>
              <w:rPr>
                <w:sz w:val="20"/>
                <w:szCs w:val="20"/>
                <w:color w:val="auto"/>
              </w:rPr>
            </w:pPr>
            <w:r>
              <w:rPr>
                <w:rFonts w:ascii="Arial" w:cs="Arial" w:eastAsia="Arial" w:hAnsi="Arial"/>
                <w:sz w:val="16"/>
                <w:szCs w:val="16"/>
                <w:color w:val="auto"/>
              </w:rPr>
              <w:t>(d)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(4,690)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33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28,094</w:t>
            </w:r>
          </w:p>
        </w:tc>
        <w:tc>
          <w:tcPr>
            <w:tcW w:w="1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26,465</w:t>
            </w:r>
          </w:p>
        </w:tc>
        <w:tc>
          <w:tcPr>
            <w:tcW w:w="1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48,414</w:t>
            </w:r>
          </w:p>
        </w:tc>
        <w:tc>
          <w:tcPr>
            <w:tcW w:w="16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42,332</w:t>
            </w:r>
          </w:p>
        </w:tc>
      </w:tr>
      <w:tr>
        <w:trPr>
          <w:trHeight w:val="20"/>
        </w:trPr>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652" w:right="140" w:hanging="328"/>
        <w:spacing w:after="0" w:line="251"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2020 and the second quarter of 2019. In the first quarter of 2020, we recorded a pre-tax loss related to the impairment of long-lived assets in our Canadian segment of $38.1 million ($38.1 million after-tax, or $0.23 per diluted share) and a pre-tax loss related to the impairment of long-lived assets in our U.S. segment of $12.4 million ($12.4 million after-tax, or $0.07 per diluted share), which is included in Impairment expense on the unaudited statements of operations.</w:t>
      </w:r>
    </w:p>
    <w:p>
      <w:pPr>
        <w:spacing w:after="0" w:line="229" w:lineRule="exact"/>
        <w:rPr>
          <w:rFonts w:ascii="Arial" w:cs="Arial" w:eastAsia="Arial" w:hAnsi="Arial"/>
          <w:sz w:val="16"/>
          <w:szCs w:val="16"/>
          <w:color w:val="auto"/>
        </w:rPr>
      </w:pPr>
    </w:p>
    <w:p>
      <w:pPr>
        <w:ind w:left="652" w:right="400"/>
        <w:spacing w:after="0" w:line="260" w:lineRule="auto"/>
        <w:rPr>
          <w:rFonts w:ascii="Arial" w:cs="Arial" w:eastAsia="Arial" w:hAnsi="Arial"/>
          <w:sz w:val="16"/>
          <w:szCs w:val="16"/>
          <w:color w:val="auto"/>
        </w:rPr>
      </w:pPr>
      <w:r>
        <w:rPr>
          <w:rFonts w:ascii="Arial" w:cs="Arial" w:eastAsia="Arial" w:hAnsi="Arial"/>
          <w:sz w:val="16"/>
          <w:szCs w:val="16"/>
          <w:color w:val="auto"/>
        </w:rPr>
        <w:t>In the second quarter 2019, we recorded a pre-tax loss related to the impairment of assets in Australia of $5.5 million ($5.5 million after-tax, or $0.03 per diluted share), which is included in Impairment expense on the unaudited statements</w:t>
      </w:r>
    </w:p>
    <w:p>
      <w:pPr>
        <w:sectPr>
          <w:pgSz w:w="11900" w:h="16838" w:orient="portrait"/>
          <w:cols w:equalWidth="0" w:num="1">
            <w:col w:w="11192"/>
          </w:cols>
          <w:pgMar w:left="328" w:top="891" w:right="379" w:bottom="1440" w:gutter="0" w:footer="0" w:header="0"/>
        </w:sectPr>
      </w:pPr>
    </w:p>
    <w:bookmarkStart w:id="12" w:name="page13"/>
    <w:bookmarkEnd w:id="12"/>
    <w:p>
      <w:pPr>
        <w:ind w:left="652" w:right="60"/>
        <w:spacing w:after="0" w:line="251" w:lineRule="auto"/>
        <w:rPr>
          <w:sz w:val="20"/>
          <w:szCs w:val="20"/>
          <w:color w:val="auto"/>
        </w:rPr>
      </w:pPr>
      <w:r>
        <w:rPr>
          <w:rFonts w:ascii="Arial" w:cs="Arial" w:eastAsia="Arial" w:hAnsi="Arial"/>
          <w:sz w:val="16"/>
          <w:szCs w:val="16"/>
          <w:color w:val="auto"/>
        </w:rPr>
        <w:t>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w:t>
      </w:r>
    </w:p>
    <w:p>
      <w:pPr>
        <w:spacing w:after="0" w:line="229" w:lineRule="exact"/>
        <w:rPr>
          <w:sz w:val="20"/>
          <w:szCs w:val="20"/>
          <w:color w:val="auto"/>
        </w:rPr>
      </w:pPr>
    </w:p>
    <w:p>
      <w:pPr>
        <w:ind w:left="652" w:right="60" w:hanging="328"/>
        <w:spacing w:after="0" w:line="260"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in the first quarter of 2020. The $93.6 million impairment ($93.6 million after-tax, or $0.56 per diluted share)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80" w:hanging="328"/>
        <w:spacing w:after="0" w:line="253"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noted above, during the second quarter of 2019, we identified a future liability related to an ARO at one of our villages in Australia that should have been recorded in 2011. The correction included a $0.9 million ($0.9 million after-tax, or $0.01 per diluted share) adjustment, which is included in Cost of sales and services on the unaudited statements of operations. This amount represents the prior period impact of this correction.</w:t>
      </w:r>
    </w:p>
    <w:p>
      <w:pPr>
        <w:spacing w:after="0" w:line="214" w:lineRule="exact"/>
        <w:rPr>
          <w:rFonts w:ascii="Arial" w:cs="Arial" w:eastAsia="Arial" w:hAnsi="Arial"/>
          <w:sz w:val="16"/>
          <w:szCs w:val="16"/>
          <w:color w:val="auto"/>
        </w:rPr>
      </w:pPr>
    </w:p>
    <w:p>
      <w:pPr>
        <w:ind w:left="652" w:right="100" w:hanging="328"/>
        <w:spacing w:after="0" w:line="225"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($4.7 million after-tax, or $0.03 per diluted share) associated with the settlement of a representations and warranties claim related to the Noralta acquisition, which is included in Other income on the unaudited statements of operations.</w:t>
      </w:r>
    </w:p>
    <w:p>
      <w:pPr>
        <w:spacing w:after="0" w:line="225"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235"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51" w:lineRule="exact"/>
        <w:rPr>
          <w:sz w:val="20"/>
          <w:szCs w:val="20"/>
          <w:color w:val="auto"/>
        </w:rPr>
      </w:pPr>
    </w:p>
    <w:tbl>
      <w:tblPr>
        <w:tblLayout w:type="fixed"/>
        <w:tblInd w:w="1032"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256"/>
        </w:trPr>
        <w:tc>
          <w:tcPr>
            <w:tcW w:w="4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480"/>
        </w:trPr>
        <w:tc>
          <w:tcPr>
            <w:tcW w:w="422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24,481</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3,619</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45,318</w:t>
            </w:r>
          </w:p>
        </w:tc>
        <w:tc>
          <w:tcPr>
            <w:tcW w:w="16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9,960</w:t>
            </w:r>
          </w:p>
        </w:tc>
      </w:tr>
      <w:tr>
        <w:trPr>
          <w:trHeight w:val="243"/>
        </w:trPr>
        <w:tc>
          <w:tcPr>
            <w:tcW w:w="4220" w:type="dxa"/>
            <w:vAlign w:val="bottom"/>
          </w:tcPr>
          <w:p>
            <w:pPr>
              <w:ind w:left="10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(11,529)</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(3,847)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(21,208)</w:t>
            </w:r>
          </w:p>
        </w:tc>
      </w:tr>
      <w:tr>
        <w:trPr>
          <w:trHeight w:val="237"/>
        </w:trPr>
        <w:tc>
          <w:tcPr>
            <w:tcW w:w="4220" w:type="dxa"/>
            <w:vAlign w:val="bottom"/>
          </w:tcPr>
          <w:p>
            <w:pPr>
              <w:ind w:left="100"/>
              <w:spacing w:after="0"/>
              <w:rPr>
                <w:sz w:val="20"/>
                <w:szCs w:val="20"/>
                <w:color w:val="auto"/>
              </w:rPr>
            </w:pPr>
            <w:r>
              <w:rPr>
                <w:rFonts w:ascii="Arial" w:cs="Arial" w:eastAsia="Arial" w:hAnsi="Arial"/>
                <w:sz w:val="16"/>
                <w:szCs w:val="16"/>
                <w:color w:val="auto"/>
              </w:rPr>
              <w:t>Proceeds from disposition of property, plant and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08"/>
        </w:trPr>
        <w:tc>
          <w:tcPr>
            <w:tcW w:w="4220" w:type="dxa"/>
            <w:vAlign w:val="bottom"/>
          </w:tcPr>
          <w:p>
            <w:pPr>
              <w:ind w:left="100"/>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1,897</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4,448</w:t>
            </w:r>
          </w:p>
        </w:tc>
      </w:tr>
      <w:tr>
        <w:trPr>
          <w:trHeight w:val="243"/>
        </w:trPr>
        <w:tc>
          <w:tcPr>
            <w:tcW w:w="4220" w:type="dxa"/>
            <w:vAlign w:val="bottom"/>
          </w:tcPr>
          <w:p>
            <w:pPr>
              <w:ind w:left="10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25,110</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(7,919)</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43,368</w:t>
            </w:r>
          </w:p>
        </w:tc>
        <w:tc>
          <w:tcPr>
            <w:tcW w:w="16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(6,800)</w:t>
            </w:r>
          </w:p>
        </w:tc>
      </w:tr>
      <w:tr>
        <w:trPr>
          <w:trHeight w:val="20"/>
        </w:trPr>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911" w:right="359" w:bottom="1440" w:gutter="0" w:footer="0" w:header="0"/>
        </w:sectPr>
      </w:pPr>
    </w:p>
    <w:bookmarkStart w:id="13" w:name="page14"/>
    <w:bookmarkEnd w:id="13"/>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2" w:lineRule="exact"/>
        <w:rPr>
          <w:sz w:val="20"/>
          <w:szCs w:val="20"/>
          <w:color w:val="auto"/>
        </w:rPr>
      </w:pPr>
    </w:p>
    <w:tbl>
      <w:tblPr>
        <w:tblLayout w:type="fixed"/>
        <w:tblInd w:w="2072"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80" w:type="dxa"/>
            <w:vAlign w:val="bottom"/>
            <w:gridSpan w:val="3"/>
          </w:tcPr>
          <w:p>
            <w:pPr>
              <w:spacing w:after="0"/>
              <w:rPr>
                <w:sz w:val="20"/>
                <w:szCs w:val="20"/>
                <w:color w:val="auto"/>
              </w:rPr>
            </w:pPr>
            <w:r>
              <w:rPr>
                <w:rFonts w:ascii="Arial" w:cs="Arial" w:eastAsia="Arial" w:hAnsi="Arial"/>
                <w:sz w:val="16"/>
                <w:szCs w:val="16"/>
                <w:b w:val="1"/>
                <w:bCs w:val="1"/>
                <w:color w:val="auto"/>
              </w:rPr>
              <w:t>Year Ending December 31, 2020</w:t>
            </w:r>
          </w:p>
        </w:tc>
      </w:tr>
      <w:tr>
        <w:trPr>
          <w:trHeight w:val="338"/>
        </w:trPr>
        <w:tc>
          <w:tcPr>
            <w:tcW w:w="3240" w:type="dxa"/>
            <w:vAlign w:val="bottom"/>
          </w:tcPr>
          <w:p>
            <w:pPr>
              <w:spacing w:after="0"/>
              <w:rPr>
                <w:sz w:val="20"/>
                <w:szCs w:val="20"/>
                <w:color w:val="auto"/>
              </w:rPr>
            </w:pPr>
            <w:r>
              <w:rPr>
                <w:rFonts w:ascii="Arial" w:cs="Arial" w:eastAsia="Arial" w:hAnsi="Arial"/>
                <w:sz w:val="16"/>
                <w:szCs w:val="16"/>
                <w:color w:val="auto"/>
              </w:rPr>
              <w:t>EBITDA Range (1)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(59.4)</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43"/>
        </w:trPr>
        <w:tc>
          <w:tcPr>
            <w:tcW w:w="324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85.0</w:t>
            </w:r>
          </w:p>
        </w:tc>
      </w:tr>
    </w:tbl>
    <w:p>
      <w:pPr>
        <w:spacing w:after="0" w:line="359" w:lineRule="exact"/>
        <w:rPr>
          <w:sz w:val="20"/>
          <w:szCs w:val="20"/>
          <w:color w:val="auto"/>
        </w:rPr>
      </w:pPr>
    </w:p>
    <w:p>
      <w:pPr>
        <w:ind w:left="332" w:hanging="332"/>
        <w:spacing w:after="0" w:line="242"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 (unaudited):</w:t>
      </w:r>
    </w:p>
    <w:p>
      <w:pPr>
        <w:spacing w:after="0" w:line="270" w:lineRule="exact"/>
        <w:rPr>
          <w:sz w:val="20"/>
          <w:szCs w:val="20"/>
          <w:color w:val="auto"/>
        </w:rPr>
      </w:pPr>
    </w:p>
    <w:tbl>
      <w:tblPr>
        <w:tblLayout w:type="fixed"/>
        <w:tblInd w:w="1872" w:type="dxa"/>
        <w:tblCellMar>
          <w:top w:w="0" w:type="dxa"/>
          <w:left w:w="0" w:type="dxa"/>
          <w:bottom w:w="0" w:type="dxa"/>
          <w:right w:w="0" w:type="dxa"/>
        </w:tblCellMar>
      </w:tblPr>
      <w:tr>
        <w:trPr>
          <w:trHeight w:val="215"/>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Year Ending December 31, 2020</w:t>
            </w:r>
          </w:p>
        </w:tc>
      </w:tr>
      <w:tr>
        <w:trPr>
          <w:trHeight w:val="243"/>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(estimated)</w:t>
            </w:r>
          </w:p>
        </w:tc>
        <w:tc>
          <w:tcPr>
            <w:tcW w:w="780" w:type="dxa"/>
            <w:vAlign w:val="bottom"/>
          </w:tcPr>
          <w:p>
            <w:pPr>
              <w:spacing w:after="0"/>
              <w:rPr>
                <w:sz w:val="21"/>
                <w:szCs w:val="21"/>
                <w:color w:val="auto"/>
              </w:rPr>
            </w:pPr>
          </w:p>
        </w:tc>
      </w:tr>
      <w:tr>
        <w:trPr>
          <w:trHeight w:val="351"/>
        </w:trPr>
        <w:tc>
          <w:tcPr>
            <w:tcW w:w="480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(161.7)</w:t>
            </w:r>
          </w:p>
        </w:tc>
        <w:tc>
          <w:tcPr>
            <w:tcW w:w="22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(156.7)</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Income tax benefit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21"/>
                <w:szCs w:val="21"/>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94.0</w:t>
            </w:r>
          </w:p>
        </w:tc>
      </w:tr>
      <w:tr>
        <w:trPr>
          <w:trHeight w:val="256"/>
        </w:trPr>
        <w:tc>
          <w:tcPr>
            <w:tcW w:w="4800" w:type="dxa"/>
            <w:vAlign w:val="bottom"/>
          </w:tcPr>
          <w:p>
            <w:pPr>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17.0</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17.0</w:t>
            </w:r>
          </w:p>
        </w:tc>
      </w:tr>
      <w:tr>
        <w:trPr>
          <w:trHeight w:val="236"/>
        </w:trPr>
        <w:tc>
          <w:tcPr>
            <w:tcW w:w="4800" w:type="dxa"/>
            <w:vAlign w:val="bottom"/>
          </w:tcPr>
          <w:p>
            <w:pPr>
              <w:ind w:left="100"/>
              <w:spacing w:after="0"/>
              <w:rPr>
                <w:sz w:val="20"/>
                <w:szCs w:val="20"/>
                <w:color w:val="auto"/>
              </w:rPr>
            </w:pPr>
            <w:r>
              <w:rPr>
                <w:rFonts w:ascii="Arial" w:cs="Arial" w:eastAsia="Arial" w:hAnsi="Arial"/>
                <w:sz w:val="16"/>
                <w:szCs w:val="16"/>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220" w:type="dxa"/>
            <w:vAlign w:val="bottom"/>
          </w:tcPr>
          <w:p>
            <w:pPr>
              <w:spacing w:after="0"/>
              <w:rPr>
                <w:sz w:val="20"/>
                <w:szCs w:val="20"/>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(54.4)</w:t>
            </w:r>
          </w:p>
        </w:tc>
      </w:tr>
      <w:tr>
        <w:trPr>
          <w:trHeight w:val="318"/>
        </w:trPr>
        <w:tc>
          <w:tcPr>
            <w:tcW w:w="4800" w:type="dxa"/>
            <w:vAlign w:val="bottom"/>
          </w:tcPr>
          <w:p>
            <w:pPr>
              <w:spacing w:after="0"/>
              <w:rPr>
                <w:sz w:val="20"/>
                <w:szCs w:val="20"/>
                <w:color w:val="auto"/>
              </w:rPr>
            </w:pPr>
            <w:r>
              <w:rPr>
                <w:rFonts w:ascii="Arial" w:cs="Arial" w:eastAsia="Arial" w:hAnsi="Arial"/>
                <w:sz w:val="16"/>
                <w:szCs w:val="16"/>
                <w:color w:val="auto"/>
              </w:rPr>
              <w:t>Adjustments to EBITDA</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4800" w:type="dxa"/>
            <w:vAlign w:val="bottom"/>
          </w:tcPr>
          <w:p>
            <w:pPr>
              <w:ind w:left="100"/>
              <w:spacing w:after="0"/>
              <w:rPr>
                <w:sz w:val="20"/>
                <w:szCs w:val="20"/>
                <w:color w:val="auto"/>
              </w:rPr>
            </w:pPr>
            <w:r>
              <w:rPr>
                <w:rFonts w:ascii="Arial" w:cs="Arial" w:eastAsia="Arial" w:hAnsi="Arial"/>
                <w:sz w:val="16"/>
                <w:szCs w:val="16"/>
                <w:color w:val="auto"/>
              </w:rPr>
              <w:t>Impairment expense</w:t>
            </w:r>
          </w:p>
        </w:tc>
        <w:tc>
          <w:tcPr>
            <w:tcW w:w="120" w:type="dxa"/>
            <w:vAlign w:val="bottom"/>
          </w:tcPr>
          <w:p>
            <w:pPr>
              <w:spacing w:after="0"/>
              <w:rPr>
                <w:sz w:val="21"/>
                <w:szCs w:val="21"/>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144.1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144.1</w:t>
            </w:r>
          </w:p>
        </w:tc>
      </w:tr>
      <w:tr>
        <w:trPr>
          <w:trHeight w:val="256"/>
        </w:trPr>
        <w:tc>
          <w:tcPr>
            <w:tcW w:w="4800" w:type="dxa"/>
            <w:vAlign w:val="bottom"/>
          </w:tcPr>
          <w:p>
            <w:pPr>
              <w:ind w:left="100"/>
              <w:spacing w:after="0"/>
              <w:rPr>
                <w:sz w:val="20"/>
                <w:szCs w:val="20"/>
                <w:color w:val="auto"/>
              </w:rPr>
            </w:pPr>
            <w:r>
              <w:rPr>
                <w:rFonts w:ascii="Arial" w:cs="Arial" w:eastAsia="Arial" w:hAnsi="Arial"/>
                <w:sz w:val="16"/>
                <w:szCs w:val="16"/>
                <w:color w:val="auto"/>
              </w:rPr>
              <w:t>Representations and warranties settlement</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w:t>
            </w:r>
          </w:p>
        </w:tc>
      </w:tr>
      <w:tr>
        <w:trPr>
          <w:trHeight w:val="243"/>
        </w:trPr>
        <w:tc>
          <w:tcPr>
            <w:tcW w:w="480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85.0</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12"/>
          </w:cols>
          <w:pgMar w:left="328" w:top="891" w:right="65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134" w:lineRule="exact"/>
        <w:rPr>
          <w:sz w:val="20"/>
          <w:szCs w:val="20"/>
          <w:color w:val="auto"/>
        </w:rPr>
      </w:pPr>
    </w:p>
    <w:tbl>
      <w:tblPr>
        <w:tblLayout w:type="fixed"/>
        <w:tblInd w:w="1352"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r>
      <w:tr>
        <w:trPr>
          <w:trHeight w:val="256"/>
        </w:trPr>
        <w:tc>
          <w:tcPr>
            <w:tcW w:w="3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r>
      <w:tr>
        <w:trPr>
          <w:trHeight w:val="292"/>
        </w:trPr>
        <w:tc>
          <w:tcPr>
            <w:tcW w:w="346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346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40,204</w:t>
            </w:r>
          </w:p>
        </w:tc>
        <w:tc>
          <w:tcPr>
            <w:tcW w:w="16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66,183</w:t>
            </w:r>
          </w:p>
        </w:tc>
        <w:tc>
          <w:tcPr>
            <w:tcW w:w="16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106,270</w:t>
            </w:r>
          </w:p>
        </w:tc>
        <w:tc>
          <w:tcPr>
            <w:tcW w:w="2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123,835</w:t>
            </w:r>
          </w:p>
        </w:tc>
      </w:tr>
      <w:tr>
        <w:trPr>
          <w:trHeight w:val="243"/>
        </w:trPr>
        <w:tc>
          <w:tcPr>
            <w:tcW w:w="346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6,072</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1,819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8,580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2,600</w:t>
            </w:r>
          </w:p>
        </w:tc>
      </w:tr>
      <w:tr>
        <w:trPr>
          <w:trHeight w:val="243"/>
        </w:trPr>
        <w:tc>
          <w:tcPr>
            <w:tcW w:w="346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6,710</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9,086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17,484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17,423</w:t>
            </w:r>
          </w:p>
        </w:tc>
      </w:tr>
      <w:tr>
        <w:trPr>
          <w:trHeight w:val="256"/>
        </w:trPr>
        <w:tc>
          <w:tcPr>
            <w:tcW w:w="3460" w:type="dxa"/>
            <w:vAlign w:val="bottom"/>
          </w:tcPr>
          <w:p>
            <w:pPr>
              <w:ind w:left="460"/>
              <w:spacing w:after="0"/>
              <w:rPr>
                <w:sz w:val="20"/>
                <w:szCs w:val="20"/>
                <w:color w:val="auto"/>
              </w:rPr>
            </w:pPr>
            <w:r>
              <w:rPr>
                <w:rFonts w:ascii="Arial" w:cs="Arial" w:eastAsia="Arial" w:hAnsi="Arial"/>
                <w:sz w:val="16"/>
                <w:szCs w:val="16"/>
                <w:color w:val="auto"/>
              </w:rPr>
              <w:t>Manufacturing revenue (4)</w:t>
            </w:r>
          </w:p>
        </w:tc>
        <w:tc>
          <w:tcPr>
            <w:tcW w:w="240" w:type="dxa"/>
            <w:vAlign w:val="bottom"/>
          </w:tcPr>
          <w:p>
            <w:pPr>
              <w:spacing w:after="0"/>
              <w:rPr>
                <w:sz w:val="22"/>
                <w:szCs w:val="2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1,014</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1,014</w:t>
            </w:r>
          </w:p>
        </w:tc>
      </w:tr>
      <w:tr>
        <w:trPr>
          <w:trHeight w:val="224"/>
        </w:trPr>
        <w:tc>
          <w:tcPr>
            <w:tcW w:w="346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52,986</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78,102</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132,334</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144,872</w:t>
            </w:r>
          </w:p>
        </w:tc>
      </w:tr>
      <w:tr>
        <w:trPr>
          <w:trHeight w:val="351"/>
        </w:trPr>
        <w:tc>
          <w:tcPr>
            <w:tcW w:w="3460" w:type="dxa"/>
            <w:vAlign w:val="bottom"/>
          </w:tcPr>
          <w:p>
            <w:pPr>
              <w:ind w:left="18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28,598</w:t>
            </w:r>
          </w:p>
        </w:tc>
        <w:tc>
          <w:tcPr>
            <w:tcW w:w="16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45,145</w:t>
            </w:r>
          </w:p>
        </w:tc>
        <w:tc>
          <w:tcPr>
            <w:tcW w:w="16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76,653</w:t>
            </w:r>
          </w:p>
        </w:tc>
        <w:tc>
          <w:tcPr>
            <w:tcW w:w="2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87,763</w:t>
            </w: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5,285</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2,027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8,542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2,676</w:t>
            </w: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6,163</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8,466</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16,178</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16,301</w:t>
            </w: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Manufacturing cost</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141</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857</w:t>
            </w:r>
          </w:p>
        </w:tc>
      </w:tr>
      <w:tr>
        <w:trPr>
          <w:trHeight w:val="256"/>
        </w:trPr>
        <w:tc>
          <w:tcPr>
            <w:tcW w:w="346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2,278</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2,970</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5,067</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6,326</w:t>
            </w:r>
          </w:p>
        </w:tc>
      </w:tr>
      <w:tr>
        <w:trPr>
          <w:trHeight w:val="204"/>
        </w:trPr>
        <w:tc>
          <w:tcPr>
            <w:tcW w:w="3460" w:type="dxa"/>
            <w:vAlign w:val="bottom"/>
          </w:tcPr>
          <w:p>
            <w:pPr>
              <w:ind w:left="640"/>
              <w:spacing w:after="0"/>
              <w:rPr>
                <w:sz w:val="20"/>
                <w:szCs w:val="20"/>
                <w:color w:val="auto"/>
              </w:rPr>
            </w:pPr>
            <w:r>
              <w:rPr>
                <w:rFonts w:ascii="Arial" w:cs="Arial" w:eastAsia="Arial" w:hAnsi="Arial"/>
                <w:sz w:val="16"/>
                <w:szCs w:val="16"/>
                <w:color w:val="auto"/>
              </w:rPr>
              <w:t>Total Canadian cost of sales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5"/>
        </w:trPr>
        <w:tc>
          <w:tcPr>
            <w:tcW w:w="346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42,465</w:t>
            </w:r>
          </w:p>
        </w:tc>
        <w:tc>
          <w:tcPr>
            <w:tcW w:w="16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59,276</w:t>
            </w:r>
          </w:p>
        </w:tc>
        <w:tc>
          <w:tcPr>
            <w:tcW w:w="16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106,737</w:t>
            </w:r>
          </w:p>
        </w:tc>
        <w:tc>
          <w:tcPr>
            <w:tcW w:w="2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113,923</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4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409,897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739,627</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1,118,220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1,365,619</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0.722</w:t>
            </w:r>
          </w:p>
        </w:tc>
        <w:tc>
          <w:tcPr>
            <w:tcW w:w="1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0.748</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0.733</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0.750</w:t>
            </w:r>
          </w:p>
        </w:tc>
      </w:tr>
      <w:tr>
        <w:trPr>
          <w:trHeight w:val="487"/>
        </w:trPr>
        <w:tc>
          <w:tcPr>
            <w:tcW w:w="346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34,933</w:t>
            </w:r>
          </w:p>
        </w:tc>
        <w:tc>
          <w:tcPr>
            <w:tcW w:w="16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30,996</w:t>
            </w:r>
          </w:p>
        </w:tc>
        <w:tc>
          <w:tcPr>
            <w:tcW w:w="16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67,518</w:t>
            </w:r>
          </w:p>
        </w:tc>
        <w:tc>
          <w:tcPr>
            <w:tcW w:w="2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59,417</w:t>
            </w:r>
          </w:p>
        </w:tc>
      </w:tr>
      <w:tr>
        <w:trPr>
          <w:trHeight w:val="256"/>
        </w:trPr>
        <w:tc>
          <w:tcPr>
            <w:tcW w:w="346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Pr>
          <w:p>
            <w:pPr>
              <w:spacing w:after="0"/>
              <w:rPr>
                <w:sz w:val="22"/>
                <w:szCs w:val="22"/>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22,138</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38,666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346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57,071</w:t>
            </w:r>
          </w:p>
        </w:tc>
        <w:tc>
          <w:tcPr>
            <w:tcW w:w="16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30,996</w:t>
            </w:r>
          </w:p>
        </w:tc>
        <w:tc>
          <w:tcPr>
            <w:tcW w:w="160" w:type="dxa"/>
            <w:vAlign w:val="bottom"/>
          </w:tcPr>
          <w:p>
            <w:pPr>
              <w:spacing w:after="0"/>
              <w:rPr>
                <w:sz w:val="19"/>
                <w:szCs w:val="19"/>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106,184</w:t>
            </w:r>
          </w:p>
        </w:tc>
        <w:tc>
          <w:tcPr>
            <w:tcW w:w="2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59,417</w:t>
            </w:r>
          </w:p>
        </w:tc>
      </w:tr>
      <w:tr>
        <w:trPr>
          <w:trHeight w:val="351"/>
        </w:trPr>
        <w:tc>
          <w:tcPr>
            <w:tcW w:w="3460" w:type="dxa"/>
            <w:vAlign w:val="bottom"/>
          </w:tcPr>
          <w:p>
            <w:pPr>
              <w:ind w:left="18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15,269</w:t>
            </w:r>
          </w:p>
        </w:tc>
        <w:tc>
          <w:tcPr>
            <w:tcW w:w="16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15,465</w:t>
            </w:r>
          </w:p>
        </w:tc>
        <w:tc>
          <w:tcPr>
            <w:tcW w:w="16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30,264</w:t>
            </w:r>
          </w:p>
        </w:tc>
        <w:tc>
          <w:tcPr>
            <w:tcW w:w="2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29,862</w:t>
            </w:r>
          </w:p>
        </w:tc>
      </w:tr>
      <w:tr>
        <w:trPr>
          <w:trHeight w:val="243"/>
        </w:trPr>
        <w:tc>
          <w:tcPr>
            <w:tcW w:w="346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18,759</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32,466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56"/>
        </w:trPr>
        <w:tc>
          <w:tcPr>
            <w:tcW w:w="346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885</w:t>
            </w:r>
          </w:p>
        </w:tc>
        <w:tc>
          <w:tcPr>
            <w:tcW w:w="1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590</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1,736</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w:t>
            </w:r>
          </w:p>
        </w:tc>
      </w:tr>
      <w:tr>
        <w:trPr>
          <w:trHeight w:val="204"/>
        </w:trPr>
        <w:tc>
          <w:tcPr>
            <w:tcW w:w="3460" w:type="dxa"/>
            <w:vAlign w:val="bottom"/>
          </w:tcPr>
          <w:p>
            <w:pPr>
              <w:ind w:left="640"/>
              <w:spacing w:after="0"/>
              <w:rPr>
                <w:sz w:val="20"/>
                <w:szCs w:val="20"/>
                <w:color w:val="auto"/>
              </w:rPr>
            </w:pPr>
            <w:r>
              <w:rPr>
                <w:rFonts w:ascii="Arial" w:cs="Arial" w:eastAsia="Arial" w:hAnsi="Arial"/>
                <w:sz w:val="16"/>
                <w:szCs w:val="16"/>
                <w:color w:val="auto"/>
              </w:rPr>
              <w:t>Total Australian cost of sales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5"/>
        </w:trPr>
        <w:tc>
          <w:tcPr>
            <w:tcW w:w="3460" w:type="dxa"/>
            <w:vAlign w:val="bottom"/>
          </w:tcPr>
          <w:p>
            <w:pPr>
              <w:ind w:left="64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34,913</w:t>
            </w:r>
          </w:p>
        </w:tc>
        <w:tc>
          <w:tcPr>
            <w:tcW w:w="16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16,055</w:t>
            </w:r>
          </w:p>
        </w:tc>
        <w:tc>
          <w:tcPr>
            <w:tcW w:w="16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64,466</w:t>
            </w:r>
          </w:p>
        </w:tc>
        <w:tc>
          <w:tcPr>
            <w:tcW w:w="2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31,054</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502,392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416,416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974,232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798,997</w:t>
            </w:r>
          </w:p>
        </w:tc>
      </w:tr>
      <w:tr>
        <w:trPr>
          <w:trHeight w:val="351"/>
        </w:trPr>
        <w:tc>
          <w:tcPr>
            <w:tcW w:w="346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0.658</w:t>
            </w:r>
          </w:p>
        </w:tc>
        <w:tc>
          <w:tcPr>
            <w:tcW w:w="16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0.700</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0.658</w:t>
            </w:r>
          </w:p>
        </w:tc>
        <w:tc>
          <w:tcPr>
            <w:tcW w:w="2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0.706</w:t>
            </w:r>
          </w:p>
        </w:tc>
      </w:tr>
    </w:tbl>
    <w:p>
      <w:pPr>
        <w:spacing w:after="0" w:line="345"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and offshore manufacturing services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0139"/>
      </w:cols>
      <w:pgMar w:left="320" w:top="1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2020-07-29T08:34:21Z</dcterms:created>
  <dcterms:modified xsi:type="dcterms:W3CDTF">2020-07-29T08:34:21Z</dcterms:modified>
</cp:coreProperties>
</file>