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October 31, 2025</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4400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firstLine="301"/>
        <w:spacing w:after="0" w:line="263" w:lineRule="auto"/>
        <w:rPr>
          <w:sz w:val="20"/>
          <w:szCs w:val="20"/>
          <w:color w:val="auto"/>
        </w:rPr>
      </w:pPr>
      <w:r>
        <w:rPr>
          <w:rFonts w:ascii="Times New Roman" w:cs="Times New Roman" w:eastAsia="Times New Roman" w:hAnsi="Times New Roman"/>
          <w:sz w:val="22"/>
          <w:szCs w:val="22"/>
          <w:color w:val="auto"/>
        </w:rPr>
        <w:t>On October 31, 2025, Civeo Corporation (“Civeo”) issued a press release announcing its financial condition and results of operations as of and for the quarter ended September 30, 2025. A copy of the press release is furnished as Exhibit 99.1 to this report on Form 8-K, and is incorporated herein by reference.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700" w:hanging="47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620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020" w:type="dxa"/>
            <w:vAlign w:val="bottom"/>
          </w:tcPr>
          <w:p>
            <w:pPr>
              <w:spacing w:after="0"/>
              <w:rPr>
                <w:sz w:val="24"/>
                <w:szCs w:val="24"/>
                <w:color w:val="auto"/>
              </w:rPr>
            </w:pPr>
          </w:p>
        </w:tc>
        <w:tc>
          <w:tcPr>
            <w:tcW w:w="3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8"/>
              </w:rPr>
              <w:t>Press Release dated October 31, 2025</w:t>
            </w:r>
          </w:p>
        </w:tc>
        <w:tc>
          <w:tcPr>
            <w:tcW w:w="6200" w:type="dxa"/>
            <w:vAlign w:val="bottom"/>
          </w:tcPr>
          <w:p>
            <w:pPr>
              <w:spacing w:after="0"/>
              <w:rPr>
                <w:sz w:val="24"/>
                <w:szCs w:val="24"/>
                <w:color w:val="auto"/>
              </w:rPr>
            </w:pPr>
          </w:p>
        </w:tc>
      </w:tr>
      <w:tr>
        <w:trPr>
          <w:trHeight w:val="4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(formatted as Inline XBRL and contained in Exhibit 101)</w:t>
            </w:r>
          </w:p>
        </w:tc>
      </w:tr>
      <w:tr>
        <w:trPr>
          <w:trHeight w:val="1385"/>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31, 2025</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E. Collin Gerry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82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 Collin Gerry</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p>
      <w:pPr>
        <w:sectPr>
          <w:pgSz w:w="11900" w:h="16838" w:orient="portrait"/>
          <w:cols w:equalWidth="0" w:num="1">
            <w:col w:w="11220"/>
          </w:cols>
          <w:pgMar w:left="320" w:top="1296" w:right="359"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27"/>
          <w:szCs w:val="27"/>
          <w:b w:val="1"/>
          <w:bCs w:val="1"/>
          <w:color w:val="auto"/>
        </w:rPr>
        <w:t>Civeo Reports Third Quarter 2025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Third Quarter Highlights:</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revenues of $170.5 million, net loss of $0.5 million and Adjusted EBITDA of $28.8 million;</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1.05 million common shares, or approximately 8% of Civeo's common shares outstanding as of June 30, 2025;</w:t>
      </w:r>
    </w:p>
    <w:p>
      <w:pPr>
        <w:ind w:left="660" w:right="18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Returned approximately $52 million to shareholders year-to-date, completing 69% of its current share repurchase authorization to buy back 20% of its common shares outstanding;</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sequential and year-over-year revenue and Adjusted EBITDA growth in Australian business;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Demonstrated results of Canadian cost cutting efforts.</w:t>
      </w:r>
    </w:p>
    <w:p>
      <w:pPr>
        <w:spacing w:after="0" w:line="23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HOUSTON, October 31, 2025 (BUSINESS WIRE) -- Civeo Corporation (NYSE:CVEO) today reported financial and operating results for the third quarter ended September 30, 2025.</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Bradley J. Dodson, Civeo's President and Chief Executive Officer, said, "Our third quarter consolidated results exhibited our operational and</w:t>
      </w:r>
    </w:p>
    <w:p>
      <w:pPr>
        <w:spacing w:after="0" w:line="25"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strategic efforts with continued growth in Australia and improved cost structure in Canada. In the third quarter, Civeo’s Australian business once again delivered year-over-year and sequential growth as we continued to capitalize on current customer demand. Revenues for</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Australia increased 10% and Adjusted EBITDA increased 13% sequentially, reflecting a full quarter’s results from the four villages acquired by Civeo in the second quarter and increased occupancy from the Company’s legacy Bowen Basin owned villages.</w:t>
      </w:r>
    </w:p>
    <w:p>
      <w:pPr>
        <w:spacing w:after="0" w:line="19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Canada, cost cutting measures that we have implemented since the fourth quarter of 2024 allowed us to drive year-over-year gross margin expansion despite lower lodge occupancy without sacrificing our operational excellence and safety record. While we are pleased to see these initiatives bearing fruit, results for the Canadian business remain under pressure as our mobile camp assets remain underutilized and oil sands customers continue to cut costs related to lodging for base operations and turnaround activity. Going forward, incremental improvement in Canada will largely depend on driving top-line growth. We remain optimistic about the increased utilization of our mobile camp assets based on strong bidding activity in Canada coupled with continued public support at both the federal and provincial levels for infrastructure projects, particularly related to natural gas and LNG. Civeo’s attractive asset base, demonstrated capabilities and strong relationships position us well to capture these growth opportunities as final investment decisions are made in 2026 and 2027.”</w:t>
      </w:r>
    </w:p>
    <w:p>
      <w:pPr>
        <w:spacing w:after="0" w:line="20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Mr. Dodson added, “On our first quarter 2025 earnings call, we announced our current board authorization to repurchase 20% of our common shares outstanding. We continued to execute on this share buyback program by repurchasing more than one million shares in the</w:t>
      </w:r>
    </w:p>
    <w:p>
      <w:pPr>
        <w:spacing w:after="0" w:line="1" w:lineRule="exact"/>
        <w:rPr>
          <w:sz w:val="20"/>
          <w:szCs w:val="20"/>
          <w:color w:val="auto"/>
        </w:rPr>
      </w:pPr>
    </w:p>
    <w:p>
      <w:pPr>
        <w:jc w:val="both"/>
        <w:ind w:right="200"/>
        <w:spacing w:after="0" w:line="242" w:lineRule="auto"/>
        <w:rPr>
          <w:sz w:val="20"/>
          <w:szCs w:val="20"/>
          <w:color w:val="auto"/>
        </w:rPr>
      </w:pPr>
      <w:r>
        <w:rPr>
          <w:rFonts w:ascii="Arial" w:cs="Arial" w:eastAsia="Arial" w:hAnsi="Arial"/>
          <w:sz w:val="18"/>
          <w:szCs w:val="18"/>
          <w:color w:val="auto"/>
        </w:rPr>
        <w:t>quarter, bringing our progress on the current authorization to approximately 69% complete. We are confident that prioritizing opportunistic repurchases of Civeo stock is the optimal path to accelerate the return of capital to shareholders, and intend to complete the program as soon as practicable.”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2025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2025, Civeo generated revenues of $170.5 million and reported a net loss of $0.5 million, or $0.04 per diluted share.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2025, Civeo generated operating cash flow of $13.8 million and Adjusted EBITDA of $28.8 million.</w:t>
      </w:r>
    </w:p>
    <w:p>
      <w:pPr>
        <w:spacing w:after="0" w:line="22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By comparison, in the third quarter of 2024, Civeo generated revenues of $176.3 million and reported a net loss of $5.1 million, or $0.36 per diluted share. During the third quarter of 2024, Civeo produced operating cash flow of $35.7 million and Adjusted EBITDA of $18.8 million.</w:t>
      </w:r>
    </w:p>
    <w:p>
      <w:pPr>
        <w:spacing w:after="0" w:line="73"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The year-over-year increase in Adjusted EBITDA was primarily driven by the benefits of cost cutting in Canada, contributions from the Australian acquisition completed in May 2025 and higher occupancy in the legacy Australian owned-villages.</w:t>
      </w: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(Unless otherwise noted, the following discussion compares the quarterly results for the third quarter of 2025 to the results for the third quarter of 2024.)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5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During the third quarter of 2025, the Australian segment generated revenues of $124.5 million, operating income of $16.7 million and Adjusted EBITDA of $26.7 million, compared to revenues of $116.6 million, operating income of</w:t>
      </w:r>
    </w:p>
    <w:p>
      <w:pPr>
        <w:sectPr>
          <w:pgSz w:w="11900" w:h="16838" w:orient="portrait"/>
          <w:cols w:equalWidth="0" w:num="1">
            <w:col w:w="11120"/>
          </w:cols>
          <w:pgMar w:left="320" w:top="889" w:right="459" w:bottom="1440" w:gutter="0" w:footer="0" w:header="0"/>
        </w:sectPr>
      </w:pPr>
    </w:p>
    <w:bookmarkStart w:id="5" w:name="page6"/>
    <w:bookmarkEnd w:id="5"/>
    <w:p>
      <w:pPr>
        <w:ind w:right="220"/>
        <w:spacing w:after="0" w:line="268" w:lineRule="auto"/>
        <w:rPr>
          <w:sz w:val="20"/>
          <w:szCs w:val="20"/>
          <w:color w:val="auto"/>
        </w:rPr>
      </w:pPr>
      <w:r>
        <w:rPr>
          <w:rFonts w:ascii="Arial" w:cs="Arial" w:eastAsia="Arial" w:hAnsi="Arial"/>
          <w:sz w:val="18"/>
          <w:szCs w:val="18"/>
          <w:color w:val="auto"/>
        </w:rPr>
        <w:t>$14.3 million and Adjusted EBITDA of $22.5 million in the third quarter of 2024. Results for the third quarter of 2025 include the impact of a weakened Australian dollar relative to the U.S. dollar, which negatively impacted revenues and Adjusted EBITDA by $3.0 million and $0.6 million, respectively.</w:t>
      </w:r>
    </w:p>
    <w:p>
      <w:pPr>
        <w:spacing w:after="0" w:line="184"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Revenue from the Australian segment increased 7% period-over-period and Adjusted EBITDA was up 19%. The year-over-year increase was primarily driven by the May 2025 acquisition of four owned-villages, which contributed $8.4 million in revenues in the third quarter of 2025.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third quarter of 2025, the Canadian segment generated revenues of $ 46.0 million, an operating loss of $ 2.4 million and Adjusted EBITDA of $8.0 million, compared to revenues of $57.7 million, operating loss of $6.5 million and Adjusted EBITDA of $3.4 million in the third quarter of 2024.</w:t>
      </w:r>
    </w:p>
    <w:p>
      <w:pPr>
        <w:spacing w:after="0" w:line="20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In the second half of 2024, changes in oil sands customer sentiment and operational strategies began adversely impacting Civeo’s Canadian lodge occupancy and profitability in the region. As this business shift became apparent, the Company developed and began implementation of a comprehensive cost reduction strategy. Initial actions have included:</w:t>
      </w:r>
    </w:p>
    <w:p>
      <w:pPr>
        <w:spacing w:after="0" w:line="1"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overhead headcount by approximately 25%;</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Cold-closed certain underutilized lodges to reduce carrying costs; and</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Streamlining field-level operations to align with current demand levels.</w:t>
      </w:r>
    </w:p>
    <w:p>
      <w:pPr>
        <w:spacing w:after="0" w:line="23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To complement these initiatives, Civeo engaged a leading independent consulting firm to assist management in identifying additional structural and long-term efficiency opportunities across its cost base.</w:t>
      </w:r>
    </w:p>
    <w:p>
      <w:pPr>
        <w:spacing w:after="0" w:line="1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result of the immediate and decisive actions management has taken to right-size the business, Civeo has successfully mitigated the impact of ongoing headwinds in the region, as demonstrated by the Company’s third quarter results. While billed rooms and revenues in the region declined 20% year-over-year in the third quarter, it is notable that:</w:t>
      </w:r>
    </w:p>
    <w:p>
      <w:pPr>
        <w:spacing w:after="0" w:line="1"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 field level costs in Canada declined by 29% year-over-year;</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Indirect operating overhead costs were reduced by 23% in the third quarter of 2025; and</w:t>
      </w:r>
    </w:p>
    <w:p>
      <w:pPr>
        <w:spacing w:after="0" w:line="9" w:lineRule="exact"/>
        <w:rPr>
          <w:rFonts w:ascii="Arial" w:cs="Arial" w:eastAsia="Arial" w:hAnsi="Arial"/>
          <w:sz w:val="18"/>
          <w:szCs w:val="18"/>
          <w:color w:val="auto"/>
        </w:rPr>
      </w:pPr>
    </w:p>
    <w:p>
      <w:pPr>
        <w:ind w:right="100" w:firstLine="8"/>
        <w:spacing w:after="0" w:line="266" w:lineRule="auto"/>
        <w:tabs>
          <w:tab w:leader="none" w:pos="263"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increased by 35%, resulting in Canadian gross margin of 22.5% in the third quarter, compared to 13.3% in the third quarter of 2024.</w:t>
      </w:r>
    </w:p>
    <w:p>
      <w:pPr>
        <w:spacing w:after="0" w:line="19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While the Company is encouraged by the benefits of these measures realized to date, as well as strong bidding activity and future growth opportunities for the Canada business as infrastructure investment trends continue to accelerate in the region, Civeo continues to evaluate additional cost saving actions to further streamline its North American cost structure and position the business for improved profitability in a dynamic market environment.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58"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As of September 30, 2025, Civeo had total liquidity of approximately $70.2 million. Civeo's total debt at September 30, 2025 was $187.9 million, a $19.3 million increase from June 30, 2025. Civeo's net debt at September 30, 2025 was $175.9 million, a $21.9 million increase since June 30, 2025 attributable to the recent share repurchases, bringing Civeo's reported net leverage ratio to 2.1x as of September 30, 2025.</w:t>
      </w:r>
    </w:p>
    <w:p>
      <w:pPr>
        <w:spacing w:after="0" w:line="8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the third quarter of 2025, Civeo repurchased approximately 1,051,000 shares for approximately $26.2 million at an average price of $24.93 per share. As of September 30, 2025, the Company has completed approximately 69% of the current share buyback authorization. As previously disclosed, Civeo intends to use no less than 100% of its annual free cash flow to complete the current program and, thereafter, will use no less than 75% of annual free cash flow to continue to repurchase shares.</w:t>
      </w:r>
    </w:p>
    <w:p>
      <w:pPr>
        <w:spacing w:after="0" w:line="20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During the third quarter of 2025, Civeo invested $5.6 million in capital expenditures compared to $7.5 million invested during the third quarter of 2024. Capital expenditures in both periods were primarily related to maintenance spending on the Company’s lodges and villages.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2025 Guidance</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the full year of 2025, Civeo is tightening its previously provided revenue and Adjusted EBITDA guidance ranges to $640 million to $655 million and $86 million to $91 million, respectively.</w:t>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Company is maintaining its full year 2025 capital expenditure guidance range of $20 million to $25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Civeo will host a conference call to discuss its third quarter 2025 financial results today at 8:30 a.m. Eastern time. This call is being webcast</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can be accessed at Civeo's website at www.civeo.com. Participants may also join the conference call by dialing (877) 423-9813 in the United States or (201) 689-8573 internationally and asking for the Civeo call or using the conference ID 13756815#. A replay will be available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after the call by dialing (844) 512-2921 in the United States or (412) 317-6671 internationally and using the conference ID 13756815#.</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Australian natural resource regions and the Canadian oil sands.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owns and operates a total of 28 lodges and villages in Australia and North America with an aggregate of approximately 27,500 rooms. In addition, Civeo operates and provides hospitality services at 24 customer-owned locations with approximately 19,500 rooms. Civeo is publicly traded under the symbol CVEO on the New York Stock Exchange. For more information, please visit Civeo's website at www.civeo.com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44" w:lineRule="exact"/>
        <w:rPr>
          <w:sz w:val="20"/>
          <w:szCs w:val="20"/>
          <w:color w:val="auto"/>
        </w:rPr>
      </w:pPr>
    </w:p>
    <w:p>
      <w:pPr>
        <w:ind w:right="2000"/>
        <w:spacing w:after="0" w:line="255"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including the statements regarding Civeo’s future plans and outlook, strategic priorities, guidance, current trends,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expectations with respect to Adjusted EBITDA, capital expenditures, future revenues, share repurchases, free cash flow generation, cost reductions, integration of the Australian asset acquisition and liquidity needs,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coal, iron ore, oil, natural gas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 company’s ability to integrate any future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geopolitical events, inflation, global weather conditions, natural disasters, including wildfires, global health 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158" w:lineRule="exact"/>
        <w:rPr>
          <w:sz w:val="20"/>
          <w:szCs w:val="20"/>
          <w:color w:val="auto"/>
        </w:rPr>
      </w:pPr>
    </w:p>
    <w:p>
      <w:pPr>
        <w:ind w:right="2040"/>
        <w:spacing w:after="0" w:line="275" w:lineRule="auto"/>
        <w:rPr>
          <w:sz w:val="20"/>
          <w:szCs w:val="20"/>
          <w:color w:val="auto"/>
        </w:rPr>
      </w:pPr>
      <w:r>
        <w:rPr>
          <w:rFonts w:ascii="Arial" w:cs="Arial" w:eastAsia="Arial" w:hAnsi="Arial"/>
          <w:sz w:val="17"/>
          <w:szCs w:val="17"/>
          <w:color w:val="auto"/>
        </w:rPr>
        <w:t>EBITDA, Adjusted EBITDA, free cash flow, net debt, bank-adjusted EBITDA and net leverage ratio are non-GAAP financial measures. See “Non-GAAP Reconciliation” below for definitions and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w:t>
      </w:r>
    </w:p>
    <w:p>
      <w:pPr>
        <w:sectPr>
          <w:pgSz w:w="11900" w:h="16838" w:orient="portrait"/>
          <w:cols w:equalWidth="0" w:num="1">
            <w:col w:w="11240"/>
          </w:cols>
          <w:pgMar w:left="320" w:top="877" w:right="339" w:bottom="1440" w:gutter="0" w:footer="0" w:header="0"/>
        </w:sectPr>
      </w:pPr>
    </w:p>
    <w:bookmarkStart w:id="7" w:name="page8"/>
    <w:bookmarkEnd w:id="7"/>
    <w:p>
      <w:pPr>
        <w:ind w:right="1660"/>
        <w:spacing w:after="0" w:line="287" w:lineRule="auto"/>
        <w:rPr>
          <w:sz w:val="20"/>
          <w:szCs w:val="20"/>
          <w:color w:val="auto"/>
        </w:rPr>
      </w:pPr>
      <w:r>
        <w:rPr>
          <w:rFonts w:ascii="Arial" w:cs="Arial" w:eastAsia="Arial" w:hAnsi="Arial"/>
          <w:sz w:val="18"/>
          <w:szCs w:val="18"/>
          <w:color w:val="auto"/>
        </w:rPr>
        <w:t>standardized, it may not be possible to compare these financial measures with other companies’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4"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21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4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r>
      <w:tr>
        <w:trPr>
          <w:trHeight w:val="499"/>
        </w:trPr>
        <w:tc>
          <w:tcPr>
            <w:tcW w:w="4260" w:type="dxa"/>
            <w:vAlign w:val="bottom"/>
          </w:tcPr>
          <w:p>
            <w:pPr>
              <w:spacing w:after="0"/>
              <w:rPr>
                <w:sz w:val="20"/>
                <w:szCs w:val="20"/>
                <w:color w:val="auto"/>
              </w:rPr>
            </w:pPr>
            <w:r>
              <w:rPr>
                <w:rFonts w:ascii="Arial" w:cs="Arial" w:eastAsia="Arial" w:hAnsi="Arial"/>
                <w:sz w:val="14"/>
                <w:szCs w:val="14"/>
                <w:color w:val="auto"/>
              </w:rPr>
              <w:t>Revenues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170,491</w:t>
            </w:r>
          </w:p>
        </w:tc>
        <w:tc>
          <w:tcPr>
            <w:tcW w:w="2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176,338</w:t>
            </w:r>
          </w:p>
        </w:tc>
        <w:tc>
          <w:tcPr>
            <w:tcW w:w="2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477,229</w:t>
            </w:r>
          </w:p>
        </w:tc>
        <w:tc>
          <w:tcPr>
            <w:tcW w:w="2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531,171</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Costs and expenses: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126,704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138,542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362,850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409,821</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18,107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19,635</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56,762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55,708</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20,012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17,440</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54,092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51,269</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24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7,823</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(Gain) loss on sale of McClelland Lake Lodge assets, net</w:t>
            </w:r>
          </w:p>
        </w:tc>
        <w:tc>
          <w:tcPr>
            <w:tcW w:w="24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(5,817)</w:t>
            </w:r>
          </w:p>
        </w:tc>
      </w:tr>
      <w:tr>
        <w:trPr>
          <w:trHeight w:val="261"/>
        </w:trPr>
        <w:tc>
          <w:tcPr>
            <w:tcW w:w="4260" w:type="dxa"/>
            <w:vAlign w:val="bottom"/>
          </w:tcPr>
          <w:p>
            <w:pPr>
              <w:ind w:left="120"/>
              <w:spacing w:after="0"/>
              <w:rPr>
                <w:sz w:val="20"/>
                <w:szCs w:val="20"/>
                <w:color w:val="auto"/>
              </w:rPr>
            </w:pPr>
            <w:r>
              <w:rPr>
                <w:rFonts w:ascii="Arial" w:cs="Arial" w:eastAsia="Arial" w:hAnsi="Arial"/>
                <w:sz w:val="14"/>
                <w:szCs w:val="14"/>
                <w:color w:val="auto"/>
              </w:rPr>
              <w:t>Other operating (income) expense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506</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992</w:t>
            </w:r>
          </w:p>
        </w:tc>
      </w:tr>
      <w:tr>
        <w:trPr>
          <w:trHeight w:val="236"/>
        </w:trPr>
        <w:tc>
          <w:tcPr>
            <w:tcW w:w="4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163,525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176,294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472,979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519,796</w:t>
            </w:r>
          </w:p>
        </w:tc>
      </w:tr>
      <w:tr>
        <w:trPr>
          <w:trHeight w:val="233"/>
        </w:trPr>
        <w:tc>
          <w:tcPr>
            <w:tcW w:w="4260" w:type="dxa"/>
            <w:vAlign w:val="bottom"/>
          </w:tcPr>
          <w:p>
            <w:pPr>
              <w:spacing w:after="0"/>
              <w:rPr>
                <w:sz w:val="20"/>
                <w:szCs w:val="20"/>
                <w:color w:val="auto"/>
              </w:rPr>
            </w:pPr>
            <w:r>
              <w:rPr>
                <w:rFonts w:ascii="Arial" w:cs="Arial" w:eastAsia="Arial" w:hAnsi="Arial"/>
                <w:sz w:val="14"/>
                <w:szCs w:val="14"/>
                <w:color w:val="auto"/>
              </w:rPr>
              <w:t>Operating income</w:t>
            </w: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6,966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4,250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11,375</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(3,422)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(1,725)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(7,740)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(6,288)</w:t>
            </w:r>
          </w:p>
        </w:tc>
      </w:tr>
      <w:tr>
        <w:trPr>
          <w:trHeight w:val="257"/>
        </w:trPr>
        <w:tc>
          <w:tcPr>
            <w:tcW w:w="4260" w:type="dxa"/>
            <w:vAlign w:val="bottom"/>
          </w:tcPr>
          <w:p>
            <w:pPr>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147</w:t>
            </w:r>
          </w:p>
        </w:tc>
      </w:tr>
      <w:tr>
        <w:trPr>
          <w:trHeight w:val="260"/>
        </w:trPr>
        <w:tc>
          <w:tcPr>
            <w:tcW w:w="4260" w:type="dxa"/>
            <w:vAlign w:val="bottom"/>
          </w:tcPr>
          <w:p>
            <w:pPr>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476</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967</w:t>
            </w:r>
          </w:p>
        </w:tc>
      </w:tr>
      <w:tr>
        <w:trPr>
          <w:trHeight w:val="233"/>
        </w:trPr>
        <w:tc>
          <w:tcPr>
            <w:tcW w:w="426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3,582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(2,885)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6,201</w:t>
            </w:r>
          </w:p>
        </w:tc>
      </w:tr>
      <w:tr>
        <w:trPr>
          <w:trHeight w:val="260"/>
        </w:trPr>
        <w:tc>
          <w:tcPr>
            <w:tcW w:w="4260" w:type="dxa"/>
            <w:vAlign w:val="bottom"/>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(4,038)</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(3,862)</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(10,732)</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(9,199)</w:t>
            </w:r>
          </w:p>
        </w:tc>
      </w:tr>
      <w:tr>
        <w:trPr>
          <w:trHeight w:val="233"/>
        </w:trPr>
        <w:tc>
          <w:tcPr>
            <w:tcW w:w="4260" w:type="dxa"/>
            <w:vAlign w:val="bottom"/>
          </w:tcPr>
          <w:p>
            <w:pPr>
              <w:spacing w:after="0"/>
              <w:rPr>
                <w:sz w:val="20"/>
                <w:szCs w:val="20"/>
                <w:color w:val="auto"/>
              </w:rPr>
            </w:pPr>
            <w:r>
              <w:rPr>
                <w:rFonts w:ascii="Arial" w:cs="Arial" w:eastAsia="Arial" w:hAnsi="Arial"/>
                <w:sz w:val="14"/>
                <w:szCs w:val="14"/>
                <w:color w:val="auto"/>
              </w:rPr>
              <w:t>Net loss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(5,289)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(2,998)</w:t>
            </w:r>
          </w:p>
        </w:tc>
      </w:tr>
      <w:tr>
        <w:trPr>
          <w:trHeight w:val="260"/>
        </w:trPr>
        <w:tc>
          <w:tcPr>
            <w:tcW w:w="4260" w:type="dxa"/>
            <w:vAlign w:val="bottom"/>
          </w:tcPr>
          <w:p>
            <w:pPr>
              <w:ind w:left="120"/>
              <w:spacing w:after="0"/>
              <w:rPr>
                <w:sz w:val="20"/>
                <w:szCs w:val="20"/>
                <w:color w:val="auto"/>
              </w:rPr>
            </w:pPr>
            <w:r>
              <w:rPr>
                <w:rFonts w:ascii="Arial" w:cs="Arial" w:eastAsia="Arial" w:hAnsi="Arial"/>
                <w:sz w:val="14"/>
                <w:szCs w:val="14"/>
                <w:color w:val="auto"/>
              </w:rPr>
              <w:t>Less: Net loss attributable to noncontrolling interest</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w:t>
            </w:r>
          </w:p>
        </w:tc>
      </w:tr>
      <w:tr>
        <w:trPr>
          <w:trHeight w:val="214"/>
        </w:trPr>
        <w:tc>
          <w:tcPr>
            <w:tcW w:w="4260" w:type="dxa"/>
            <w:vAlign w:val="bottom"/>
          </w:tcPr>
          <w:p>
            <w:pPr>
              <w:spacing w:after="0"/>
              <w:rPr>
                <w:sz w:val="20"/>
                <w:szCs w:val="20"/>
                <w:color w:val="auto"/>
              </w:rPr>
            </w:pPr>
            <w:r>
              <w:rPr>
                <w:rFonts w:ascii="Arial" w:cs="Arial" w:eastAsia="Arial" w:hAnsi="Arial"/>
                <w:sz w:val="14"/>
                <w:szCs w:val="14"/>
                <w:color w:val="auto"/>
              </w:rPr>
              <w:t>Net loss attributable to Civeo Corporation</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(5,091)</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(13,611)</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w:t>
            </w:r>
          </w:p>
        </w:tc>
      </w:tr>
      <w:tr>
        <w:trPr>
          <w:trHeight w:val="20"/>
        </w:trPr>
        <w:tc>
          <w:tcPr>
            <w:tcW w:w="42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71"/>
        </w:trPr>
        <w:tc>
          <w:tcPr>
            <w:tcW w:w="5520" w:type="dxa"/>
            <w:vAlign w:val="bottom"/>
            <w:gridSpan w:val="4"/>
          </w:tcPr>
          <w:p>
            <w:pPr>
              <w:spacing w:after="0"/>
              <w:rPr>
                <w:sz w:val="20"/>
                <w:szCs w:val="20"/>
                <w:color w:val="auto"/>
              </w:rPr>
            </w:pPr>
            <w:r>
              <w:rPr>
                <w:rFonts w:ascii="Arial" w:cs="Arial" w:eastAsia="Arial" w:hAnsi="Arial"/>
                <w:sz w:val="14"/>
                <w:szCs w:val="14"/>
                <w:color w:val="auto"/>
              </w:rPr>
              <w:t>Net loss per share attributable to Civeo Corporation common shareholders: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(0.04)</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(0.36)</w:t>
            </w:r>
          </w:p>
        </w:tc>
        <w:tc>
          <w:tcPr>
            <w:tcW w:w="24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(1.04)</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(0.14)</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(0.04)</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(0.36)</w:t>
            </w:r>
          </w:p>
        </w:tc>
        <w:tc>
          <w:tcPr>
            <w:tcW w:w="24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(1.04)</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(0.14)</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12,395</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14,293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13,053</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14,488</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12,395</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14,293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13,053</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14,488</w:t>
            </w:r>
          </w:p>
        </w:tc>
      </w:tr>
    </w:tbl>
    <w:p>
      <w:pPr>
        <w:sectPr>
          <w:pgSz w:w="11900" w:h="16838" w:orient="portrait"/>
          <w:cols w:equalWidth="0" w:num="1">
            <w:col w:w="10220"/>
          </w:cols>
          <w:pgMar w:left="320" w:top="890" w:right="1359" w:bottom="1440" w:gutter="0" w:footer="0" w:header="0"/>
        </w:sectPr>
      </w:pPr>
    </w:p>
    <w:bookmarkStart w:id="8" w:name="page9"/>
    <w:bookmarkEnd w:id="8"/>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189"/>
        </w:trPr>
        <w:tc>
          <w:tcPr>
            <w:tcW w:w="5460" w:type="dxa"/>
            <w:vAlign w:val="bottom"/>
            <w:gridSpan w:val="4"/>
          </w:tcPr>
          <w:p>
            <w:pPr>
              <w:jc w:val="center"/>
              <w:ind w:left="1419"/>
              <w:spacing w:after="0"/>
              <w:rPr>
                <w:sz w:val="20"/>
                <w:szCs w:val="20"/>
                <w:color w:val="auto"/>
              </w:rPr>
            </w:pPr>
            <w:r>
              <w:rPr>
                <w:rFonts w:ascii="Arial" w:cs="Arial" w:eastAsia="Arial" w:hAnsi="Arial"/>
                <w:sz w:val="16"/>
                <w:szCs w:val="16"/>
                <w:b w:val="1"/>
                <w:bCs w:val="1"/>
                <w:color w:val="auto"/>
              </w:rPr>
              <w:t>CIVEO CORPORATION</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60" w:type="dxa"/>
            <w:vAlign w:val="bottom"/>
            <w:gridSpan w:val="4"/>
          </w:tcPr>
          <w:p>
            <w:pPr>
              <w:jc w:val="center"/>
              <w:ind w:left="1439"/>
              <w:spacing w:after="0"/>
              <w:rPr>
                <w:sz w:val="20"/>
                <w:szCs w:val="20"/>
                <w:color w:val="auto"/>
              </w:rPr>
            </w:pPr>
            <w:r>
              <w:rPr>
                <w:rFonts w:ascii="Arial" w:cs="Arial" w:eastAsia="Arial" w:hAnsi="Arial"/>
                <w:sz w:val="16"/>
                <w:szCs w:val="16"/>
                <w:b w:val="1"/>
                <w:bCs w:val="1"/>
                <w:color w:val="auto"/>
              </w:rPr>
              <w:t>CONDENSED CONSOLIDATED BALANCE SHEETS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60" w:type="dxa"/>
            <w:vAlign w:val="bottom"/>
            <w:gridSpan w:val="4"/>
          </w:tcPr>
          <w:p>
            <w:pPr>
              <w:jc w:val="center"/>
              <w:ind w:left="141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60"/>
              <w:spacing w:after="0" w:line="170" w:lineRule="exact"/>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12,003</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5,204</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105,001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89,038</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5,807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7,537</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8,674</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140,130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110,453</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251,309</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204,897</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7,428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7,001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70,748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66,502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13,456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9,401</w:t>
            </w:r>
          </w:p>
        </w:tc>
        <w:tc>
          <w:tcPr>
            <w:tcW w:w="0" w:type="dxa"/>
            <w:vAlign w:val="bottom"/>
          </w:tcPr>
          <w:p>
            <w:pPr>
              <w:spacing w:after="0"/>
              <w:rPr>
                <w:sz w:val="1"/>
                <w:szCs w:val="1"/>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7,996</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6,818</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491,067</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405,072</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43,942</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39,971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33,681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34,933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10,853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2,670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5,106</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4,388</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85,525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92,646</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187,937</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43,299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4,337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3,558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10,087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6,655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21,916</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308,521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168,074</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1,634,083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1,631,823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(1,047,425)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(980,720)</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(10,775)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(10,130)</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(393,337)</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(404,600)</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182,546</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236,373</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0"/>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182,546</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236,998</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491,067</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405,072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Nine Months Ended</w:t>
      </w:r>
    </w:p>
    <w:p>
      <w:pPr>
        <w:jc w:val="center"/>
        <w:ind w:left="5800"/>
        <w:spacing w:after="0"/>
        <w:rPr>
          <w:sz w:val="20"/>
          <w:szCs w:val="20"/>
          <w:color w:val="auto"/>
        </w:rPr>
      </w:pPr>
      <w:r>
        <w:rPr>
          <w:rFonts w:ascii="Arial" w:cs="Arial" w:eastAsia="Arial" w:hAnsi="Arial"/>
          <w:sz w:val="16"/>
          <w:szCs w:val="16"/>
          <w:b w:val="1"/>
          <w:bCs w:val="1"/>
          <w:color w:val="auto"/>
        </w:rPr>
        <w:t>September 30,</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r>
      <w:tr>
        <w:trPr>
          <w:trHeight w:val="491"/>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(13,617)</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(2,998)</w:t>
            </w:r>
          </w:p>
        </w:tc>
      </w:tr>
      <w:tr>
        <w:trPr>
          <w:trHeight w:val="418"/>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54,092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51,269</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7,823</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benefit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(3,349)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(6,487)</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2,260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1,879</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Gains on disposals of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(6,134)</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Provision for credit losses, net of recoveries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1,214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1,886</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(11,411)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35,771</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2,041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(1,690)</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(13,586)</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(13,905)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9,681</w:t>
            </w:r>
          </w:p>
        </w:tc>
      </w:tr>
      <w:tr>
        <w:trPr>
          <w:trHeight w:val="258"/>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and noncurrent assets and liabilities, net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(12,261)</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operating activities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3,072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74,014</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(15,380)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(18,405)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Acquisitions and related payments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(72,002)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dispositions of property, plant and equipment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1,433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10,700</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investing activities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(85,949)</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(7,522)</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140,797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(9,246)</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(2,976)</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(3,437)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(10,984)</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(48,684)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(24,060)</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(used in) financing activities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87,608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(48,333)</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2,068</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w:t>
            </w:r>
          </w:p>
        </w:tc>
      </w:tr>
      <w:tr>
        <w:trPr>
          <w:trHeight w:val="235"/>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6,799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14,587</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5,204</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3,323</w:t>
            </w:r>
          </w:p>
        </w:tc>
      </w:tr>
      <w:tr>
        <w:trPr>
          <w:trHeight w:val="22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12,003</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17,910</w:t>
            </w:r>
          </w:p>
        </w:tc>
      </w:tr>
      <w:tr>
        <w:trPr>
          <w:trHeight w:val="21"/>
        </w:trPr>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5"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2024</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124,460</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116,622</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340,778</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316,967</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46,031</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57,736</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136,451</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204,423</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1,980</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9,781</w:t>
            </w:r>
          </w:p>
        </w:tc>
        <w:tc>
          <w:tcPr>
            <w:tcW w:w="0" w:type="dxa"/>
            <w:vAlign w:val="bottom"/>
          </w:tcPr>
          <w:p>
            <w:pPr>
              <w:spacing w:after="0"/>
              <w:rPr>
                <w:sz w:val="1"/>
                <w:szCs w:val="1"/>
                <w:color w:val="auto"/>
              </w:rPr>
            </w:pPr>
          </w:p>
        </w:tc>
      </w:tr>
      <w:tr>
        <w:trPr>
          <w:trHeight w:val="210"/>
        </w:trPr>
        <w:tc>
          <w:tcPr>
            <w:tcW w:w="336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170,491</w:t>
            </w:r>
          </w:p>
        </w:tc>
        <w:tc>
          <w:tcPr>
            <w:tcW w:w="1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176,338</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477,229</w:t>
            </w:r>
          </w:p>
        </w:tc>
        <w:tc>
          <w:tcPr>
            <w:tcW w:w="1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531,171</w:t>
            </w:r>
          </w:p>
        </w:tc>
        <w:tc>
          <w:tcPr>
            <w:tcW w:w="0" w:type="dxa"/>
            <w:vAlign w:val="bottom"/>
          </w:tcPr>
          <w:p>
            <w:pPr>
              <w:spacing w:after="0"/>
              <w:rPr>
                <w:sz w:val="1"/>
                <w:szCs w:val="1"/>
                <w:color w:val="auto"/>
              </w:rPr>
            </w:pPr>
          </w:p>
        </w:tc>
      </w:tr>
      <w:tr>
        <w:trPr>
          <w:trHeight w:val="21"/>
        </w:trPr>
        <w:tc>
          <w:tcPr>
            <w:tcW w:w="33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26,591</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22,421</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70,643</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58,494</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7,697</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3,171</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13,405</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31,944</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(7,299)</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(7,706)</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(25,224)</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(25,826)</w:t>
            </w:r>
          </w:p>
        </w:tc>
        <w:tc>
          <w:tcPr>
            <w:tcW w:w="0" w:type="dxa"/>
            <w:vAlign w:val="bottom"/>
          </w:tcPr>
          <w:p>
            <w:pPr>
              <w:spacing w:after="0"/>
              <w:rPr>
                <w:sz w:val="1"/>
                <w:szCs w:val="1"/>
                <w:color w:val="auto"/>
              </w:rPr>
            </w:pPr>
          </w:p>
        </w:tc>
      </w:tr>
      <w:tr>
        <w:trPr>
          <w:trHeight w:val="211"/>
        </w:trPr>
        <w:tc>
          <w:tcPr>
            <w:tcW w:w="336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26,989</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17,886</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58,824</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64,612</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26,722</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22,474</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70,870</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64,417</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8,048</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3,434</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15,272</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26,454</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(5,934)</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(7,130)</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(19,643)</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(22,374)</w:t>
            </w:r>
          </w:p>
        </w:tc>
        <w:tc>
          <w:tcPr>
            <w:tcW w:w="0" w:type="dxa"/>
            <w:vAlign w:val="bottom"/>
          </w:tcPr>
          <w:p>
            <w:pPr>
              <w:spacing w:after="0"/>
              <w:rPr>
                <w:sz w:val="1"/>
                <w:szCs w:val="1"/>
                <w:color w:val="auto"/>
              </w:rPr>
            </w:pPr>
          </w:p>
        </w:tc>
      </w:tr>
      <w:tr>
        <w:trPr>
          <w:trHeight w:val="211"/>
        </w:trPr>
        <w:tc>
          <w:tcPr>
            <w:tcW w:w="336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28,836</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18,778</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66,499</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68,497</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16,665</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14,318</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43,877</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35,462</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(2,360)</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(6,476)</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(14,304)</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2,083</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(7,339)</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(7,798)</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(25,323)</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(26,170)</w:t>
            </w:r>
          </w:p>
        </w:tc>
        <w:tc>
          <w:tcPr>
            <w:tcW w:w="0" w:type="dxa"/>
            <w:vAlign w:val="bottom"/>
          </w:tcPr>
          <w:p>
            <w:pPr>
              <w:spacing w:after="0"/>
              <w:rPr>
                <w:sz w:val="1"/>
                <w:szCs w:val="1"/>
                <w:color w:val="auto"/>
              </w:rPr>
            </w:pPr>
          </w:p>
        </w:tc>
      </w:tr>
      <w:tr>
        <w:trPr>
          <w:trHeight w:val="210"/>
        </w:trPr>
        <w:tc>
          <w:tcPr>
            <w:tcW w:w="3360" w:type="dxa"/>
            <w:vAlign w:val="bottom"/>
          </w:tcPr>
          <w:p>
            <w:pPr>
              <w:ind w:left="44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6,966</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4,250</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11,375</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160"/>
          </w:cols>
          <w:pgMar w:left="1380" w:top="895" w:right="1359" w:bottom="1440" w:gutter="0" w:footer="0" w:header="0"/>
        </w:sectPr>
      </w:pPr>
    </w:p>
    <w:bookmarkStart w:id="11" w:name="page12"/>
    <w:bookmarkEnd w:id="11"/>
    <w:p>
      <w:pPr>
        <w:jc w:val="center"/>
        <w:ind w:right="-9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(unaudited)</w:t>
      </w:r>
    </w:p>
    <w:p>
      <w:pPr>
        <w:spacing w:after="0" w:line="76" w:lineRule="exact"/>
        <w:rPr>
          <w:sz w:val="20"/>
          <w:szCs w:val="20"/>
          <w:color w:val="auto"/>
        </w:rPr>
      </w:pPr>
    </w:p>
    <w:tbl>
      <w:tblPr>
        <w:tblLayout w:type="fixed"/>
        <w:tblInd w:w="1352"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2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9"/>
                <w:szCs w:val="19"/>
                <w:color w:val="auto"/>
              </w:rPr>
            </w:pPr>
          </w:p>
        </w:tc>
        <w:tc>
          <w:tcPr>
            <w:tcW w:w="220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58,405</w:t>
            </w:r>
          </w:p>
        </w:tc>
        <w:tc>
          <w:tcPr>
            <w:tcW w:w="18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51,370</w:t>
            </w:r>
          </w:p>
        </w:tc>
        <w:tc>
          <w:tcPr>
            <w:tcW w:w="16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157,910</w:t>
            </w:r>
          </w:p>
        </w:tc>
        <w:tc>
          <w:tcPr>
            <w:tcW w:w="2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147,391</w:t>
            </w:r>
          </w:p>
        </w:tc>
        <w:tc>
          <w:tcPr>
            <w:tcW w:w="0" w:type="dxa"/>
            <w:vAlign w:val="bottom"/>
          </w:tcPr>
          <w:p>
            <w:pPr>
              <w:spacing w:after="0"/>
              <w:rPr>
                <w:sz w:val="1"/>
                <w:szCs w:val="1"/>
                <w:color w:val="auto"/>
              </w:rPr>
            </w:pPr>
          </w:p>
        </w:tc>
      </w:tr>
      <w:tr>
        <w:trPr>
          <w:trHeight w:val="258"/>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66,055</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65,252</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182,868</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169,576</w:t>
            </w:r>
          </w:p>
        </w:tc>
        <w:tc>
          <w:tcPr>
            <w:tcW w:w="0" w:type="dxa"/>
            <w:vAlign w:val="bottom"/>
          </w:tcPr>
          <w:p>
            <w:pPr>
              <w:spacing w:after="0"/>
              <w:rPr>
                <w:sz w:val="1"/>
                <w:szCs w:val="1"/>
                <w:color w:val="auto"/>
              </w:rPr>
            </w:pPr>
          </w:p>
        </w:tc>
      </w:tr>
      <w:tr>
        <w:trPr>
          <w:trHeight w:val="235"/>
        </w:trPr>
        <w:tc>
          <w:tcPr>
            <w:tcW w:w="358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124,460</w:t>
            </w:r>
          </w:p>
        </w:tc>
        <w:tc>
          <w:tcPr>
            <w:tcW w:w="1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116,622</w:t>
            </w:r>
          </w:p>
        </w:tc>
        <w:tc>
          <w:tcPr>
            <w:tcW w:w="16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340,778</w:t>
            </w:r>
          </w:p>
        </w:tc>
        <w:tc>
          <w:tcPr>
            <w:tcW w:w="2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316,967</w:t>
            </w:r>
          </w:p>
        </w:tc>
        <w:tc>
          <w:tcPr>
            <w:tcW w:w="0" w:type="dxa"/>
            <w:vAlign w:val="bottom"/>
          </w:tcPr>
          <w:p>
            <w:pPr>
              <w:spacing w:after="0"/>
              <w:rPr>
                <w:sz w:val="1"/>
                <w:szCs w:val="1"/>
                <w:color w:val="auto"/>
              </w:rPr>
            </w:pPr>
          </w:p>
        </w:tc>
      </w:tr>
      <w:tr>
        <w:trPr>
          <w:trHeight w:val="365"/>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27,779</w:t>
            </w:r>
          </w:p>
        </w:tc>
        <w:tc>
          <w:tcPr>
            <w:tcW w:w="18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24,783</w:t>
            </w:r>
          </w:p>
        </w:tc>
        <w:tc>
          <w:tcPr>
            <w:tcW w:w="16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76,740</w:t>
            </w:r>
          </w:p>
        </w:tc>
        <w:tc>
          <w:tcPr>
            <w:tcW w:w="2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70,990</w:t>
            </w:r>
          </w:p>
        </w:tc>
        <w:tc>
          <w:tcPr>
            <w:tcW w:w="0" w:type="dxa"/>
            <w:vAlign w:val="bottom"/>
          </w:tcPr>
          <w:p>
            <w:pPr>
              <w:spacing w:after="0"/>
              <w:rPr>
                <w:sz w:val="1"/>
                <w:szCs w:val="1"/>
                <w:color w:val="auto"/>
              </w:rPr>
            </w:pPr>
          </w:p>
        </w:tc>
      </w:tr>
      <w:tr>
        <w:trPr>
          <w:trHeight w:val="256"/>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59,469</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58,787</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163,283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154,218</w:t>
            </w:r>
          </w:p>
        </w:tc>
        <w:tc>
          <w:tcPr>
            <w:tcW w:w="0" w:type="dxa"/>
            <w:vAlign w:val="bottom"/>
          </w:tcPr>
          <w:p>
            <w:pPr>
              <w:spacing w:after="0"/>
              <w:rPr>
                <w:sz w:val="1"/>
                <w:szCs w:val="1"/>
                <w:color w:val="auto"/>
              </w:rPr>
            </w:pPr>
          </w:p>
        </w:tc>
      </w:tr>
      <w:tr>
        <w:trPr>
          <w:trHeight w:val="257"/>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3,497</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10,198</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9,009</w:t>
            </w:r>
          </w:p>
        </w:tc>
        <w:tc>
          <w:tcPr>
            <w:tcW w:w="0" w:type="dxa"/>
            <w:vAlign w:val="bottom"/>
          </w:tcPr>
          <w:p>
            <w:pPr>
              <w:spacing w:after="0"/>
              <w:rPr>
                <w:sz w:val="1"/>
                <w:szCs w:val="1"/>
                <w:color w:val="auto"/>
              </w:rPr>
            </w:pPr>
          </w:p>
        </w:tc>
      </w:tr>
      <w:tr>
        <w:trPr>
          <w:trHeight w:val="144"/>
        </w:trPr>
        <w:tc>
          <w:tcPr>
            <w:tcW w:w="3580" w:type="dxa"/>
            <w:vAlign w:val="bottom"/>
          </w:tcPr>
          <w:p>
            <w:pPr>
              <w:ind w:left="660"/>
              <w:spacing w:after="0" w:line="144" w:lineRule="exact"/>
              <w:rPr>
                <w:sz w:val="20"/>
                <w:szCs w:val="20"/>
                <w:color w:val="auto"/>
              </w:rPr>
            </w:pPr>
            <w:r>
              <w:rPr>
                <w:rFonts w:ascii="Arial" w:cs="Arial" w:eastAsia="Arial" w:hAnsi="Arial"/>
                <w:sz w:val="16"/>
                <w:szCs w:val="16"/>
                <w:color w:val="auto"/>
              </w:rPr>
              <w:t>Total Australian cost of sales and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91,024</w:t>
            </w:r>
          </w:p>
        </w:tc>
        <w:tc>
          <w:tcPr>
            <w:tcW w:w="18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87,067</w:t>
            </w:r>
          </w:p>
        </w:tc>
        <w:tc>
          <w:tcPr>
            <w:tcW w:w="160" w:type="dxa"/>
            <w:vAlign w:val="bottom"/>
          </w:tcPr>
          <w:p>
            <w:pPr>
              <w:spacing w:after="0"/>
              <w:rPr>
                <w:sz w:val="12"/>
                <w:szCs w:val="12"/>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250,221</w:t>
            </w:r>
          </w:p>
        </w:tc>
        <w:tc>
          <w:tcPr>
            <w:tcW w:w="20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234,217</w:t>
            </w:r>
          </w:p>
        </w:tc>
        <w:tc>
          <w:tcPr>
            <w:tcW w:w="0" w:type="dxa"/>
            <w:vAlign w:val="bottom"/>
          </w:tcPr>
          <w:p>
            <w:pPr>
              <w:spacing w:after="0"/>
              <w:rPr>
                <w:sz w:val="1"/>
                <w:szCs w:val="1"/>
                <w:color w:val="auto"/>
              </w:rPr>
            </w:pPr>
          </w:p>
        </w:tc>
      </w:tr>
      <w:tr>
        <w:trPr>
          <w:trHeight w:val="21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64"/>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762,974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647,358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2,079,116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1,886,647</w:t>
            </w:r>
          </w:p>
        </w:tc>
        <w:tc>
          <w:tcPr>
            <w:tcW w:w="0" w:type="dxa"/>
            <w:vAlign w:val="bottom"/>
          </w:tcPr>
          <w:p>
            <w:pPr>
              <w:spacing w:after="0"/>
              <w:rPr>
                <w:sz w:val="1"/>
                <w:szCs w:val="1"/>
                <w:color w:val="auto"/>
              </w:rPr>
            </w:pPr>
          </w:p>
        </w:tc>
      </w:tr>
      <w:tr>
        <w:trPr>
          <w:trHeight w:val="365"/>
        </w:trPr>
        <w:tc>
          <w:tcPr>
            <w:tcW w:w="358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0.654</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0.670</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0.641</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0.662</w:t>
            </w:r>
          </w:p>
        </w:tc>
        <w:tc>
          <w:tcPr>
            <w:tcW w:w="0" w:type="dxa"/>
            <w:vAlign w:val="bottom"/>
          </w:tcPr>
          <w:p>
            <w:pPr>
              <w:spacing w:after="0"/>
              <w:rPr>
                <w:sz w:val="1"/>
                <w:szCs w:val="1"/>
                <w:color w:val="auto"/>
              </w:rPr>
            </w:pPr>
          </w:p>
        </w:tc>
      </w:tr>
      <w:tr>
        <w:trPr>
          <w:trHeight w:val="475"/>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38,684</w:t>
            </w:r>
          </w:p>
        </w:tc>
        <w:tc>
          <w:tcPr>
            <w:tcW w:w="18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48,747</w:t>
            </w:r>
          </w:p>
        </w:tc>
        <w:tc>
          <w:tcPr>
            <w:tcW w:w="16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114,710</w:t>
            </w:r>
          </w:p>
        </w:tc>
        <w:tc>
          <w:tcPr>
            <w:tcW w:w="2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180,793</w:t>
            </w:r>
          </w:p>
        </w:tc>
        <w:tc>
          <w:tcPr>
            <w:tcW w:w="0" w:type="dxa"/>
            <w:vAlign w:val="bottom"/>
          </w:tcPr>
          <w:p>
            <w:pPr>
              <w:spacing w:after="0"/>
              <w:rPr>
                <w:sz w:val="1"/>
                <w:szCs w:val="1"/>
                <w:color w:val="auto"/>
              </w:rPr>
            </w:pPr>
          </w:p>
        </w:tc>
      </w:tr>
      <w:tr>
        <w:trPr>
          <w:trHeight w:val="257"/>
        </w:trPr>
        <w:tc>
          <w:tcPr>
            <w:tcW w:w="358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1,046</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1,473</w:t>
            </w:r>
          </w:p>
        </w:tc>
        <w:tc>
          <w:tcPr>
            <w:tcW w:w="0" w:type="dxa"/>
            <w:vAlign w:val="bottom"/>
          </w:tcPr>
          <w:p>
            <w:pPr>
              <w:spacing w:after="0"/>
              <w:rPr>
                <w:sz w:val="1"/>
                <w:szCs w:val="1"/>
                <w:color w:val="auto"/>
              </w:rPr>
            </w:pPr>
          </w:p>
        </w:tc>
      </w:tr>
      <w:tr>
        <w:trPr>
          <w:trHeight w:val="258"/>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6,954</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8,866</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20,695</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22,157</w:t>
            </w:r>
          </w:p>
        </w:tc>
        <w:tc>
          <w:tcPr>
            <w:tcW w:w="0" w:type="dxa"/>
            <w:vAlign w:val="bottom"/>
          </w:tcPr>
          <w:p>
            <w:pPr>
              <w:spacing w:after="0"/>
              <w:rPr>
                <w:sz w:val="1"/>
                <w:szCs w:val="1"/>
                <w:color w:val="auto"/>
              </w:rPr>
            </w:pPr>
          </w:p>
        </w:tc>
      </w:tr>
      <w:tr>
        <w:trPr>
          <w:trHeight w:val="235"/>
        </w:trPr>
        <w:tc>
          <w:tcPr>
            <w:tcW w:w="358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46,031</w:t>
            </w:r>
          </w:p>
        </w:tc>
        <w:tc>
          <w:tcPr>
            <w:tcW w:w="1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57,736</w:t>
            </w:r>
          </w:p>
        </w:tc>
        <w:tc>
          <w:tcPr>
            <w:tcW w:w="16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136,451</w:t>
            </w:r>
          </w:p>
        </w:tc>
        <w:tc>
          <w:tcPr>
            <w:tcW w:w="2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204,423</w:t>
            </w:r>
          </w:p>
        </w:tc>
        <w:tc>
          <w:tcPr>
            <w:tcW w:w="0" w:type="dxa"/>
            <w:vAlign w:val="bottom"/>
          </w:tcPr>
          <w:p>
            <w:pPr>
              <w:spacing w:after="0"/>
              <w:rPr>
                <w:sz w:val="1"/>
                <w:szCs w:val="1"/>
                <w:color w:val="auto"/>
              </w:rPr>
            </w:pPr>
          </w:p>
        </w:tc>
      </w:tr>
      <w:tr>
        <w:trPr>
          <w:trHeight w:val="364"/>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27,107</w:t>
            </w:r>
          </w:p>
        </w:tc>
        <w:tc>
          <w:tcPr>
            <w:tcW w:w="18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38,762</w:t>
            </w:r>
          </w:p>
        </w:tc>
        <w:tc>
          <w:tcPr>
            <w:tcW w:w="16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86,590</w:t>
            </w:r>
          </w:p>
        </w:tc>
        <w:tc>
          <w:tcPr>
            <w:tcW w:w="2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132,679</w:t>
            </w:r>
          </w:p>
        </w:tc>
        <w:tc>
          <w:tcPr>
            <w:tcW w:w="0" w:type="dxa"/>
            <w:vAlign w:val="bottom"/>
          </w:tcPr>
          <w:p>
            <w:pPr>
              <w:spacing w:after="0"/>
              <w:rPr>
                <w:sz w:val="1"/>
                <w:szCs w:val="1"/>
                <w:color w:val="auto"/>
              </w:rPr>
            </w:pPr>
          </w:p>
        </w:tc>
      </w:tr>
      <w:tr>
        <w:trPr>
          <w:trHeight w:val="256"/>
        </w:trPr>
        <w:tc>
          <w:tcPr>
            <w:tcW w:w="358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4,413</w:t>
            </w:r>
          </w:p>
        </w:tc>
        <w:tc>
          <w:tcPr>
            <w:tcW w:w="0" w:type="dxa"/>
            <w:vAlign w:val="bottom"/>
          </w:tcPr>
          <w:p>
            <w:pPr>
              <w:spacing w:after="0"/>
              <w:rPr>
                <w:sz w:val="1"/>
                <w:szCs w:val="1"/>
                <w:color w:val="auto"/>
              </w:rPr>
            </w:pPr>
          </w:p>
        </w:tc>
      </w:tr>
      <w:tr>
        <w:trPr>
          <w:trHeight w:val="257"/>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6,547</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8,385</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19,257</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20,839</w:t>
            </w:r>
          </w:p>
        </w:tc>
        <w:tc>
          <w:tcPr>
            <w:tcW w:w="0" w:type="dxa"/>
            <w:vAlign w:val="bottom"/>
          </w:tcPr>
          <w:p>
            <w:pPr>
              <w:spacing w:after="0"/>
              <w:rPr>
                <w:sz w:val="1"/>
                <w:szCs w:val="1"/>
                <w:color w:val="auto"/>
              </w:rPr>
            </w:pPr>
          </w:p>
        </w:tc>
      </w:tr>
      <w:tr>
        <w:trPr>
          <w:trHeight w:val="257"/>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1,970</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2,544</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6,324</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8,227</w:t>
            </w:r>
          </w:p>
        </w:tc>
        <w:tc>
          <w:tcPr>
            <w:tcW w:w="0" w:type="dxa"/>
            <w:vAlign w:val="bottom"/>
          </w:tcPr>
          <w:p>
            <w:pPr>
              <w:spacing w:after="0"/>
              <w:rPr>
                <w:sz w:val="1"/>
                <w:szCs w:val="1"/>
                <w:color w:val="auto"/>
              </w:rPr>
            </w:pPr>
          </w:p>
        </w:tc>
      </w:tr>
      <w:tr>
        <w:trPr>
          <w:trHeight w:val="144"/>
        </w:trPr>
        <w:tc>
          <w:tcPr>
            <w:tcW w:w="3580" w:type="dxa"/>
            <w:vAlign w:val="bottom"/>
          </w:tcPr>
          <w:p>
            <w:pPr>
              <w:ind w:left="660"/>
              <w:spacing w:after="0" w:line="144" w:lineRule="exact"/>
              <w:rPr>
                <w:sz w:val="20"/>
                <w:szCs w:val="20"/>
                <w:color w:val="auto"/>
              </w:rPr>
            </w:pPr>
            <w:r>
              <w:rPr>
                <w:rFonts w:ascii="Arial" w:cs="Arial" w:eastAsia="Arial" w:hAnsi="Arial"/>
                <w:sz w:val="16"/>
                <w:szCs w:val="16"/>
                <w:color w:val="auto"/>
              </w:rPr>
              <w:t>Total Canadian cost of sales and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35,660</w:t>
            </w:r>
          </w:p>
        </w:tc>
        <w:tc>
          <w:tcPr>
            <w:tcW w:w="18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50,052</w:t>
            </w:r>
          </w:p>
        </w:tc>
        <w:tc>
          <w:tcPr>
            <w:tcW w:w="160" w:type="dxa"/>
            <w:vAlign w:val="bottom"/>
          </w:tcPr>
          <w:p>
            <w:pPr>
              <w:spacing w:after="0"/>
              <w:rPr>
                <w:sz w:val="12"/>
                <w:szCs w:val="12"/>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112,342</w:t>
            </w:r>
          </w:p>
        </w:tc>
        <w:tc>
          <w:tcPr>
            <w:tcW w:w="20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166,158</w:t>
            </w:r>
          </w:p>
        </w:tc>
        <w:tc>
          <w:tcPr>
            <w:tcW w:w="0" w:type="dxa"/>
            <w:vAlign w:val="bottom"/>
          </w:tcPr>
          <w:p>
            <w:pPr>
              <w:spacing w:after="0"/>
              <w:rPr>
                <w:sz w:val="1"/>
                <w:szCs w:val="1"/>
                <w:color w:val="auto"/>
              </w:rPr>
            </w:pPr>
          </w:p>
        </w:tc>
      </w:tr>
      <w:tr>
        <w:trPr>
          <w:trHeight w:val="21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51"/>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382,660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483,767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1,191,327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1,846,163</w:t>
            </w:r>
          </w:p>
        </w:tc>
        <w:tc>
          <w:tcPr>
            <w:tcW w:w="0" w:type="dxa"/>
            <w:vAlign w:val="bottom"/>
          </w:tcPr>
          <w:p>
            <w:pPr>
              <w:spacing w:after="0"/>
              <w:rPr>
                <w:sz w:val="1"/>
                <w:szCs w:val="1"/>
                <w:color w:val="auto"/>
              </w:rPr>
            </w:pPr>
          </w:p>
        </w:tc>
      </w:tr>
      <w:tr>
        <w:trPr>
          <w:trHeight w:val="365"/>
        </w:trPr>
        <w:tc>
          <w:tcPr>
            <w:tcW w:w="358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0.726</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0.733</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0.715</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0.735</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12" w:hanging="312"/>
        <w:spacing w:after="0"/>
        <w:tabs>
          <w:tab w:leader="none" w:pos="31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30" w:lineRule="exact"/>
        <w:rPr>
          <w:rFonts w:ascii="Arial" w:cs="Arial" w:eastAsia="Arial" w:hAnsi="Arial"/>
          <w:sz w:val="16"/>
          <w:szCs w:val="16"/>
          <w:color w:val="auto"/>
        </w:rPr>
      </w:pPr>
    </w:p>
    <w:p>
      <w:pPr>
        <w:ind w:left="312" w:hanging="312"/>
        <w:spacing w:after="0"/>
        <w:tabs>
          <w:tab w:leader="none" w:pos="31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revenues related to mobile assets for the periods presented.</w:t>
      </w:r>
    </w:p>
    <w:p>
      <w:pPr>
        <w:spacing w:after="0" w:line="8" w:lineRule="exact"/>
        <w:rPr>
          <w:rFonts w:ascii="Arial" w:cs="Arial" w:eastAsia="Arial" w:hAnsi="Arial"/>
          <w:sz w:val="16"/>
          <w:szCs w:val="16"/>
          <w:color w:val="auto"/>
        </w:rPr>
      </w:pPr>
    </w:p>
    <w:p>
      <w:pPr>
        <w:ind w:left="312" w:hanging="312"/>
        <w:spacing w:after="0"/>
        <w:tabs>
          <w:tab w:leader="none" w:pos="31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revenues related to food services,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6"/>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14" w:lineRule="exact"/>
        <w:rPr>
          <w:rFonts w:ascii="Arial" w:cs="Arial" w:eastAsia="Arial" w:hAnsi="Arial"/>
          <w:sz w:val="16"/>
          <w:szCs w:val="16"/>
          <w:color w:val="auto"/>
        </w:rPr>
      </w:pPr>
    </w:p>
    <w:p>
      <w:pPr>
        <w:ind w:left="312" w:hanging="312"/>
        <w:spacing w:after="0"/>
        <w:tabs>
          <w:tab w:leader="none" w:pos="312" w:val="left"/>
        </w:tabs>
        <w:numPr>
          <w:ilvl w:val="0"/>
          <w:numId w:val="6"/>
        </w:numPr>
        <w:rPr>
          <w:rFonts w:ascii="Arial" w:cs="Arial" w:eastAsia="Arial" w:hAnsi="Arial"/>
          <w:sz w:val="16"/>
          <w:szCs w:val="16"/>
          <w:color w:val="auto"/>
        </w:rPr>
      </w:pPr>
      <w:r>
        <w:rPr>
          <w:rFonts w:ascii="Arial" w:cs="Arial" w:eastAsia="Arial" w:hAnsi="Arial"/>
          <w:sz w:val="16"/>
          <w:szCs w:val="16"/>
          <w:color w:val="auto"/>
        </w:rPr>
        <w:t>Billed rooms represents total billed days for owned assets for the periods presented.</w:t>
      </w:r>
    </w:p>
    <w:p>
      <w:pPr>
        <w:sectPr>
          <w:pgSz w:w="11900" w:h="16838" w:orient="portrait"/>
          <w:cols w:equalWidth="0" w:num="1">
            <w:col w:w="11152"/>
          </w:cols>
          <w:pgMar w:left="328" w:top="89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1"/>
        <w:spacing w:after="0"/>
        <w:rPr>
          <w:sz w:val="20"/>
          <w:szCs w:val="20"/>
          <w:color w:val="auto"/>
        </w:rPr>
      </w:pPr>
      <w:r>
        <w:rPr>
          <w:rFonts w:ascii="Arial" w:cs="Arial" w:eastAsia="Arial" w:hAnsi="Arial"/>
          <w:sz w:val="16"/>
          <w:szCs w:val="16"/>
          <w:b w:val="1"/>
          <w:bCs w:val="1"/>
          <w:color w:val="auto"/>
        </w:rPr>
        <w:t>CIVEO CORPORATION</w:t>
      </w:r>
    </w:p>
    <w:p>
      <w:pPr>
        <w:spacing w:after="0" w:line="35" w:lineRule="exact"/>
        <w:rPr>
          <w:sz w:val="20"/>
          <w:szCs w:val="20"/>
          <w:color w:val="auto"/>
        </w:rPr>
      </w:pPr>
    </w:p>
    <w:p>
      <w:pPr>
        <w:jc w:val="center"/>
        <w:ind w:right="-71"/>
        <w:spacing w:after="0"/>
        <w:rPr>
          <w:sz w:val="20"/>
          <w:szCs w:val="20"/>
          <w:color w:val="auto"/>
        </w:rPr>
      </w:pPr>
      <w:r>
        <w:rPr>
          <w:rFonts w:ascii="Arial" w:cs="Arial" w:eastAsia="Arial" w:hAnsi="Arial"/>
          <w:sz w:val="16"/>
          <w:szCs w:val="16"/>
          <w:b w:val="1"/>
          <w:bCs w:val="1"/>
          <w:color w:val="auto"/>
        </w:rPr>
        <w:t>SUPPLEMENTAL OPERATIONS BY SERVICE TYPE BY REGION DATA</w:t>
      </w:r>
    </w:p>
    <w:p>
      <w:pPr>
        <w:sectPr>
          <w:pgSz w:w="11900" w:h="16838" w:orient="portrait"/>
          <w:cols w:equalWidth="0" w:num="1">
            <w:col w:w="11152"/>
          </w:cols>
          <w:pgMar w:left="328" w:top="895" w:right="41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(U.S. dollars 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7"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The following table sets forth certain supplemental data for our Australia and Canada segment revenues attributable to the asset-light (“Catering and Facility Management”) portion of the Company’s business and the asset-intensive (“Accommodations and Infrastructure”) portion of the Company’s business. We provide Catering and Facility Management services to both customer-owned assets and Company-</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owned villages and lodges. When we provide Catering and Facility Management services to customer-owned assets, it is reflected in “Food and other services” in our Supplemental Quarterly Segment and Operating Data. However, when we provide those same services to</w:t>
      </w:r>
    </w:p>
    <w:p>
      <w:pPr>
        <w:spacing w:after="0" w:line="2"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customers at our owned villages and lodges, it is reflected in “Accommodation and other services”, which also includes the Accommodations and Infrastructure component of our owned villages and lodges. This is because we bill our customers in one combined rate for both Accommodations and Infrastructure services and Catering and Facility Management services at Company-owned villages and lodges.</w:t>
      </w:r>
    </w:p>
    <w:p>
      <w:pPr>
        <w:spacing w:after="0" w:line="18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purpose of the disclosure below is to disaggregate the embedded Catering and Facility Management revenues from the “Accommodation and other services” revenues associated with our owned villages and lodges that is included in our Supplemental Quarterly Segment and Operating Data. To do so, we apply a margin that is equal to Civeo’s margin in similar services we provide to customer-owned assets to the cost of sales that are associated with Catering and Facility Management services within “Accommodation and other services” for our owned villages and lodges. This table provides investors a supplemental view of the services provided by the Company which could assist with their valuation analysis.</w:t>
      </w: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14"/>
                <w:szCs w:val="14"/>
                <w:b w:val="1"/>
                <w:bCs w:val="1"/>
                <w:color w:val="auto"/>
              </w:rPr>
              <w:t>Three months ended September 30, 2025</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10"/>
          </w:tcPr>
          <w:p>
            <w:pPr>
              <w:jc w:val="right"/>
              <w:ind w:right="380"/>
              <w:spacing w:after="0"/>
              <w:rPr>
                <w:sz w:val="20"/>
                <w:szCs w:val="20"/>
                <w:color w:val="auto"/>
              </w:rPr>
            </w:pPr>
            <w:r>
              <w:rPr>
                <w:rFonts w:ascii="Arial" w:cs="Arial" w:eastAsia="Arial" w:hAnsi="Arial"/>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Australia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Canada</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Australia</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Canada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58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Revenues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90,117</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27,497</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117,614</w:t>
            </w:r>
          </w:p>
        </w:tc>
        <w:tc>
          <w:tcPr>
            <w:tcW w:w="2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87,094</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35,961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123,055</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580" w:type="dxa"/>
            <w:vAlign w:val="bottom"/>
            <w:gridSpan w:val="2"/>
          </w:tcPr>
          <w:p>
            <w:pPr>
              <w:spacing w:after="0"/>
              <w:rPr>
                <w:sz w:val="20"/>
                <w:szCs w:val="20"/>
                <w:color w:val="auto"/>
              </w:rPr>
            </w:pPr>
            <w:r>
              <w:rPr>
                <w:rFonts w:ascii="Arial" w:cs="Arial" w:eastAsia="Arial" w:hAnsi="Arial"/>
                <w:sz w:val="14"/>
                <w:szCs w:val="14"/>
                <w:color w:val="auto"/>
              </w:rPr>
              <w:t>Asset Light: Catering and Facility management</w:t>
            </w:r>
          </w:p>
        </w:tc>
        <w:tc>
          <w:tcPr>
            <w:tcW w:w="1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580" w:type="dxa"/>
            <w:vAlign w:val="bottom"/>
            <w:gridSpan w:val="2"/>
          </w:tcPr>
          <w:p>
            <w:pPr>
              <w:spacing w:after="0"/>
              <w:rPr>
                <w:sz w:val="20"/>
                <w:szCs w:val="20"/>
                <w:color w:val="auto"/>
              </w:rPr>
            </w:pPr>
            <w:r>
              <w:rPr>
                <w:rFonts w:ascii="Arial" w:cs="Arial" w:eastAsia="Arial" w:hAnsi="Arial"/>
                <w:sz w:val="14"/>
                <w:szCs w:val="14"/>
                <w:color w:val="auto"/>
              </w:rPr>
              <w:t>Asset Intensive: Accommodations and Infrastructure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53,283</w:t>
            </w:r>
          </w:p>
        </w:tc>
        <w:tc>
          <w:tcPr>
            <w:tcW w:w="0" w:type="dxa"/>
            <w:vAlign w:val="bottom"/>
          </w:tcPr>
          <w:p>
            <w:pPr>
              <w:spacing w:after="0"/>
              <w:rPr>
                <w:sz w:val="1"/>
                <w:szCs w:val="1"/>
                <w:color w:val="auto"/>
              </w:rPr>
            </w:pPr>
          </w:p>
        </w:tc>
      </w:tr>
      <w:tr>
        <w:trPr>
          <w:trHeight w:val="213"/>
        </w:trPr>
        <w:tc>
          <w:tcPr>
            <w:tcW w:w="3580" w:type="dxa"/>
            <w:vAlign w:val="bottom"/>
            <w:gridSpan w:val="2"/>
          </w:tcPr>
          <w:p>
            <w:pPr>
              <w:spacing w:after="0"/>
              <w:rPr>
                <w:sz w:val="20"/>
                <w:szCs w:val="20"/>
                <w:color w:val="auto"/>
              </w:rPr>
            </w:pPr>
            <w:r>
              <w:rPr>
                <w:rFonts w:ascii="Arial" w:cs="Arial" w:eastAsia="Arial" w:hAnsi="Arial"/>
                <w:sz w:val="14"/>
                <w:szCs w:val="14"/>
                <w:color w:val="auto"/>
              </w:rPr>
              <w:t>Total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124,460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46,031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170,491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116,622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57,736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176,338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0"/>
        </w:trPr>
        <w:tc>
          <w:tcPr>
            <w:tcW w:w="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11"/>
          </w:tcPr>
          <w:p>
            <w:pPr>
              <w:jc w:val="center"/>
              <w:ind w:right="340"/>
              <w:spacing w:after="0"/>
              <w:rPr>
                <w:sz w:val="20"/>
                <w:szCs w:val="20"/>
                <w:color w:val="auto"/>
              </w:rPr>
            </w:pPr>
            <w:r>
              <w:rPr>
                <w:rFonts w:ascii="Arial" w:cs="Arial" w:eastAsia="Arial" w:hAnsi="Arial"/>
                <w:sz w:val="14"/>
                <w:szCs w:val="14"/>
                <w:b w:val="1"/>
                <w:bCs w:val="1"/>
                <w:color w:val="auto"/>
              </w:rPr>
              <w:t>Nine months ended September 30, 2025</w:t>
            </w:r>
          </w:p>
        </w:tc>
        <w:tc>
          <w:tcPr>
            <w:tcW w:w="100" w:type="dxa"/>
            <w:vAlign w:val="bottom"/>
          </w:tcPr>
          <w:p>
            <w:pPr>
              <w:spacing w:after="0"/>
              <w:rPr>
                <w:sz w:val="24"/>
                <w:szCs w:val="24"/>
                <w:color w:val="auto"/>
              </w:rPr>
            </w:pPr>
          </w:p>
        </w:tc>
        <w:tc>
          <w:tcPr>
            <w:tcW w:w="3620" w:type="dxa"/>
            <w:vAlign w:val="bottom"/>
            <w:gridSpan w:val="10"/>
          </w:tcPr>
          <w:p>
            <w:pPr>
              <w:jc w:val="right"/>
              <w:ind w:right="420"/>
              <w:spacing w:after="0"/>
              <w:rPr>
                <w:sz w:val="20"/>
                <w:szCs w:val="20"/>
                <w:color w:val="auto"/>
              </w:rPr>
            </w:pPr>
            <w:r>
              <w:rPr>
                <w:rFonts w:ascii="Arial" w:cs="Arial" w:eastAsia="Arial" w:hAnsi="Arial"/>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207"/>
        </w:trPr>
        <w:tc>
          <w:tcPr>
            <w:tcW w:w="6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6"/>
              </w:rPr>
              <w:t>Australia</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Canada</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Australia</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Canada</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46"/>
        </w:trPr>
        <w:tc>
          <w:tcPr>
            <w:tcW w:w="358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Revenues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249,409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83,098</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332,507</w:t>
            </w:r>
          </w:p>
        </w:tc>
        <w:tc>
          <w:tcPr>
            <w:tcW w:w="2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232,120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119,399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352,068</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4"/>
                <w:szCs w:val="14"/>
                <w:color w:val="auto"/>
              </w:rPr>
              <w:t>Asset Light: Catering and Facility management</w:t>
            </w:r>
          </w:p>
        </w:tc>
        <w:tc>
          <w:tcPr>
            <w:tcW w:w="1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580" w:type="dxa"/>
            <w:vAlign w:val="bottom"/>
            <w:gridSpan w:val="2"/>
          </w:tcPr>
          <w:p>
            <w:pPr>
              <w:spacing w:after="0"/>
              <w:rPr>
                <w:sz w:val="20"/>
                <w:szCs w:val="20"/>
                <w:color w:val="auto"/>
              </w:rPr>
            </w:pPr>
            <w:r>
              <w:rPr>
                <w:rFonts w:ascii="Arial" w:cs="Arial" w:eastAsia="Arial" w:hAnsi="Arial"/>
                <w:sz w:val="14"/>
                <w:szCs w:val="14"/>
                <w:color w:val="auto"/>
              </w:rPr>
              <w:t>Asset Intensive: Accommodations and Infrastructure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179,103</w:t>
            </w:r>
          </w:p>
        </w:tc>
        <w:tc>
          <w:tcPr>
            <w:tcW w:w="0" w:type="dxa"/>
            <w:vAlign w:val="bottom"/>
          </w:tcPr>
          <w:p>
            <w:pPr>
              <w:spacing w:after="0"/>
              <w:rPr>
                <w:sz w:val="1"/>
                <w:szCs w:val="1"/>
                <w:color w:val="auto"/>
              </w:rPr>
            </w:pPr>
          </w:p>
        </w:tc>
      </w:tr>
      <w:tr>
        <w:trPr>
          <w:trHeight w:val="213"/>
        </w:trPr>
        <w:tc>
          <w:tcPr>
            <w:tcW w:w="3580" w:type="dxa"/>
            <w:vAlign w:val="bottom"/>
            <w:gridSpan w:val="2"/>
          </w:tcPr>
          <w:p>
            <w:pPr>
              <w:spacing w:after="0"/>
              <w:rPr>
                <w:sz w:val="20"/>
                <w:szCs w:val="20"/>
                <w:color w:val="auto"/>
              </w:rPr>
            </w:pPr>
            <w:r>
              <w:rPr>
                <w:rFonts w:ascii="Arial" w:cs="Arial" w:eastAsia="Arial" w:hAnsi="Arial"/>
                <w:sz w:val="14"/>
                <w:szCs w:val="14"/>
                <w:color w:val="auto"/>
              </w:rPr>
              <w:t>Total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340,778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136,451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477,229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316,967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204,423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531,171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13" w:name="page14"/>
    <w:bookmarkEnd w:id="13"/>
    <w:p>
      <w:pPr>
        <w:jc w:val="center"/>
        <w:ind w:right="-5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1632"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260" w:type="dxa"/>
            <w:vAlign w:val="bottom"/>
            <w:gridSpan w:val="5"/>
            <w:vMerge w:val="restart"/>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Twelve Months</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9"/>
                <w:szCs w:val="19"/>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9"/>
                <w:szCs w:val="19"/>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3"/>
        </w:trPr>
        <w:tc>
          <w:tcPr>
            <w:tcW w:w="16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518"/>
        </w:trPr>
        <w:tc>
          <w:tcPr>
            <w:tcW w:w="164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26,989</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17,886</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58,824</w:t>
            </w:r>
          </w:p>
        </w:tc>
        <w:tc>
          <w:tcPr>
            <w:tcW w:w="16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64,612</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65,461</w:t>
            </w: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28,836</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18,778</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66,499</w:t>
            </w:r>
          </w:p>
        </w:tc>
        <w:tc>
          <w:tcPr>
            <w:tcW w:w="16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68,497</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77,939</w:t>
            </w:r>
          </w:p>
        </w:tc>
        <w:tc>
          <w:tcPr>
            <w:tcW w:w="0" w:type="dxa"/>
            <w:vAlign w:val="bottom"/>
          </w:tcPr>
          <w:p>
            <w:pPr>
              <w:spacing w:after="0"/>
              <w:rPr>
                <w:sz w:val="1"/>
                <w:szCs w:val="1"/>
                <w:color w:val="auto"/>
              </w:rPr>
            </w:pPr>
          </w:p>
        </w:tc>
      </w:tr>
      <w:tr>
        <w:trPr>
          <w:trHeight w:val="164"/>
        </w:trPr>
        <w:tc>
          <w:tcPr>
            <w:tcW w:w="1640" w:type="dxa"/>
            <w:vAlign w:val="bottom"/>
          </w:tcPr>
          <w:p>
            <w:pPr>
              <w:spacing w:after="0" w:line="164" w:lineRule="exact"/>
              <w:rPr>
                <w:sz w:val="20"/>
                <w:szCs w:val="20"/>
                <w:color w:val="auto"/>
              </w:rPr>
            </w:pPr>
            <w:r>
              <w:rPr>
                <w:rFonts w:ascii="Arial" w:cs="Arial" w:eastAsia="Arial" w:hAnsi="Arial"/>
                <w:sz w:val="16"/>
                <w:szCs w:val="16"/>
                <w:color w:val="auto"/>
              </w:rPr>
              <w:t>Net Leverage Ratio</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2.1x</w:t>
            </w:r>
          </w:p>
        </w:tc>
        <w:tc>
          <w:tcPr>
            <w:tcW w:w="0" w:type="dxa"/>
            <w:vAlign w:val="bottom"/>
          </w:tcPr>
          <w:p>
            <w:pPr>
              <w:spacing w:after="0"/>
              <w:rPr>
                <w:sz w:val="1"/>
                <w:szCs w:val="1"/>
                <w:color w:val="auto"/>
              </w:rPr>
            </w:pPr>
          </w:p>
        </w:tc>
      </w:tr>
      <w:tr>
        <w:trPr>
          <w:trHeight w:val="215"/>
        </w:trPr>
        <w:tc>
          <w:tcPr>
            <w:tcW w:w="1640" w:type="dxa"/>
            <w:vAlign w:val="bottom"/>
          </w:tcPr>
          <w:p>
            <w:pPr>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32" w:right="2240" w:hanging="332"/>
        <w:spacing w:after="0" w:line="256"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w:t>
      </w:r>
    </w:p>
    <w:p>
      <w:pPr>
        <w:spacing w:after="0" w:line="1" w:lineRule="exact"/>
        <w:rPr>
          <w:rFonts w:ascii="Arial" w:cs="Arial" w:eastAsia="Arial" w:hAnsi="Arial"/>
          <w:sz w:val="16"/>
          <w:szCs w:val="16"/>
          <w:color w:val="auto"/>
        </w:rPr>
      </w:pPr>
    </w:p>
    <w:p>
      <w:pPr>
        <w:ind w:left="332" w:right="60"/>
        <w:spacing w:after="0"/>
        <w:rPr>
          <w:rFonts w:ascii="Arial" w:cs="Arial" w:eastAsia="Arial" w:hAnsi="Arial"/>
          <w:sz w:val="16"/>
          <w:szCs w:val="16"/>
          <w:color w:val="auto"/>
        </w:rPr>
      </w:pPr>
      <w:r>
        <w:rPr>
          <w:rFonts w:ascii="Arial" w:cs="Arial" w:eastAsia="Arial" w:hAnsi="Arial"/>
          <w:sz w:val="16"/>
          <w:szCs w:val="16"/>
          <w:color w:val="auto"/>
        </w:rPr>
        <w:t>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18" w:lineRule="exact"/>
        <w:rPr>
          <w:rFonts w:ascii="Arial" w:cs="Arial" w:eastAsia="Arial" w:hAnsi="Arial"/>
          <w:sz w:val="16"/>
          <w:szCs w:val="16"/>
          <w:color w:val="auto"/>
        </w:rPr>
      </w:pPr>
    </w:p>
    <w:p>
      <w:pPr>
        <w:ind w:left="332" w:right="8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256" w:lineRule="exact"/>
        <w:rPr>
          <w:sz w:val="20"/>
          <w:szCs w:val="20"/>
          <w:color w:val="auto"/>
        </w:rPr>
      </w:pPr>
    </w:p>
    <w:tbl>
      <w:tblPr>
        <w:tblLayout w:type="fixed"/>
        <w:tblInd w:w="792"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280" w:type="dxa"/>
            <w:vAlign w:val="bottom"/>
            <w:gridSpan w:val="5"/>
            <w:vMerge w:val="restart"/>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Twelve Months</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vMerge w:val="continue"/>
          </w:tcPr>
          <w:p>
            <w:pPr>
              <w:spacing w:after="0"/>
              <w:rPr>
                <w:sz w:val="14"/>
                <w:szCs w:val="14"/>
                <w:color w:val="auto"/>
              </w:rPr>
            </w:pPr>
          </w:p>
        </w:tc>
        <w:tc>
          <w:tcPr>
            <w:tcW w:w="142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Ended September</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9"/>
                <w:szCs w:val="19"/>
                <w:color w:val="auto"/>
              </w:rPr>
            </w:pPr>
          </w:p>
        </w:tc>
        <w:tc>
          <w:tcPr>
            <w:tcW w:w="228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9"/>
                <w:szCs w:val="19"/>
                <w:color w:val="auto"/>
              </w:rPr>
            </w:pPr>
          </w:p>
        </w:tc>
        <w:tc>
          <w:tcPr>
            <w:tcW w:w="1300" w:type="dxa"/>
            <w:vAlign w:val="bottom"/>
          </w:tcPr>
          <w:p>
            <w:pPr>
              <w:jc w:val="right"/>
              <w:ind w:right="519"/>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63"/>
        </w:trPr>
        <w:tc>
          <w:tcPr>
            <w:tcW w:w="3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518"/>
        </w:trPr>
        <w:tc>
          <w:tcPr>
            <w:tcW w:w="3260" w:type="dxa"/>
            <w:vAlign w:val="bottom"/>
          </w:tcPr>
          <w:p>
            <w:pPr>
              <w:spacing w:after="0"/>
              <w:rPr>
                <w:sz w:val="20"/>
                <w:szCs w:val="20"/>
                <w:color w:val="auto"/>
              </w:rPr>
            </w:pPr>
            <w:r>
              <w:rPr>
                <w:rFonts w:ascii="Arial" w:cs="Arial" w:eastAsia="Arial" w:hAnsi="Arial"/>
                <w:sz w:val="16"/>
                <w:szCs w:val="16"/>
                <w:color w:val="auto"/>
              </w:rPr>
              <w:t>Net loss attributable to Civeo Corporation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(455)</w:t>
            </w:r>
          </w:p>
        </w:tc>
        <w:tc>
          <w:tcPr>
            <w:tcW w:w="16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(5,091)</w:t>
            </w:r>
          </w:p>
        </w:tc>
        <w:tc>
          <w:tcPr>
            <w:tcW w:w="16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(13,611)</w:t>
            </w:r>
          </w:p>
        </w:tc>
        <w:tc>
          <w:tcPr>
            <w:tcW w:w="16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(1,997)</w:t>
            </w:r>
          </w:p>
        </w:tc>
        <w:tc>
          <w:tcPr>
            <w:tcW w:w="1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(28,681)</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4,038</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3,862</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10,732</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9,199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14,025</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20,012</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17,440</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54,092</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51,269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70,861</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71"/>
        </w:trPr>
        <w:tc>
          <w:tcPr>
            <w:tcW w:w="326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3,422</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7,740</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6,288</w:t>
            </w: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9,425</w:t>
            </w:r>
          </w:p>
        </w:tc>
        <w:tc>
          <w:tcPr>
            <w:tcW w:w="0" w:type="dxa"/>
            <w:vAlign w:val="bottom"/>
          </w:tcPr>
          <w:p>
            <w:pPr>
              <w:spacing w:after="0"/>
              <w:rPr>
                <w:sz w:val="1"/>
                <w:szCs w:val="1"/>
                <w:color w:val="auto"/>
              </w:rPr>
            </w:pPr>
          </w:p>
        </w:tc>
      </w:tr>
      <w:tr>
        <w:trPr>
          <w:trHeight w:val="249"/>
        </w:trPr>
        <w:tc>
          <w:tcPr>
            <w:tcW w:w="3260" w:type="dxa"/>
            <w:vAlign w:val="bottom"/>
          </w:tcPr>
          <w:p>
            <w:pPr>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26,989</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17,886</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58,824</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64,612</w:t>
            </w:r>
          </w:p>
        </w:tc>
        <w:tc>
          <w:tcPr>
            <w:tcW w:w="16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65,461</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20"/>
              <w:spacing w:after="0"/>
              <w:rPr>
                <w:sz w:val="20"/>
                <w:szCs w:val="20"/>
                <w:color w:val="auto"/>
              </w:rPr>
            </w:pPr>
            <w:r>
              <w:rPr>
                <w:rFonts w:ascii="Arial" w:cs="Arial" w:eastAsia="Arial" w:hAnsi="Arial"/>
                <w:sz w:val="16"/>
                <w:szCs w:val="16"/>
                <w:color w:val="auto"/>
              </w:rPr>
              <w:t>Impairment of long-lived assets (a)</w:t>
            </w:r>
          </w:p>
        </w:tc>
        <w:tc>
          <w:tcPr>
            <w:tcW w:w="24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7,823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3,758</w:t>
            </w:r>
          </w:p>
        </w:tc>
        <w:tc>
          <w:tcPr>
            <w:tcW w:w="0" w:type="dxa"/>
            <w:vAlign w:val="bottom"/>
          </w:tcPr>
          <w:p>
            <w:pPr>
              <w:spacing w:after="0"/>
              <w:rPr>
                <w:sz w:val="1"/>
                <w:szCs w:val="1"/>
                <w:color w:val="auto"/>
              </w:rPr>
            </w:pPr>
          </w:p>
        </w:tc>
      </w:tr>
      <w:tr>
        <w:trPr>
          <w:trHeight w:val="204"/>
        </w:trPr>
        <w:tc>
          <w:tcPr>
            <w:tcW w:w="3260" w:type="dxa"/>
            <w:vAlign w:val="bottom"/>
          </w:tcPr>
          <w:p>
            <w:pPr>
              <w:ind w:left="220"/>
              <w:spacing w:after="0"/>
              <w:rPr>
                <w:sz w:val="20"/>
                <w:szCs w:val="20"/>
                <w:color w:val="auto"/>
              </w:rPr>
            </w:pPr>
            <w:r>
              <w:rPr>
                <w:rFonts w:ascii="Arial" w:cs="Arial" w:eastAsia="Arial" w:hAnsi="Arial"/>
                <w:sz w:val="16"/>
                <w:szCs w:val="16"/>
                <w:color w:val="auto"/>
              </w:rPr>
              <w:t>Net (gain) loss on disposition of</w:t>
            </w:r>
          </w:p>
        </w:tc>
        <w:tc>
          <w:tcPr>
            <w:tcW w:w="240" w:type="dxa"/>
            <w:vAlign w:val="bottom"/>
          </w:tcPr>
          <w:p>
            <w:pPr>
              <w:spacing w:after="0"/>
              <w:rPr>
                <w:sz w:val="17"/>
                <w:szCs w:val="17"/>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(5,817)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5"/>
        </w:trPr>
        <w:tc>
          <w:tcPr>
            <w:tcW w:w="3260" w:type="dxa"/>
            <w:vAlign w:val="bottom"/>
          </w:tcPr>
          <w:p>
            <w:pPr>
              <w:ind w:left="220"/>
              <w:spacing w:after="0"/>
              <w:rPr>
                <w:sz w:val="20"/>
                <w:szCs w:val="20"/>
                <w:color w:val="auto"/>
              </w:rPr>
            </w:pPr>
            <w:r>
              <w:rPr>
                <w:rFonts w:ascii="Arial" w:cs="Arial" w:eastAsia="Arial" w:hAnsi="Arial"/>
                <w:sz w:val="16"/>
                <w:szCs w:val="16"/>
                <w:color w:val="auto"/>
              </w:rPr>
              <w:t>McClelland Lake Lodge assets (b)</w:t>
            </w: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260" w:type="dxa"/>
            <w:vAlign w:val="bottom"/>
          </w:tcPr>
          <w:p>
            <w:pPr>
              <w:ind w:left="220"/>
              <w:spacing w:after="0"/>
              <w:rPr>
                <w:sz w:val="20"/>
                <w:szCs w:val="20"/>
                <w:color w:val="auto"/>
              </w:rPr>
            </w:pPr>
            <w:r>
              <w:rPr>
                <w:rFonts w:ascii="Arial" w:cs="Arial" w:eastAsia="Arial" w:hAnsi="Arial"/>
                <w:sz w:val="16"/>
                <w:szCs w:val="16"/>
                <w:color w:val="auto"/>
              </w:rPr>
              <w:t>Cost saving initiatives (c)</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1,659</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1,659</w:t>
            </w:r>
          </w:p>
        </w:tc>
        <w:tc>
          <w:tcPr>
            <w:tcW w:w="0" w:type="dxa"/>
            <w:vAlign w:val="bottom"/>
          </w:tcPr>
          <w:p>
            <w:pPr>
              <w:spacing w:after="0"/>
              <w:rPr>
                <w:sz w:val="1"/>
                <w:szCs w:val="1"/>
                <w:color w:val="auto"/>
              </w:rPr>
            </w:pPr>
          </w:p>
        </w:tc>
      </w:tr>
      <w:tr>
        <w:trPr>
          <w:trHeight w:val="270"/>
        </w:trPr>
        <w:tc>
          <w:tcPr>
            <w:tcW w:w="3260" w:type="dxa"/>
            <w:vAlign w:val="bottom"/>
          </w:tcPr>
          <w:p>
            <w:pPr>
              <w:ind w:left="220"/>
              <w:spacing w:after="0"/>
              <w:rPr>
                <w:sz w:val="20"/>
                <w:szCs w:val="20"/>
                <w:color w:val="auto"/>
              </w:rPr>
            </w:pPr>
            <w:r>
              <w:rPr>
                <w:rFonts w:ascii="Arial" w:cs="Arial" w:eastAsia="Arial" w:hAnsi="Arial"/>
                <w:sz w:val="16"/>
                <w:szCs w:val="16"/>
                <w:color w:val="auto"/>
              </w:rPr>
              <w:t>Share-based compensation (d)</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1,879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3,235</w:t>
            </w:r>
          </w:p>
        </w:tc>
        <w:tc>
          <w:tcPr>
            <w:tcW w:w="0" w:type="dxa"/>
            <w:vAlign w:val="bottom"/>
          </w:tcPr>
          <w:p>
            <w:pPr>
              <w:spacing w:after="0"/>
              <w:rPr>
                <w:sz w:val="1"/>
                <w:szCs w:val="1"/>
                <w:color w:val="auto"/>
              </w:rPr>
            </w:pPr>
          </w:p>
        </w:tc>
      </w:tr>
      <w:tr>
        <w:trPr>
          <w:trHeight w:val="271"/>
        </w:trPr>
        <w:tc>
          <w:tcPr>
            <w:tcW w:w="3260" w:type="dxa"/>
            <w:vAlign w:val="bottom"/>
          </w:tcPr>
          <w:p>
            <w:pPr>
              <w:ind w:left="220"/>
              <w:spacing w:after="0"/>
              <w:rPr>
                <w:sz w:val="20"/>
                <w:szCs w:val="20"/>
                <w:color w:val="auto"/>
              </w:rPr>
            </w:pPr>
            <w:r>
              <w:rPr>
                <w:rFonts w:ascii="Arial" w:cs="Arial" w:eastAsia="Arial" w:hAnsi="Arial"/>
                <w:sz w:val="16"/>
                <w:szCs w:val="16"/>
                <w:color w:val="auto"/>
              </w:rPr>
              <w:t>Shareholder activist costs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3,753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3,753</w:t>
            </w:r>
          </w:p>
        </w:tc>
        <w:tc>
          <w:tcPr>
            <w:tcW w:w="0" w:type="dxa"/>
            <w:vAlign w:val="bottom"/>
          </w:tcPr>
          <w:p>
            <w:pPr>
              <w:spacing w:after="0"/>
              <w:rPr>
                <w:sz w:val="1"/>
                <w:szCs w:val="1"/>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28,836</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18,778</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66,499</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68,497</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77,939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652" w:hanging="328"/>
        <w:spacing w:after="0" w:line="275" w:lineRule="auto"/>
        <w:tabs>
          <w:tab w:leader="none" w:pos="647" w:val="left"/>
        </w:tabs>
        <w:numPr>
          <w:ilvl w:val="0"/>
          <w:numId w:val="8"/>
        </w:numPr>
        <w:rPr>
          <w:rFonts w:ascii="Arial" w:cs="Arial" w:eastAsia="Arial" w:hAnsi="Arial"/>
          <w:sz w:val="16"/>
          <w:szCs w:val="16"/>
          <w:color w:val="auto"/>
        </w:rPr>
      </w:pPr>
      <w:r>
        <w:rPr>
          <w:rFonts w:ascii="Arial" w:cs="Arial" w:eastAsia="Arial" w:hAnsi="Arial"/>
          <w:sz w:val="16"/>
          <w:szCs w:val="16"/>
          <w:color w:val="auto"/>
        </w:rPr>
        <w:t>Relates to asset impairments in the first and fourth quarters of 2024. In the fourth quarter of 2024, we recorded a pre-tax loss related to the impairment of long-lived assets in our Canadian segment of $3.2 million and a pre-tax loss related to the impairment of long-lived assets in the U.S. of $0.5 million. In the first quarter of 2024, we recorded a pre-tax loss</w:t>
      </w:r>
    </w:p>
    <w:p>
      <w:pPr>
        <w:sectPr>
          <w:pgSz w:w="11900" w:h="16838" w:orient="portrait"/>
          <w:cols w:equalWidth="0" w:num="1">
            <w:col w:w="11192"/>
          </w:cols>
          <w:pgMar w:left="328" w:top="895" w:right="379" w:bottom="1440" w:gutter="0" w:footer="0" w:header="0"/>
        </w:sectPr>
      </w:pPr>
    </w:p>
    <w:bookmarkStart w:id="14" w:name="page15"/>
    <w:bookmarkEnd w:id="14"/>
    <w:p>
      <w:pPr>
        <w:ind w:left="652" w:right="280"/>
        <w:spacing w:after="0" w:line="286" w:lineRule="auto"/>
        <w:rPr>
          <w:sz w:val="20"/>
          <w:szCs w:val="20"/>
          <w:color w:val="auto"/>
        </w:rPr>
      </w:pPr>
      <w:r>
        <w:rPr>
          <w:rFonts w:ascii="Arial" w:cs="Arial" w:eastAsia="Arial" w:hAnsi="Arial"/>
          <w:sz w:val="16"/>
          <w:szCs w:val="16"/>
          <w:color w:val="auto"/>
        </w:rPr>
        <w:t>related to the impairment of long-lived assets in our Australian segment of $5.7 million and a pre-tax loss related to the impairment of long-lived assets in the U.S. of $2.1 million.</w:t>
      </w:r>
    </w:p>
    <w:p>
      <w:pPr>
        <w:spacing w:after="0" w:line="196" w:lineRule="exact"/>
        <w:rPr>
          <w:sz w:val="20"/>
          <w:szCs w:val="20"/>
          <w:color w:val="auto"/>
        </w:rPr>
      </w:pPr>
    </w:p>
    <w:p>
      <w:pPr>
        <w:ind w:left="652" w:hanging="328"/>
        <w:spacing w:after="0" w:line="260" w:lineRule="auto"/>
        <w:tabs>
          <w:tab w:leader="none" w:pos="647" w:val="left"/>
        </w:tabs>
        <w:numPr>
          <w:ilvl w:val="1"/>
          <w:numId w:val="9"/>
        </w:numPr>
        <w:rPr>
          <w:rFonts w:ascii="Arial" w:cs="Arial" w:eastAsia="Arial" w:hAnsi="Arial"/>
          <w:sz w:val="16"/>
          <w:szCs w:val="16"/>
          <w:color w:val="auto"/>
        </w:rPr>
      </w:pPr>
      <w:r>
        <w:rPr>
          <w:rFonts w:ascii="Arial" w:cs="Arial" w:eastAsia="Arial" w:hAnsi="Arial"/>
          <w:sz w:val="16"/>
          <w:szCs w:val="16"/>
          <w:color w:val="auto"/>
        </w:rPr>
        <w:t>Relates to proceeds received and expenses incurred associated with the dismantlement and sale of the McClelland Lake Lodge. In the fourth, third and second quarters of 2024, we recorded expenses associated with the sale of our McClelland Lake Lodge of $0.1 million, $0.2 million and $0.1 million, respectively, which are included in (Gain) loss on sale of McClelland Lake Lodge assets, net on the unaudited statements of operations. In the first quarter of 2024, we recorded gains associated with the sale of the McClelland Lake Lodge of $6.1 million, which are included in (Gain) loss on sale of McClelland Lake Lodge assets, net on the unaudited statements of operations.</w:t>
      </w:r>
    </w:p>
    <w:p>
      <w:pPr>
        <w:spacing w:after="0" w:line="218" w:lineRule="exact"/>
        <w:rPr>
          <w:rFonts w:ascii="Arial" w:cs="Arial" w:eastAsia="Arial" w:hAnsi="Arial"/>
          <w:sz w:val="16"/>
          <w:szCs w:val="16"/>
          <w:color w:val="auto"/>
        </w:rPr>
      </w:pPr>
    </w:p>
    <w:p>
      <w:pPr>
        <w:ind w:left="652" w:hanging="328"/>
        <w:spacing w:after="0"/>
        <w:tabs>
          <w:tab w:leader="none" w:pos="652" w:val="left"/>
        </w:tabs>
        <w:numPr>
          <w:ilvl w:val="1"/>
          <w:numId w:val="9"/>
        </w:numPr>
        <w:rPr>
          <w:rFonts w:ascii="Arial" w:cs="Arial" w:eastAsia="Arial" w:hAnsi="Arial"/>
          <w:sz w:val="16"/>
          <w:szCs w:val="16"/>
          <w:color w:val="auto"/>
        </w:rPr>
      </w:pPr>
      <w:r>
        <w:rPr>
          <w:rFonts w:ascii="Arial" w:cs="Arial" w:eastAsia="Arial" w:hAnsi="Arial"/>
          <w:sz w:val="16"/>
          <w:szCs w:val="16"/>
          <w:color w:val="auto"/>
        </w:rPr>
        <w:t>Represents implementation costs (primarily severance costs and real estate expense rationalization) incurred as part of cost savings initiatives.</w:t>
      </w:r>
    </w:p>
    <w:p>
      <w:pPr>
        <w:spacing w:after="0" w:line="248" w:lineRule="exact"/>
        <w:rPr>
          <w:rFonts w:ascii="Arial" w:cs="Arial" w:eastAsia="Arial" w:hAnsi="Arial"/>
          <w:sz w:val="16"/>
          <w:szCs w:val="16"/>
          <w:color w:val="auto"/>
        </w:rPr>
      </w:pPr>
    </w:p>
    <w:p>
      <w:pPr>
        <w:ind w:left="652" w:right="240" w:hanging="328"/>
        <w:spacing w:after="0" w:line="304" w:lineRule="auto"/>
        <w:tabs>
          <w:tab w:leader="none" w:pos="647" w:val="left"/>
        </w:tabs>
        <w:numPr>
          <w:ilvl w:val="1"/>
          <w:numId w:val="9"/>
        </w:numPr>
        <w:rPr>
          <w:rFonts w:ascii="Arial" w:cs="Arial" w:eastAsia="Arial" w:hAnsi="Arial"/>
          <w:sz w:val="16"/>
          <w:szCs w:val="16"/>
          <w:color w:val="auto"/>
        </w:rPr>
      </w:pPr>
      <w:r>
        <w:rPr>
          <w:rFonts w:ascii="Arial" w:cs="Arial" w:eastAsia="Arial" w:hAnsi="Arial"/>
          <w:sz w:val="16"/>
          <w:szCs w:val="16"/>
          <w:color w:val="auto"/>
        </w:rPr>
        <w:t>Represents share-based compensation expense associated with performance share awards, restricted share awards, restricted share units and deferred share awards.</w:t>
      </w:r>
    </w:p>
    <w:p>
      <w:pPr>
        <w:spacing w:after="0" w:line="168" w:lineRule="exact"/>
        <w:rPr>
          <w:rFonts w:ascii="Arial" w:cs="Arial" w:eastAsia="Arial" w:hAnsi="Arial"/>
          <w:sz w:val="16"/>
          <w:szCs w:val="16"/>
          <w:color w:val="auto"/>
        </w:rPr>
      </w:pPr>
    </w:p>
    <w:p>
      <w:pPr>
        <w:ind w:left="332" w:right="1940" w:hanging="332"/>
        <w:spacing w:after="0" w:line="258" w:lineRule="auto"/>
        <w:tabs>
          <w:tab w:leader="none" w:pos="32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04" w:lineRule="exact"/>
        <w:rPr>
          <w:rFonts w:ascii="Arial" w:cs="Arial" w:eastAsia="Arial" w:hAnsi="Arial"/>
          <w:sz w:val="16"/>
          <w:szCs w:val="16"/>
          <w:color w:val="auto"/>
        </w:rPr>
      </w:pPr>
    </w:p>
    <w:p>
      <w:pPr>
        <w:ind w:left="332" w:right="260"/>
        <w:spacing w:after="0" w:line="304"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pacing w:after="0" w:line="209" w:lineRule="exact"/>
        <w:rPr>
          <w:sz w:val="20"/>
          <w:szCs w:val="20"/>
          <w:color w:val="auto"/>
        </w:rPr>
      </w:pPr>
    </w:p>
    <w:tbl>
      <w:tblPr>
        <w:tblLayout w:type="fixed"/>
        <w:tblInd w:w="352"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September 30,</w:t>
            </w:r>
          </w:p>
        </w:tc>
      </w:tr>
      <w:tr>
        <w:trPr>
          <w:trHeight w:val="217"/>
        </w:trPr>
        <w:tc>
          <w:tcPr>
            <w:tcW w:w="6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r>
      <w:tr>
        <w:trPr>
          <w:trHeight w:val="464"/>
        </w:trPr>
        <w:tc>
          <w:tcPr>
            <w:tcW w:w="6260" w:type="dxa"/>
            <w:vAlign w:val="bottom"/>
          </w:tcPr>
          <w:p>
            <w:pPr>
              <w:spacing w:after="0"/>
              <w:rPr>
                <w:sz w:val="20"/>
                <w:szCs w:val="20"/>
                <w:color w:val="auto"/>
              </w:rPr>
            </w:pPr>
            <w:r>
              <w:rPr>
                <w:rFonts w:ascii="Arial" w:cs="Arial" w:eastAsia="Arial" w:hAnsi="Arial"/>
                <w:sz w:val="16"/>
                <w:szCs w:val="16"/>
                <w:color w:val="auto"/>
              </w:rPr>
              <w:t>Total debt</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187,937</w:t>
            </w:r>
          </w:p>
        </w:tc>
      </w:tr>
      <w:tr>
        <w:trPr>
          <w:trHeight w:val="217"/>
        </w:trPr>
        <w:tc>
          <w:tcPr>
            <w:tcW w:w="626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12,003</w:t>
            </w:r>
          </w:p>
        </w:tc>
      </w:tr>
      <w:tr>
        <w:trPr>
          <w:trHeight w:val="211"/>
        </w:trPr>
        <w:tc>
          <w:tcPr>
            <w:tcW w:w="6260" w:type="dxa"/>
            <w:vAlign w:val="bottom"/>
          </w:tcPr>
          <w:p>
            <w:pPr>
              <w:ind w:left="100"/>
              <w:spacing w:after="0"/>
              <w:rPr>
                <w:sz w:val="20"/>
                <w:szCs w:val="20"/>
                <w:color w:val="auto"/>
              </w:rPr>
            </w:pPr>
            <w:r>
              <w:rPr>
                <w:rFonts w:ascii="Arial" w:cs="Arial" w:eastAsia="Arial" w:hAnsi="Arial"/>
                <w:sz w:val="16"/>
                <w:szCs w:val="16"/>
                <w:color w:val="auto"/>
              </w:rPr>
              <w:t>Net debt</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175,934</w:t>
            </w:r>
          </w:p>
        </w:tc>
      </w:tr>
      <w:tr>
        <w:trPr>
          <w:trHeight w:val="20"/>
        </w:trPr>
        <w:tc>
          <w:tcPr>
            <w:tcW w:w="6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50"/>
        </w:trPr>
        <w:tc>
          <w:tcPr>
            <w:tcW w:w="6260" w:type="dxa"/>
            <w:vAlign w:val="bottom"/>
          </w:tcPr>
          <w:p>
            <w:pPr>
              <w:spacing w:after="0"/>
              <w:rPr>
                <w:sz w:val="20"/>
                <w:szCs w:val="20"/>
                <w:color w:val="auto"/>
              </w:rPr>
            </w:pPr>
            <w:r>
              <w:rPr>
                <w:rFonts w:ascii="Arial" w:cs="Arial" w:eastAsia="Arial" w:hAnsi="Arial"/>
                <w:sz w:val="16"/>
                <w:szCs w:val="16"/>
                <w:color w:val="auto"/>
              </w:rPr>
              <w:t>Adjusted EBITDA for the twelve months ended September 30, 2025 (a)</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77,939</w:t>
            </w:r>
          </w:p>
        </w:tc>
      </w:tr>
      <w:tr>
        <w:trPr>
          <w:trHeight w:val="216"/>
        </w:trPr>
        <w:tc>
          <w:tcPr>
            <w:tcW w:w="626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Acquisition pro-forma EBITDA</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9,625</w:t>
            </w: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Cost saving initiatives (b)</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(1,659)</w:t>
            </w:r>
          </w:p>
        </w:tc>
      </w:tr>
      <w:tr>
        <w:trPr>
          <w:trHeight w:val="217"/>
        </w:trPr>
        <w:tc>
          <w:tcPr>
            <w:tcW w:w="6260" w:type="dxa"/>
            <w:vAlign w:val="bottom"/>
          </w:tcPr>
          <w:p>
            <w:pPr>
              <w:ind w:left="100"/>
              <w:spacing w:after="0"/>
              <w:rPr>
                <w:sz w:val="20"/>
                <w:szCs w:val="20"/>
                <w:color w:val="auto"/>
              </w:rPr>
            </w:pPr>
            <w:r>
              <w:rPr>
                <w:rFonts w:ascii="Arial" w:cs="Arial" w:eastAsia="Arial" w:hAnsi="Arial"/>
                <w:sz w:val="16"/>
                <w:szCs w:val="16"/>
                <w:color w:val="auto"/>
              </w:rPr>
              <w:t>Shareholder activist costs (b)</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w:t>
            </w:r>
          </w:p>
        </w:tc>
      </w:tr>
      <w:tr>
        <w:trPr>
          <w:trHeight w:val="210"/>
        </w:trPr>
        <w:tc>
          <w:tcPr>
            <w:tcW w:w="6260" w:type="dxa"/>
            <w:vAlign w:val="bottom"/>
          </w:tcPr>
          <w:p>
            <w:pPr>
              <w:ind w:left="200"/>
              <w:spacing w:after="0"/>
              <w:rPr>
                <w:sz w:val="20"/>
                <w:szCs w:val="20"/>
                <w:color w:val="auto"/>
              </w:rPr>
            </w:pPr>
            <w:r>
              <w:rPr>
                <w:rFonts w:ascii="Arial" w:cs="Arial" w:eastAsia="Arial" w:hAnsi="Arial"/>
                <w:sz w:val="16"/>
                <w:szCs w:val="16"/>
                <w:color w:val="auto"/>
              </w:rPr>
              <w:t>Bank-adjusted EBITDA</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82,321</w:t>
            </w:r>
          </w:p>
        </w:tc>
      </w:tr>
      <w:tr>
        <w:trPr>
          <w:trHeight w:val="20"/>
        </w:trPr>
        <w:tc>
          <w:tcPr>
            <w:tcW w:w="6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51"/>
        </w:trPr>
        <w:tc>
          <w:tcPr>
            <w:tcW w:w="6260" w:type="dxa"/>
            <w:vAlign w:val="bottom"/>
          </w:tcPr>
          <w:p>
            <w:pPr>
              <w:ind w:left="100"/>
              <w:spacing w:after="0"/>
              <w:rPr>
                <w:sz w:val="20"/>
                <w:szCs w:val="20"/>
                <w:color w:val="auto"/>
              </w:rPr>
            </w:pPr>
            <w:r>
              <w:rPr>
                <w:rFonts w:ascii="Arial" w:cs="Arial" w:eastAsia="Arial" w:hAnsi="Arial"/>
                <w:sz w:val="16"/>
                <w:szCs w:val="16"/>
                <w:color w:val="auto"/>
              </w:rPr>
              <w:t>Net leverage ratio (c)</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2.1x</w:t>
            </w:r>
          </w:p>
        </w:tc>
      </w:tr>
    </w:tbl>
    <w:p>
      <w:pPr>
        <w:spacing w:after="0" w:line="200" w:lineRule="exact"/>
        <w:rPr>
          <w:sz w:val="20"/>
          <w:szCs w:val="20"/>
          <w:color w:val="auto"/>
        </w:rPr>
      </w:pPr>
    </w:p>
    <w:p>
      <w:pPr>
        <w:spacing w:after="0" w:line="220" w:lineRule="exact"/>
        <w:rPr>
          <w:sz w:val="20"/>
          <w:szCs w:val="20"/>
          <w:color w:val="auto"/>
        </w:rPr>
      </w:pPr>
    </w:p>
    <w:p>
      <w:pPr>
        <w:ind w:left="572" w:hanging="230"/>
        <w:spacing w:after="0"/>
        <w:tabs>
          <w:tab w:leader="none" w:pos="572"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footnote 1 above for reconciliation of Adjusted EBITDA to net loss attributable to Civeo Corporation</w:t>
      </w:r>
    </w:p>
    <w:p>
      <w:pPr>
        <w:spacing w:after="0" w:line="32" w:lineRule="exact"/>
        <w:rPr>
          <w:rFonts w:ascii="Arial" w:cs="Arial" w:eastAsia="Arial" w:hAnsi="Arial"/>
          <w:sz w:val="16"/>
          <w:szCs w:val="16"/>
          <w:color w:val="auto"/>
        </w:rPr>
      </w:pPr>
    </w:p>
    <w:p>
      <w:pPr>
        <w:ind w:left="592" w:hanging="250"/>
        <w:spacing w:after="0"/>
        <w:tabs>
          <w:tab w:leader="none" w:pos="59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Adjustments to EBITDA not allowed to be adjusted by our credit facility</w:t>
      </w:r>
    </w:p>
    <w:p>
      <w:pPr>
        <w:spacing w:after="0" w:line="32" w:lineRule="exact"/>
        <w:rPr>
          <w:rFonts w:ascii="Arial" w:cs="Arial" w:eastAsia="Arial" w:hAnsi="Arial"/>
          <w:sz w:val="16"/>
          <w:szCs w:val="16"/>
          <w:color w:val="auto"/>
        </w:rPr>
      </w:pPr>
    </w:p>
    <w:p>
      <w:pPr>
        <w:ind w:left="572" w:hanging="230"/>
        <w:spacing w:after="0"/>
        <w:tabs>
          <w:tab w:leader="none" w:pos="57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11172"/>
          </w:cols>
          <w:pgMar w:left="328" w:top="895" w:right="399" w:bottom="1440" w:gutter="0" w:footer="0" w:header="0"/>
        </w:sectPr>
      </w:pPr>
    </w:p>
    <w:bookmarkStart w:id="15" w:name="page16"/>
    <w:bookmarkEnd w:id="15"/>
    <w:p>
      <w:pPr>
        <w:jc w:val="center"/>
        <w:ind w:right="-23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86" w:lineRule="exact"/>
        <w:rPr>
          <w:sz w:val="20"/>
          <w:szCs w:val="20"/>
          <w:color w:val="auto"/>
        </w:rPr>
      </w:pPr>
    </w:p>
    <w:tbl>
      <w:tblPr>
        <w:tblLayout w:type="fixed"/>
        <w:tblInd w:w="2072" w:type="dxa"/>
        <w:tblCellMar>
          <w:top w:w="0" w:type="dxa"/>
          <w:left w:w="0" w:type="dxa"/>
          <w:bottom w:w="0" w:type="dxa"/>
          <w:right w:w="0" w:type="dxa"/>
        </w:tblCellMar>
      </w:tblPr>
      <w:tr>
        <w:trPr>
          <w:trHeight w:val="223"/>
        </w:trPr>
        <w:tc>
          <w:tcPr>
            <w:tcW w:w="3260" w:type="dxa"/>
            <w:vAlign w:val="bottom"/>
          </w:tcPr>
          <w:p>
            <w:pPr>
              <w:spacing w:after="0"/>
              <w:rPr>
                <w:sz w:val="19"/>
                <w:szCs w:val="19"/>
                <w:color w:val="auto"/>
              </w:rPr>
            </w:pPr>
          </w:p>
        </w:tc>
        <w:tc>
          <w:tcPr>
            <w:tcW w:w="37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Ending December 31, 2025</w:t>
            </w:r>
          </w:p>
        </w:tc>
      </w:tr>
      <w:tr>
        <w:trPr>
          <w:trHeight w:val="302"/>
        </w:trPr>
        <w:tc>
          <w:tcPr>
            <w:tcW w:w="3260" w:type="dxa"/>
            <w:vAlign w:val="bottom"/>
          </w:tcPr>
          <w:p>
            <w:pPr>
              <w:spacing w:after="0"/>
              <w:rPr>
                <w:sz w:val="20"/>
                <w:szCs w:val="20"/>
                <w:color w:val="auto"/>
              </w:rPr>
            </w:pPr>
            <w:r>
              <w:rPr>
                <w:rFonts w:ascii="Arial" w:cs="Arial" w:eastAsia="Arial" w:hAnsi="Arial"/>
                <w:sz w:val="16"/>
                <w:szCs w:val="16"/>
                <w:color w:val="auto"/>
              </w:rPr>
              <w:t>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75.7</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80.7</w:t>
            </w: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86.0</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91.0</w:t>
            </w:r>
          </w:p>
        </w:tc>
      </w:tr>
    </w:tbl>
    <w:p>
      <w:pPr>
        <w:spacing w:after="0" w:line="298" w:lineRule="exact"/>
        <w:rPr>
          <w:sz w:val="20"/>
          <w:szCs w:val="20"/>
          <w:color w:val="auto"/>
        </w:rPr>
      </w:pPr>
    </w:p>
    <w:p>
      <w:pPr>
        <w:ind w:left="332" w:hanging="332"/>
        <w:spacing w:after="0" w:line="286" w:lineRule="auto"/>
        <w:tabs>
          <w:tab w:leader="none" w:pos="32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and Adjusted EBITDA to estimated net loss, which is the most directly comparable measure of financial performance calculated under generally accepted accounting principles (in millions) (unaudited):</w:t>
      </w:r>
    </w:p>
    <w:p>
      <w:pPr>
        <w:spacing w:after="0" w:line="237" w:lineRule="exact"/>
        <w:rPr>
          <w:sz w:val="20"/>
          <w:szCs w:val="20"/>
          <w:color w:val="auto"/>
        </w:rPr>
      </w:pPr>
    </w:p>
    <w:tbl>
      <w:tblPr>
        <w:tblLayout w:type="fixed"/>
        <w:tblInd w:w="1872"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2025</w:t>
            </w:r>
          </w:p>
        </w:tc>
      </w:tr>
      <w:tr>
        <w:trPr>
          <w:trHeight w:val="223"/>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(estimated)</w:t>
            </w:r>
          </w:p>
        </w:tc>
        <w:tc>
          <w:tcPr>
            <w:tcW w:w="700" w:type="dxa"/>
            <w:vAlign w:val="bottom"/>
          </w:tcPr>
          <w:p>
            <w:pPr>
              <w:spacing w:after="0"/>
              <w:rPr>
                <w:sz w:val="19"/>
                <w:szCs w:val="19"/>
                <w:color w:val="auto"/>
              </w:rPr>
            </w:pPr>
          </w:p>
        </w:tc>
      </w:tr>
      <w:tr>
        <w:trPr>
          <w:trHeight w:val="316"/>
        </w:trPr>
        <w:tc>
          <w:tcPr>
            <w:tcW w:w="48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(21.3)</w:t>
            </w:r>
          </w:p>
        </w:tc>
        <w:tc>
          <w:tcPr>
            <w:tcW w:w="200" w:type="dxa"/>
            <w:vAlign w:val="bottom"/>
          </w:tcPr>
          <w:p>
            <w:pPr>
              <w:spacing w:after="0"/>
              <w:rPr>
                <w:sz w:val="24"/>
                <w:szCs w:val="24"/>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210"/>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r>
      <w:tr>
        <w:trPr>
          <w:trHeight w:val="303"/>
        </w:trPr>
        <w:tc>
          <w:tcPr>
            <w:tcW w:w="4820" w:type="dxa"/>
            <w:vAlign w:val="bottom"/>
          </w:tcPr>
          <w:p>
            <w:pPr>
              <w:spacing w:after="0"/>
              <w:rPr>
                <w:sz w:val="20"/>
                <w:szCs w:val="20"/>
                <w:color w:val="auto"/>
              </w:rPr>
            </w:pPr>
            <w:r>
              <w:rPr>
                <w:rFonts w:ascii="Arial" w:cs="Arial" w:eastAsia="Arial" w:hAnsi="Arial"/>
                <w:sz w:val="16"/>
                <w:szCs w:val="16"/>
                <w:color w:val="auto"/>
              </w:rPr>
              <w:t>Adjustments to EBITDA</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6"/>
                <w:szCs w:val="16"/>
                <w:color w:val="auto"/>
              </w:rPr>
              <w:t>Shareholder activist costs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4820" w:type="dxa"/>
            <w:vAlign w:val="bottom"/>
          </w:tcPr>
          <w:p>
            <w:pPr>
              <w:ind w:left="120"/>
              <w:spacing w:after="0"/>
              <w:rPr>
                <w:sz w:val="20"/>
                <w:szCs w:val="20"/>
                <w:color w:val="auto"/>
              </w:rPr>
            </w:pPr>
            <w:r>
              <w:rPr>
                <w:rFonts w:ascii="Arial" w:cs="Arial" w:eastAsia="Arial" w:hAnsi="Arial"/>
                <w:sz w:val="16"/>
                <w:szCs w:val="16"/>
                <w:color w:val="auto"/>
              </w:rPr>
              <w:t>Cost saving initiatives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482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10"/>
        </w:trPr>
        <w:tc>
          <w:tcPr>
            <w:tcW w:w="48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r>
      <w:tr>
        <w:trPr>
          <w:trHeight w:val="21"/>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92"/>
          </w:cols>
          <w:pgMar w:left="328" w:top="895" w:right="579" w:bottom="1440" w:gutter="0" w:footer="0" w:header="0"/>
        </w:sectPr>
      </w:pPr>
    </w:p>
    <w:bookmarkStart w:id="16" w:name="page17"/>
    <w:bookmarkEnd w:id="16"/>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Regan Nielsen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2"/>
    </w:lvl>
  </w:abstractNum>
  <w:abstractNum w:abstractNumId="9">
    <w:nsid w:val="1F16E9E8"/>
    <w:multiLevelType w:val="hybridMultilevel"/>
    <w:lvl w:ilvl="0">
      <w:lvlJc w:val="left"/>
      <w:lvlText w:val="(%1)"/>
      <w:numFmt w:val="decimal"/>
      <w:start w:val="2"/>
    </w:lvl>
    <w:lvl w:ilvl="1">
      <w:lvlJc w:val="left"/>
      <w:lvlText w:val="%2"/>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2025-10-31T06:48:26Z</dcterms:created>
  <dcterms:modified xsi:type="dcterms:W3CDTF">2025-10-31T06:48:26Z</dcterms:modified>
</cp:coreProperties>
</file>