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Stone Carolyn J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333 CLAY STREET, SUITE 4980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Civeo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CVEO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02/20/2019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5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VP, Controller &amp; Corporate Sec</w:t>
      </w:r>
    </w:p>
    <w:p>
      <w:pPr>
        <w:spacing w:after="0" w:line="3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77002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Shares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02/20/2019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8,681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2.66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134,370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/s/ Carolyn Stone, by Bradley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32207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2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J. Dodson, Attorney-in-fact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-3175</wp:posOffset>
            </wp:positionV>
            <wp:extent cx="122618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618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02/21/2019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960" w:space="20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46748" TargetMode="External"/><Relationship Id="rId13" Type="http://schemas.openxmlformats.org/officeDocument/2006/relationships/hyperlink" Target="http://www.sec.gov/cgi-bin/browse-edgar?action=getcompany&amp;CIK=000159058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2019-12-24T08:23:51Z</dcterms:created>
  <dcterms:modified xsi:type="dcterms:W3CDTF">2019-12-24T08:23:51Z</dcterms:modified>
</cp:coreProperties>
</file>