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479" w:hanging="9"/>
        <w:spacing w:after="0" w:line="536" w:lineRule="auto"/>
        <w:tabs>
          <w:tab w:leader="none" w:pos="13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17878Y108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Horizon Kinetics Asset Management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w:t>
      </w:r>
    </w:p>
    <w:p>
      <w:pPr>
        <w:spacing w:after="0" w:line="238" w:lineRule="auto"/>
        <w:rPr>
          <w:sz w:val="20"/>
          <w:szCs w:val="20"/>
          <w:color w:val="auto"/>
        </w:rPr>
      </w:pPr>
      <w:r>
        <w:rPr>
          <w:rFonts w:ascii="Courier New" w:cs="Courier New" w:eastAsia="Courier New" w:hAnsi="Courier New"/>
          <w:sz w:val="18"/>
          <w:szCs w:val="18"/>
          <w:color w:val="auto"/>
        </w:rPr>
        <w:t>Owned by Each Reporting Person With:</w:t>
      </w:r>
    </w:p>
    <w:p>
      <w:pPr>
        <w:spacing w:after="0" w:line="202" w:lineRule="exact"/>
        <w:rPr>
          <w:sz w:val="24"/>
          <w:szCs w:val="24"/>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6"/>
          <w:szCs w:val="16"/>
          <w:color w:val="auto"/>
        </w:rPr>
        <w:t>36,493,596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 Shared Voting Power: 0</w:t>
      </w:r>
    </w:p>
    <w:p>
      <w:pPr>
        <w:spacing w:after="0" w:line="201" w:lineRule="exact"/>
        <w:rPr>
          <w:sz w:val="24"/>
          <w:szCs w:val="24"/>
          <w:color w:val="auto"/>
        </w:rPr>
      </w:pPr>
    </w:p>
    <w:p>
      <w:pPr>
        <w:ind w:left="860"/>
        <w:spacing w:after="0"/>
        <w:tabs>
          <w:tab w:leader="none" w:pos="4000" w:val="left"/>
        </w:tabs>
        <w:rPr>
          <w:sz w:val="20"/>
          <w:szCs w:val="20"/>
          <w:color w:val="auto"/>
        </w:rPr>
      </w:pP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6"/>
          <w:szCs w:val="16"/>
          <w:color w:val="auto"/>
        </w:rPr>
        <w:t>36,493,596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 Shared Dispositive Power: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 Aggregate Amount Beneficially Owned by Each Reporting Person:</w:t>
      </w:r>
    </w:p>
    <w:p>
      <w:pPr>
        <w:ind w:left="220"/>
        <w:spacing w:after="0" w:line="238" w:lineRule="auto"/>
        <w:rPr>
          <w:sz w:val="20"/>
          <w:szCs w:val="20"/>
          <w:color w:val="auto"/>
        </w:rPr>
      </w:pPr>
      <w:r>
        <w:rPr>
          <w:rFonts w:ascii="Courier New" w:cs="Courier New" w:eastAsia="Courier New" w:hAnsi="Courier New"/>
          <w:sz w:val="18"/>
          <w:szCs w:val="18"/>
          <w:color w:val="auto"/>
        </w:rPr>
        <w:t>36,493,596</w:t>
      </w:r>
    </w:p>
    <w:p>
      <w:pPr>
        <w:spacing w:after="0" w:line="207"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21.5%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 IA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rPr>
          <w:sz w:val="20"/>
          <w:szCs w:val="20"/>
          <w:color w:val="auto"/>
        </w:rPr>
      </w:pPr>
      <w:r>
        <w:rPr>
          <w:rFonts w:ascii="Courier New" w:cs="Courier New" w:eastAsia="Courier New" w:hAnsi="Courier New"/>
          <w:sz w:val="18"/>
          <w:szCs w:val="18"/>
          <w:color w:val="auto"/>
        </w:rPr>
        <w:t>Item 2.</w:t>
      </w:r>
    </w:p>
    <w:p>
      <w:pPr>
        <w:ind w:left="860" w:hanging="852"/>
        <w:spacing w:after="0" w:line="23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Horizon Kinetics Asset Management LLC</w:t>
      </w:r>
    </w:p>
    <w:p>
      <w:pPr>
        <w:spacing w:after="0" w:line="207" w:lineRule="exact"/>
        <w:rPr>
          <w:rFonts w:ascii="Courier New" w:cs="Courier New" w:eastAsia="Courier New" w:hAnsi="Courier New"/>
          <w:sz w:val="18"/>
          <w:szCs w:val="18"/>
          <w:color w:val="auto"/>
        </w:rPr>
      </w:pPr>
    </w:p>
    <w:p>
      <w:pPr>
        <w:ind w:left="860" w:right="303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470 Park Avenue South, 4th Floor South, NY, NY, 10016</w:t>
      </w:r>
    </w:p>
    <w:p>
      <w:pPr>
        <w:spacing w:after="0" w:line="169" w:lineRule="exact"/>
        <w:rPr>
          <w:rFonts w:ascii="Courier New" w:cs="Courier New" w:eastAsia="Courier New" w:hAnsi="Courier New"/>
          <w:sz w:val="16"/>
          <w:szCs w:val="16"/>
          <w:color w:val="auto"/>
        </w:rPr>
      </w:pPr>
    </w:p>
    <w:p>
      <w:pPr>
        <w:ind w:left="860" w:right="8099" w:hanging="852"/>
        <w:spacing w:after="0" w:line="290"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spacing w:after="0" w:line="169" w:lineRule="exact"/>
        <w:rPr>
          <w:rFonts w:ascii="Courier New" w:cs="Courier New" w:eastAsia="Courier New" w:hAnsi="Courier New"/>
          <w:sz w:val="16"/>
          <w:szCs w:val="16"/>
          <w:color w:val="auto"/>
        </w:rPr>
      </w:pPr>
    </w:p>
    <w:p>
      <w:pPr>
        <w:ind w:left="860" w:right="6199" w:hanging="852"/>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No.:17878Y108</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right="29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36,493,596</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21.5%</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r>
        <w:rPr>
          <w:rFonts w:ascii="Courier New" w:cs="Courier New" w:eastAsia="Courier New" w:hAnsi="Courier New"/>
          <w:sz w:val="16"/>
          <w:szCs w:val="16"/>
          <w:color w:val="auto"/>
        </w:rPr>
        <w:t>36,493,596</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r>
        <w:rPr>
          <w:rFonts w:ascii="Courier New" w:cs="Courier New" w:eastAsia="Courier New" w:hAnsi="Courier New"/>
          <w:sz w:val="16"/>
          <w:szCs w:val="16"/>
          <w:color w:val="auto"/>
        </w:rPr>
        <w:t>36,493,596</w:t>
      </w:r>
    </w:p>
    <w:p>
      <w:pPr>
        <w:ind w:left="1700" w:hanging="849"/>
        <w:spacing w:after="0" w:line="238" w:lineRule="auto"/>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w:t>
      </w:r>
    </w:p>
    <w:p>
      <w:pPr>
        <w:spacing w:after="0" w:line="1"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securities, check the following [</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238" w:lineRule="auto"/>
        <w:rPr>
          <w:sz w:val="20"/>
          <w:szCs w:val="20"/>
          <w:color w:val="auto"/>
        </w:rPr>
      </w:pPr>
      <w:r>
        <w:rPr>
          <w:rFonts w:ascii="Courier New" w:cs="Courier New" w:eastAsia="Courier New" w:hAnsi="Courier New"/>
          <w:sz w:val="18"/>
          <w:szCs w:val="18"/>
          <w:color w:val="auto"/>
        </w:rPr>
        <w:t>acquired the security being reported on by the parent holding</w:t>
      </w:r>
    </w:p>
    <w:p>
      <w:pPr>
        <w:spacing w:after="0"/>
        <w:rPr>
          <w:sz w:val="20"/>
          <w:szCs w:val="20"/>
          <w:color w:val="auto"/>
        </w:rPr>
      </w:pPr>
      <w:r>
        <w:rPr>
          <w:rFonts w:ascii="Courier New" w:cs="Courier New" w:eastAsia="Courier New" w:hAnsi="Courier New"/>
          <w:sz w:val="18"/>
          <w:szCs w:val="18"/>
          <w:color w:val="auto"/>
        </w:rPr>
        <w:t>company or control person.</w:t>
      </w:r>
    </w:p>
    <w:p>
      <w:pPr>
        <w:spacing w:after="0" w:line="237"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2020</w:t>
      </w:r>
    </w:p>
    <w:p>
      <w:pPr>
        <w:spacing w:after="0" w:line="238" w:lineRule="auto"/>
        <w:rPr>
          <w:sz w:val="20"/>
          <w:szCs w:val="20"/>
          <w:color w:val="auto"/>
        </w:rPr>
      </w:pPr>
      <w:r>
        <w:rPr>
          <w:rFonts w:ascii="Courier New" w:cs="Courier New" w:eastAsia="Courier New" w:hAnsi="Courier New"/>
          <w:sz w:val="18"/>
          <w:szCs w:val="18"/>
          <w:color w:val="auto"/>
        </w:rPr>
        <w:t>Signature: Jay Kesslen</w:t>
      </w:r>
    </w:p>
    <w:p>
      <w:pPr>
        <w:spacing w:after="0"/>
        <w:rPr>
          <w:sz w:val="20"/>
          <w:szCs w:val="20"/>
          <w:color w:val="auto"/>
        </w:rPr>
      </w:pPr>
      <w:r>
        <w:rPr>
          <w:rFonts w:ascii="Courier New" w:cs="Courier New" w:eastAsia="Courier New" w:hAnsi="Courier New"/>
          <w:sz w:val="18"/>
          <w:szCs w:val="18"/>
          <w:color w:val="auto"/>
        </w:rPr>
        <w:t>Jay Kesslen</w:t>
      </w:r>
    </w:p>
    <w:p>
      <w:pPr>
        <w:spacing w:after="0" w:line="237" w:lineRule="auto"/>
        <w:rPr>
          <w:sz w:val="20"/>
          <w:szCs w:val="20"/>
          <w:color w:val="auto"/>
        </w:rPr>
      </w:pPr>
      <w:r>
        <w:rPr>
          <w:rFonts w:ascii="Courier New" w:cs="Courier New" w:eastAsia="Courier New" w:hAnsi="Courier New"/>
          <w:sz w:val="18"/>
          <w:szCs w:val="18"/>
          <w:color w:val="auto"/>
        </w:rPr>
        <w:t>General Counsel</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2020-02-14T11:28:46Z</dcterms:created>
  <dcterms:modified xsi:type="dcterms:W3CDTF">2020-02-14T11:28:46Z</dcterms:modified>
</cp:coreProperties>
</file>