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27, 2014</w:t>
      </w:r>
    </w:p>
    <w:p>
      <w:pPr>
        <w:spacing w:after="0" w:line="225"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210820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211455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4"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2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Delaware</w:t>
            </w:r>
          </w:p>
        </w:tc>
        <w:tc>
          <w:tcPr>
            <w:tcW w:w="7000" w:type="dxa"/>
            <w:vAlign w:val="bottom"/>
          </w:tcPr>
          <w:p>
            <w:pPr>
              <w:jc w:val="center"/>
              <w:ind w:left="5250"/>
              <w:spacing w:after="0"/>
              <w:rPr>
                <w:sz w:val="20"/>
                <w:szCs w:val="20"/>
                <w:color w:val="auto"/>
              </w:rPr>
            </w:pPr>
            <w:r>
              <w:rPr>
                <w:rFonts w:ascii="Arial" w:cs="Arial" w:eastAsia="Arial" w:hAnsi="Arial"/>
                <w:sz w:val="18"/>
                <w:szCs w:val="18"/>
                <w:b w:val="1"/>
                <w:bCs w:val="1"/>
                <w:color w:val="auto"/>
                <w:w w:val="89"/>
              </w:rPr>
              <w:t>46-3831207</w:t>
            </w:r>
          </w:p>
        </w:tc>
      </w:tr>
      <w:tr>
        <w:trPr>
          <w:trHeight w:val="216"/>
        </w:trPr>
        <w:tc>
          <w:tcPr>
            <w:tcW w:w="2440" w:type="dxa"/>
            <w:vAlign w:val="bottom"/>
          </w:tcPr>
          <w:p>
            <w:pPr>
              <w:jc w:val="center"/>
              <w:ind w:right="130"/>
              <w:spacing w:after="0"/>
              <w:rPr>
                <w:sz w:val="20"/>
                <w:szCs w:val="20"/>
                <w:color w:val="auto"/>
              </w:rPr>
            </w:pPr>
            <w:r>
              <w:rPr>
                <w:rFonts w:ascii="Arial" w:cs="Arial" w:eastAsia="Arial" w:hAnsi="Arial"/>
                <w:sz w:val="18"/>
                <w:szCs w:val="18"/>
                <w:color w:val="auto"/>
                <w:w w:val="91"/>
              </w:rPr>
              <w:t>(State or Other Jurisdiction of</w:t>
            </w:r>
          </w:p>
        </w:tc>
        <w:tc>
          <w:tcPr>
            <w:tcW w:w="7000" w:type="dxa"/>
            <w:vAlign w:val="bottom"/>
          </w:tcPr>
          <w:p>
            <w:pPr>
              <w:jc w:val="center"/>
              <w:ind w:left="5250"/>
              <w:spacing w:after="0"/>
              <w:rPr>
                <w:sz w:val="20"/>
                <w:szCs w:val="20"/>
                <w:color w:val="auto"/>
              </w:rPr>
            </w:pPr>
            <w:r>
              <w:rPr>
                <w:rFonts w:ascii="Arial" w:cs="Arial" w:eastAsia="Arial" w:hAnsi="Arial"/>
                <w:sz w:val="18"/>
                <w:szCs w:val="18"/>
                <w:color w:val="auto"/>
                <w:w w:val="92"/>
              </w:rPr>
              <w:t>(I.R.S. Employer</w:t>
            </w:r>
          </w:p>
        </w:tc>
      </w:tr>
      <w:tr>
        <w:trPr>
          <w:trHeight w:val="212"/>
        </w:trPr>
        <w:tc>
          <w:tcPr>
            <w:tcW w:w="244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7000" w:type="dxa"/>
            <w:vAlign w:val="bottom"/>
          </w:tcPr>
          <w:p>
            <w:pPr>
              <w:jc w:val="center"/>
              <w:ind w:left="5250"/>
              <w:spacing w:after="0"/>
              <w:rPr>
                <w:sz w:val="20"/>
                <w:szCs w:val="20"/>
                <w:color w:val="auto"/>
              </w:rPr>
            </w:pPr>
            <w:r>
              <w:rPr>
                <w:rFonts w:ascii="Arial" w:cs="Arial" w:eastAsia="Arial" w:hAnsi="Arial"/>
                <w:sz w:val="18"/>
                <w:szCs w:val="18"/>
                <w:color w:val="auto"/>
                <w:w w:val="94"/>
              </w:rPr>
              <w:t>Identification Number)</w:t>
            </w:r>
          </w:p>
        </w:tc>
      </w:tr>
      <w:tr>
        <w:trPr>
          <w:trHeight w:val="216"/>
        </w:trPr>
        <w:tc>
          <w:tcPr>
            <w:tcW w:w="2440" w:type="dxa"/>
            <w:vAlign w:val="bottom"/>
          </w:tcPr>
          <w:p>
            <w:pPr>
              <w:spacing w:after="0"/>
              <w:rPr>
                <w:sz w:val="18"/>
                <w:szCs w:val="18"/>
                <w:color w:val="auto"/>
              </w:rPr>
            </w:pPr>
          </w:p>
        </w:tc>
        <w:tc>
          <w:tcPr>
            <w:tcW w:w="7000" w:type="dxa"/>
            <w:vAlign w:val="bottom"/>
          </w:tcPr>
          <w:p>
            <w:pPr>
              <w:jc w:val="center"/>
              <w:ind w:right="1910"/>
              <w:spacing w:after="0"/>
              <w:rPr>
                <w:sz w:val="20"/>
                <w:szCs w:val="20"/>
                <w:color w:val="auto"/>
              </w:rPr>
            </w:pPr>
            <w:r>
              <w:rPr>
                <w:rFonts w:ascii="Arial" w:cs="Arial" w:eastAsia="Arial" w:hAnsi="Arial"/>
                <w:sz w:val="18"/>
                <w:szCs w:val="18"/>
                <w:b w:val="1"/>
                <w:bCs w:val="1"/>
                <w:color w:val="auto"/>
                <w:w w:val="92"/>
              </w:rPr>
              <w:t>Three Allen Center</w:t>
            </w:r>
          </w:p>
        </w:tc>
      </w:tr>
      <w:tr>
        <w:trPr>
          <w:trHeight w:val="216"/>
        </w:trPr>
        <w:tc>
          <w:tcPr>
            <w:tcW w:w="2440" w:type="dxa"/>
            <w:vAlign w:val="bottom"/>
          </w:tcPr>
          <w:p>
            <w:pPr>
              <w:spacing w:after="0"/>
              <w:rPr>
                <w:sz w:val="18"/>
                <w:szCs w:val="18"/>
                <w:color w:val="auto"/>
              </w:rPr>
            </w:pPr>
          </w:p>
        </w:tc>
        <w:tc>
          <w:tcPr>
            <w:tcW w:w="70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0"/>
              </w:rPr>
              <w:t>333 Clay Street, Suite 4980</w:t>
            </w:r>
          </w:p>
        </w:tc>
      </w:tr>
      <w:tr>
        <w:trPr>
          <w:trHeight w:val="220"/>
        </w:trPr>
        <w:tc>
          <w:tcPr>
            <w:tcW w:w="2440" w:type="dxa"/>
            <w:vAlign w:val="bottom"/>
          </w:tcPr>
          <w:p>
            <w:pPr>
              <w:spacing w:after="0"/>
              <w:rPr>
                <w:sz w:val="19"/>
                <w:szCs w:val="19"/>
                <w:color w:val="auto"/>
              </w:rPr>
            </w:pPr>
          </w:p>
        </w:tc>
        <w:tc>
          <w:tcPr>
            <w:tcW w:w="7000" w:type="dxa"/>
            <w:vAlign w:val="bottom"/>
          </w:tcPr>
          <w:p>
            <w:pPr>
              <w:jc w:val="center"/>
              <w:ind w:right="1930"/>
              <w:spacing w:after="0"/>
              <w:rPr>
                <w:sz w:val="20"/>
                <w:szCs w:val="20"/>
                <w:color w:val="auto"/>
              </w:rPr>
            </w:pPr>
            <w:r>
              <w:rPr>
                <w:rFonts w:ascii="Arial" w:cs="Arial" w:eastAsia="Arial" w:hAnsi="Arial"/>
                <w:sz w:val="18"/>
                <w:szCs w:val="18"/>
                <w:b w:val="1"/>
                <w:bCs w:val="1"/>
                <w:color w:val="auto"/>
                <w:w w:val="87"/>
              </w:rPr>
              <w:t>Houston, Texas 77002</w:t>
            </w:r>
          </w:p>
        </w:tc>
      </w:tr>
      <w:tr>
        <w:trPr>
          <w:trHeight w:val="230"/>
        </w:trPr>
        <w:tc>
          <w:tcPr>
            <w:tcW w:w="2440" w:type="dxa"/>
            <w:vAlign w:val="bottom"/>
          </w:tcPr>
          <w:p>
            <w:pPr>
              <w:spacing w:after="0"/>
              <w:rPr>
                <w:sz w:val="20"/>
                <w:szCs w:val="20"/>
                <w:color w:val="auto"/>
              </w:rPr>
            </w:pPr>
          </w:p>
        </w:tc>
        <w:tc>
          <w:tcPr>
            <w:tcW w:w="7000" w:type="dxa"/>
            <w:vAlign w:val="bottom"/>
          </w:tcPr>
          <w:p>
            <w:pPr>
              <w:jc w:val="center"/>
              <w:ind w:right="1930"/>
              <w:spacing w:after="0"/>
              <w:rPr>
                <w:sz w:val="20"/>
                <w:szCs w:val="20"/>
                <w:color w:val="auto"/>
              </w:rPr>
            </w:pPr>
            <w:r>
              <w:rPr>
                <w:rFonts w:ascii="Arial" w:cs="Arial" w:eastAsia="Arial" w:hAnsi="Arial"/>
                <w:sz w:val="18"/>
                <w:szCs w:val="18"/>
                <w:color w:val="auto"/>
                <w:w w:val="93"/>
              </w:rPr>
              <w:t>(Address of Principal Executive Offices, including Zip Code)</w:t>
            </w:r>
          </w:p>
        </w:tc>
      </w:tr>
      <w:tr>
        <w:trPr>
          <w:trHeight w:val="472"/>
        </w:trPr>
        <w:tc>
          <w:tcPr>
            <w:tcW w:w="2440" w:type="dxa"/>
            <w:vAlign w:val="bottom"/>
          </w:tcPr>
          <w:p>
            <w:pPr>
              <w:spacing w:after="0"/>
              <w:rPr>
                <w:sz w:val="24"/>
                <w:szCs w:val="24"/>
                <w:color w:val="auto"/>
              </w:rPr>
            </w:pPr>
          </w:p>
        </w:tc>
        <w:tc>
          <w:tcPr>
            <w:tcW w:w="70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2"/>
              </w:rPr>
              <w:t>2014 Equity Participation Plan of Civeo Corporation</w:t>
            </w:r>
          </w:p>
        </w:tc>
      </w:tr>
      <w:tr>
        <w:trPr>
          <w:trHeight w:val="230"/>
        </w:trPr>
        <w:tc>
          <w:tcPr>
            <w:tcW w:w="2440" w:type="dxa"/>
            <w:vAlign w:val="bottom"/>
          </w:tcPr>
          <w:p>
            <w:pPr>
              <w:spacing w:after="0"/>
              <w:rPr>
                <w:sz w:val="20"/>
                <w:szCs w:val="20"/>
                <w:color w:val="auto"/>
              </w:rPr>
            </w:pPr>
          </w:p>
        </w:tc>
        <w:tc>
          <w:tcPr>
            <w:tcW w:w="7000" w:type="dxa"/>
            <w:vAlign w:val="bottom"/>
          </w:tcPr>
          <w:p>
            <w:pPr>
              <w:jc w:val="center"/>
              <w:ind w:right="1930"/>
              <w:spacing w:after="0"/>
              <w:rPr>
                <w:sz w:val="20"/>
                <w:szCs w:val="20"/>
                <w:color w:val="auto"/>
              </w:rPr>
            </w:pPr>
            <w:r>
              <w:rPr>
                <w:rFonts w:ascii="Arial" w:cs="Arial" w:eastAsia="Arial" w:hAnsi="Arial"/>
                <w:sz w:val="18"/>
                <w:szCs w:val="18"/>
                <w:color w:val="auto"/>
                <w:w w:val="94"/>
              </w:rPr>
              <w:t>(Full Title of the Plan)</w:t>
            </w:r>
          </w:p>
        </w:tc>
      </w:tr>
      <w:tr>
        <w:trPr>
          <w:trHeight w:val="468"/>
        </w:trPr>
        <w:tc>
          <w:tcPr>
            <w:tcW w:w="2440" w:type="dxa"/>
            <w:vAlign w:val="bottom"/>
          </w:tcPr>
          <w:p>
            <w:pPr>
              <w:spacing w:after="0"/>
              <w:rPr>
                <w:sz w:val="24"/>
                <w:szCs w:val="24"/>
                <w:color w:val="auto"/>
              </w:rPr>
            </w:pPr>
          </w:p>
        </w:tc>
        <w:tc>
          <w:tcPr>
            <w:tcW w:w="7000" w:type="dxa"/>
            <w:vAlign w:val="bottom"/>
          </w:tcPr>
          <w:p>
            <w:pPr>
              <w:jc w:val="center"/>
              <w:ind w:right="1930"/>
              <w:spacing w:after="0"/>
              <w:rPr>
                <w:sz w:val="20"/>
                <w:szCs w:val="20"/>
                <w:color w:val="auto"/>
              </w:rPr>
            </w:pPr>
            <w:r>
              <w:rPr>
                <w:rFonts w:ascii="Arial" w:cs="Arial" w:eastAsia="Arial" w:hAnsi="Arial"/>
                <w:sz w:val="18"/>
                <w:szCs w:val="18"/>
                <w:b w:val="1"/>
                <w:bCs w:val="1"/>
                <w:color w:val="auto"/>
                <w:w w:val="89"/>
              </w:rPr>
              <w:t>Bradley J. Dodson</w:t>
            </w:r>
          </w:p>
        </w:tc>
      </w:tr>
      <w:tr>
        <w:trPr>
          <w:trHeight w:val="216"/>
        </w:trPr>
        <w:tc>
          <w:tcPr>
            <w:tcW w:w="2440" w:type="dxa"/>
            <w:vAlign w:val="bottom"/>
          </w:tcPr>
          <w:p>
            <w:pPr>
              <w:spacing w:after="0"/>
              <w:rPr>
                <w:sz w:val="18"/>
                <w:szCs w:val="18"/>
                <w:color w:val="auto"/>
              </w:rPr>
            </w:pPr>
          </w:p>
        </w:tc>
        <w:tc>
          <w:tcPr>
            <w:tcW w:w="7000" w:type="dxa"/>
            <w:vAlign w:val="bottom"/>
          </w:tcPr>
          <w:p>
            <w:pPr>
              <w:jc w:val="center"/>
              <w:ind w:right="1910"/>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216"/>
        </w:trPr>
        <w:tc>
          <w:tcPr>
            <w:tcW w:w="2440" w:type="dxa"/>
            <w:vAlign w:val="bottom"/>
          </w:tcPr>
          <w:p>
            <w:pPr>
              <w:spacing w:after="0"/>
              <w:rPr>
                <w:sz w:val="18"/>
                <w:szCs w:val="18"/>
                <w:color w:val="auto"/>
              </w:rPr>
            </w:pPr>
          </w:p>
        </w:tc>
        <w:tc>
          <w:tcPr>
            <w:tcW w:w="70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0"/>
              </w:rPr>
              <w:t>333 Clay Street, Suite 4980</w:t>
            </w:r>
          </w:p>
        </w:tc>
      </w:tr>
      <w:tr>
        <w:trPr>
          <w:trHeight w:val="216"/>
        </w:trPr>
        <w:tc>
          <w:tcPr>
            <w:tcW w:w="2440" w:type="dxa"/>
            <w:vAlign w:val="bottom"/>
          </w:tcPr>
          <w:p>
            <w:pPr>
              <w:spacing w:after="0"/>
              <w:rPr>
                <w:sz w:val="18"/>
                <w:szCs w:val="18"/>
                <w:color w:val="auto"/>
              </w:rPr>
            </w:pPr>
          </w:p>
        </w:tc>
        <w:tc>
          <w:tcPr>
            <w:tcW w:w="7000" w:type="dxa"/>
            <w:vAlign w:val="bottom"/>
          </w:tcPr>
          <w:p>
            <w:pPr>
              <w:jc w:val="center"/>
              <w:ind w:right="1930"/>
              <w:spacing w:after="0"/>
              <w:rPr>
                <w:sz w:val="20"/>
                <w:szCs w:val="20"/>
                <w:color w:val="auto"/>
              </w:rPr>
            </w:pPr>
            <w:r>
              <w:rPr>
                <w:rFonts w:ascii="Arial" w:cs="Arial" w:eastAsia="Arial" w:hAnsi="Arial"/>
                <w:sz w:val="18"/>
                <w:szCs w:val="18"/>
                <w:b w:val="1"/>
                <w:bCs w:val="1"/>
                <w:color w:val="auto"/>
                <w:w w:val="87"/>
              </w:rPr>
              <w:t>Houston, Texas 77002</w:t>
            </w:r>
          </w:p>
        </w:tc>
      </w:tr>
      <w:tr>
        <w:trPr>
          <w:trHeight w:val="220"/>
        </w:trPr>
        <w:tc>
          <w:tcPr>
            <w:tcW w:w="2440" w:type="dxa"/>
            <w:vAlign w:val="bottom"/>
          </w:tcPr>
          <w:p>
            <w:pPr>
              <w:spacing w:after="0"/>
              <w:rPr>
                <w:sz w:val="19"/>
                <w:szCs w:val="19"/>
                <w:color w:val="auto"/>
              </w:rPr>
            </w:pPr>
          </w:p>
        </w:tc>
        <w:tc>
          <w:tcPr>
            <w:tcW w:w="7000" w:type="dxa"/>
            <w:vAlign w:val="bottom"/>
          </w:tcPr>
          <w:p>
            <w:pPr>
              <w:jc w:val="center"/>
              <w:ind w:right="1910"/>
              <w:spacing w:after="0"/>
              <w:rPr>
                <w:sz w:val="20"/>
                <w:szCs w:val="20"/>
                <w:color w:val="auto"/>
              </w:rPr>
            </w:pPr>
            <w:r>
              <w:rPr>
                <w:rFonts w:ascii="Arial" w:cs="Arial" w:eastAsia="Arial" w:hAnsi="Arial"/>
                <w:sz w:val="18"/>
                <w:szCs w:val="18"/>
                <w:b w:val="1"/>
                <w:bCs w:val="1"/>
                <w:color w:val="auto"/>
                <w:w w:val="90"/>
              </w:rPr>
              <w:t>(713) 510-2400</w:t>
            </w:r>
          </w:p>
        </w:tc>
      </w:tr>
      <w:tr>
        <w:trPr>
          <w:trHeight w:val="230"/>
        </w:trPr>
        <w:tc>
          <w:tcPr>
            <w:tcW w:w="2440" w:type="dxa"/>
            <w:vAlign w:val="bottom"/>
          </w:tcPr>
          <w:p>
            <w:pPr>
              <w:spacing w:after="0"/>
              <w:rPr>
                <w:sz w:val="20"/>
                <w:szCs w:val="20"/>
                <w:color w:val="auto"/>
              </w:rPr>
            </w:pPr>
          </w:p>
        </w:tc>
        <w:tc>
          <w:tcPr>
            <w:tcW w:w="7000" w:type="dxa"/>
            <w:vAlign w:val="bottom"/>
          </w:tcPr>
          <w:p>
            <w:pPr>
              <w:jc w:val="center"/>
              <w:ind w:right="1910"/>
              <w:spacing w:after="0"/>
              <w:rPr>
                <w:sz w:val="20"/>
                <w:szCs w:val="20"/>
                <w:color w:val="auto"/>
              </w:rPr>
            </w:pPr>
            <w:r>
              <w:rPr>
                <w:rFonts w:ascii="Arial" w:cs="Arial" w:eastAsia="Arial" w:hAnsi="Arial"/>
                <w:sz w:val="18"/>
                <w:szCs w:val="18"/>
                <w:color w:val="auto"/>
                <w:w w:val="90"/>
              </w:rPr>
              <w:t>(Name, Address and Telephone Number of Agent For Service)</w:t>
            </w:r>
          </w:p>
        </w:tc>
      </w:tr>
      <w:tr>
        <w:trPr>
          <w:trHeight w:val="486"/>
        </w:trPr>
        <w:tc>
          <w:tcPr>
            <w:tcW w:w="2440" w:type="dxa"/>
            <w:vAlign w:val="bottom"/>
          </w:tcPr>
          <w:p>
            <w:pPr>
              <w:spacing w:after="0"/>
              <w:rPr>
                <w:sz w:val="24"/>
                <w:szCs w:val="24"/>
                <w:color w:val="auto"/>
              </w:rPr>
            </w:pPr>
          </w:p>
        </w:tc>
        <w:tc>
          <w:tcPr>
            <w:tcW w:w="70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0"/>
              </w:rPr>
              <w:t>Copy to:</w:t>
            </w:r>
          </w:p>
        </w:tc>
      </w:tr>
      <w:tr>
        <w:trPr>
          <w:trHeight w:val="468"/>
        </w:trPr>
        <w:tc>
          <w:tcPr>
            <w:tcW w:w="2440" w:type="dxa"/>
            <w:vAlign w:val="bottom"/>
          </w:tcPr>
          <w:p>
            <w:pPr>
              <w:spacing w:after="0"/>
              <w:rPr>
                <w:sz w:val="24"/>
                <w:szCs w:val="24"/>
                <w:color w:val="auto"/>
              </w:rPr>
            </w:pPr>
          </w:p>
        </w:tc>
        <w:tc>
          <w:tcPr>
            <w:tcW w:w="7000" w:type="dxa"/>
            <w:vAlign w:val="bottom"/>
          </w:tcPr>
          <w:p>
            <w:pPr>
              <w:jc w:val="center"/>
              <w:ind w:right="1910"/>
              <w:spacing w:after="0"/>
              <w:rPr>
                <w:sz w:val="20"/>
                <w:szCs w:val="20"/>
                <w:color w:val="auto"/>
              </w:rPr>
            </w:pPr>
            <w:r>
              <w:rPr>
                <w:rFonts w:ascii="Arial" w:cs="Arial" w:eastAsia="Arial" w:hAnsi="Arial"/>
                <w:sz w:val="18"/>
                <w:szCs w:val="18"/>
                <w:b w:val="1"/>
                <w:bCs w:val="1"/>
                <w:color w:val="auto"/>
                <w:w w:val="91"/>
              </w:rPr>
              <w:t>Matthew R. Pacey.</w:t>
            </w:r>
          </w:p>
        </w:tc>
      </w:tr>
      <w:tr>
        <w:trPr>
          <w:trHeight w:val="216"/>
        </w:trPr>
        <w:tc>
          <w:tcPr>
            <w:tcW w:w="2440" w:type="dxa"/>
            <w:vAlign w:val="bottom"/>
          </w:tcPr>
          <w:p>
            <w:pPr>
              <w:spacing w:after="0"/>
              <w:rPr>
                <w:sz w:val="18"/>
                <w:szCs w:val="18"/>
                <w:color w:val="auto"/>
              </w:rPr>
            </w:pPr>
          </w:p>
        </w:tc>
        <w:tc>
          <w:tcPr>
            <w:tcW w:w="70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Vinson &amp; Elkins L.L.P.</w:t>
            </w:r>
          </w:p>
        </w:tc>
      </w:tr>
      <w:tr>
        <w:trPr>
          <w:trHeight w:val="216"/>
        </w:trPr>
        <w:tc>
          <w:tcPr>
            <w:tcW w:w="2440" w:type="dxa"/>
            <w:vAlign w:val="bottom"/>
          </w:tcPr>
          <w:p>
            <w:pPr>
              <w:spacing w:after="0"/>
              <w:rPr>
                <w:sz w:val="18"/>
                <w:szCs w:val="18"/>
                <w:color w:val="auto"/>
              </w:rPr>
            </w:pPr>
          </w:p>
        </w:tc>
        <w:tc>
          <w:tcPr>
            <w:tcW w:w="70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0"/>
              </w:rPr>
              <w:t>1001 Fannin Street, Suite 2500</w:t>
            </w:r>
          </w:p>
        </w:tc>
      </w:tr>
      <w:tr>
        <w:trPr>
          <w:trHeight w:val="216"/>
        </w:trPr>
        <w:tc>
          <w:tcPr>
            <w:tcW w:w="2440" w:type="dxa"/>
            <w:vAlign w:val="bottom"/>
          </w:tcPr>
          <w:p>
            <w:pPr>
              <w:spacing w:after="0"/>
              <w:rPr>
                <w:sz w:val="18"/>
                <w:szCs w:val="18"/>
                <w:color w:val="auto"/>
              </w:rPr>
            </w:pPr>
          </w:p>
        </w:tc>
        <w:tc>
          <w:tcPr>
            <w:tcW w:w="7000" w:type="dxa"/>
            <w:vAlign w:val="bottom"/>
          </w:tcPr>
          <w:p>
            <w:pPr>
              <w:jc w:val="center"/>
              <w:ind w:right="1930"/>
              <w:spacing w:after="0"/>
              <w:rPr>
                <w:sz w:val="20"/>
                <w:szCs w:val="20"/>
                <w:color w:val="auto"/>
              </w:rPr>
            </w:pPr>
            <w:r>
              <w:rPr>
                <w:rFonts w:ascii="Arial" w:cs="Arial" w:eastAsia="Arial" w:hAnsi="Arial"/>
                <w:sz w:val="18"/>
                <w:szCs w:val="18"/>
                <w:b w:val="1"/>
                <w:bCs w:val="1"/>
                <w:color w:val="auto"/>
                <w:w w:val="87"/>
              </w:rPr>
              <w:t>Houston, Texas 77002</w:t>
            </w:r>
          </w:p>
        </w:tc>
      </w:tr>
      <w:tr>
        <w:trPr>
          <w:trHeight w:val="234"/>
        </w:trPr>
        <w:tc>
          <w:tcPr>
            <w:tcW w:w="2440" w:type="dxa"/>
            <w:vAlign w:val="bottom"/>
          </w:tcPr>
          <w:p>
            <w:pPr>
              <w:spacing w:after="0"/>
              <w:rPr>
                <w:sz w:val="20"/>
                <w:szCs w:val="20"/>
                <w:color w:val="auto"/>
              </w:rPr>
            </w:pPr>
          </w:p>
        </w:tc>
        <w:tc>
          <w:tcPr>
            <w:tcW w:w="7000" w:type="dxa"/>
            <w:vAlign w:val="bottom"/>
          </w:tcPr>
          <w:p>
            <w:pPr>
              <w:jc w:val="center"/>
              <w:ind w:right="1910"/>
              <w:spacing w:after="0"/>
              <w:rPr>
                <w:sz w:val="20"/>
                <w:szCs w:val="20"/>
                <w:color w:val="auto"/>
              </w:rPr>
            </w:pPr>
            <w:r>
              <w:rPr>
                <w:rFonts w:ascii="Arial" w:cs="Arial" w:eastAsia="Arial" w:hAnsi="Arial"/>
                <w:sz w:val="18"/>
                <w:szCs w:val="18"/>
                <w:b w:val="1"/>
                <w:bCs w:val="1"/>
                <w:color w:val="auto"/>
                <w:w w:val="90"/>
              </w:rPr>
              <w:t>(713) 758-2222</w:t>
            </w:r>
          </w:p>
        </w:tc>
      </w:tr>
    </w:tbl>
    <w:p>
      <w:pPr>
        <w:spacing w:after="0" w:line="202"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4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380" w:type="dxa"/>
            <w:vAlign w:val="bottom"/>
            <w:gridSpan w:val="3"/>
          </w:tcPr>
          <w:p>
            <w:pPr>
              <w:jc w:val="right"/>
              <w:ind w:right="73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3"/>
          </w:tcPr>
          <w:p>
            <w:pPr>
              <w:jc w:val="right"/>
              <w:spacing w:after="0" w:line="207" w:lineRule="exact"/>
              <w:rPr>
                <w:sz w:val="20"/>
                <w:szCs w:val="20"/>
                <w:color w:val="auto"/>
              </w:rPr>
            </w:pPr>
            <w:r>
              <w:rPr>
                <w:rFonts w:ascii="Arial" w:cs="Arial" w:eastAsia="Arial" w:hAnsi="Arial"/>
                <w:sz w:val="18"/>
                <w:szCs w:val="18"/>
                <w:color w:val="auto"/>
                <w:w w:val="99"/>
              </w:rPr>
              <w:t xml:space="preserve">Non-accelerated filer </w:t>
            </w:r>
            <w:r>
              <w:rPr>
                <w:rFonts w:ascii="MS PGothic" w:cs="MS PGothic" w:eastAsia="MS PGothic" w:hAnsi="MS PGothic"/>
                <w:sz w:val="18"/>
                <w:szCs w:val="18"/>
                <w:color w:val="auto"/>
                <w:w w:val="99"/>
              </w:rPr>
              <w:t>☑</w:t>
            </w:r>
          </w:p>
        </w:tc>
        <w:tc>
          <w:tcPr>
            <w:tcW w:w="3320" w:type="dxa"/>
            <w:vAlign w:val="bottom"/>
            <w:gridSpan w:val="5"/>
          </w:tcPr>
          <w:p>
            <w:pPr>
              <w:ind w:left="114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r>
      <w:tr>
        <w:trPr>
          <w:trHeight w:val="412"/>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22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CALCULATION OF REGISTRATION FEE</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Proposed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Proposed</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280"/>
              <w:spacing w:after="0"/>
              <w:rPr>
                <w:sz w:val="20"/>
                <w:szCs w:val="20"/>
                <w:color w:val="auto"/>
              </w:rPr>
            </w:pPr>
            <w:r>
              <w:rPr>
                <w:rFonts w:ascii="Arial" w:cs="Arial" w:eastAsia="Arial" w:hAnsi="Arial"/>
                <w:sz w:val="18"/>
                <w:szCs w:val="18"/>
                <w:b w:val="1"/>
                <w:bCs w:val="1"/>
                <w:color w:val="auto"/>
              </w:rPr>
              <w:t>Amount to be</w:t>
            </w:r>
          </w:p>
        </w:tc>
        <w:tc>
          <w:tcPr>
            <w:tcW w:w="24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maximum offering</w:t>
            </w:r>
          </w:p>
        </w:tc>
        <w:tc>
          <w:tcPr>
            <w:tcW w:w="240" w:type="dxa"/>
            <w:vAlign w:val="bottom"/>
          </w:tcPr>
          <w:p>
            <w:pPr>
              <w:spacing w:after="0"/>
              <w:rPr>
                <w:sz w:val="18"/>
                <w:szCs w:val="18"/>
                <w:color w:val="auto"/>
              </w:rPr>
            </w:pPr>
          </w:p>
        </w:tc>
        <w:tc>
          <w:tcPr>
            <w:tcW w:w="18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maximum aggregate</w:t>
            </w:r>
          </w:p>
        </w:tc>
        <w:tc>
          <w:tcPr>
            <w:tcW w:w="8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Amount of</w:t>
            </w:r>
          </w:p>
        </w:tc>
      </w:tr>
      <w:tr>
        <w:trPr>
          <w:trHeight w:val="234"/>
        </w:trPr>
        <w:tc>
          <w:tcPr>
            <w:tcW w:w="20" w:type="dxa"/>
            <w:vAlign w:val="bottom"/>
          </w:tcPr>
          <w:p>
            <w:pPr>
              <w:spacing w:after="0"/>
              <w:rPr>
                <w:sz w:val="20"/>
                <w:szCs w:val="20"/>
                <w:color w:val="auto"/>
              </w:rPr>
            </w:pPr>
          </w:p>
        </w:tc>
        <w:tc>
          <w:tcPr>
            <w:tcW w:w="3460" w:type="dxa"/>
            <w:vAlign w:val="bottom"/>
          </w:tcPr>
          <w:p>
            <w:pPr>
              <w:ind w:left="780"/>
              <w:spacing w:after="0"/>
              <w:rPr>
                <w:sz w:val="20"/>
                <w:szCs w:val="20"/>
                <w:color w:val="auto"/>
              </w:rPr>
            </w:pPr>
            <w:r>
              <w:rPr>
                <w:rFonts w:ascii="Arial" w:cs="Arial" w:eastAsia="Arial" w:hAnsi="Arial"/>
                <w:sz w:val="18"/>
                <w:szCs w:val="18"/>
                <w:b w:val="1"/>
                <w:bCs w:val="1"/>
                <w:color w:val="auto"/>
                <w:w w:val="92"/>
              </w:rPr>
              <w:t>Title of securities to be registered</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ind w:left="280"/>
              <w:spacing w:after="0"/>
              <w:rPr>
                <w:sz w:val="20"/>
                <w:szCs w:val="20"/>
                <w:color w:val="auto"/>
              </w:rPr>
            </w:pPr>
            <w:r>
              <w:rPr>
                <w:rFonts w:ascii="Arial" w:cs="Arial" w:eastAsia="Arial" w:hAnsi="Arial"/>
                <w:sz w:val="18"/>
                <w:szCs w:val="18"/>
                <w:b w:val="1"/>
                <w:bCs w:val="1"/>
                <w:color w:val="auto"/>
              </w:rPr>
              <w:t>Registered (1)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price per share (2)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offering price(2)</w:t>
            </w:r>
          </w:p>
        </w:tc>
        <w:tc>
          <w:tcPr>
            <w:tcW w:w="8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registration fee(2)</w:t>
            </w:r>
          </w:p>
        </w:tc>
      </w:tr>
      <w:tr>
        <w:trPr>
          <w:trHeight w:val="210"/>
        </w:trPr>
        <w:tc>
          <w:tcPr>
            <w:tcW w:w="20" w:type="dxa"/>
            <w:vAlign w:val="bottom"/>
          </w:tcPr>
          <w:p>
            <w:pPr>
              <w:spacing w:after="0"/>
              <w:rPr>
                <w:sz w:val="18"/>
                <w:szCs w:val="18"/>
                <w:color w:val="auto"/>
              </w:rPr>
            </w:pPr>
          </w:p>
        </w:tc>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$0.01 per share</w:t>
            </w: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4,400,000</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96,668,000</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12,451</w:t>
            </w:r>
          </w:p>
        </w:tc>
        <w:tc>
          <w:tcPr>
            <w:tcW w:w="10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both"/>
        <w:ind w:left="340" w:right="42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(the “Securities Act”), this Registration Statement shall also cover any additional shares of common stock of Civeo Corporation that may become issuable pursuant to the adjustment provisions of the 2014 Equity Participation Plan of Civeo Corporation.</w:t>
      </w:r>
    </w:p>
    <w:p>
      <w:pPr>
        <w:spacing w:after="0" w:line="181" w:lineRule="exact"/>
        <w:rPr>
          <w:rFonts w:ascii="Arial" w:cs="Arial" w:eastAsia="Arial" w:hAnsi="Arial"/>
          <w:sz w:val="18"/>
          <w:szCs w:val="18"/>
          <w:color w:val="auto"/>
        </w:rPr>
      </w:pPr>
    </w:p>
    <w:p>
      <w:pPr>
        <w:ind w:left="340" w:right="30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Rules 457(c) and (h) under the Securities Act, the proposed maximum offering price per share, the proposed maximum aggregate offering price and the amount of registration fee have been computed on the basis of the average of the high and low prices of the common stock of Civeo Corporation as reported on a when-issued basis on the New York Stock Exchange on May 22, 2014; this price is used solely for the purpose of calculating the registration fee.</w:t>
      </w:r>
    </w:p>
    <w:p>
      <w:pPr>
        <w:sectPr>
          <w:pgSz w:w="11900" w:h="16838" w:orient="portrait"/>
          <w:cols w:equalWidth="0" w:num="1">
            <w:col w:w="11420"/>
          </w:cols>
          <w:pgMar w:left="240" w:top="499" w:right="239" w:bottom="291" w:gutter="0" w:footer="0" w:header="0"/>
        </w:sectPr>
      </w:pPr>
    </w:p>
    <w:bookmarkStart w:id="1" w:name="page2"/>
    <w:bookmarkEnd w:id="1"/>
    <w:p>
      <w:pPr>
        <w:spacing w:after="0" w:line="259" w:lineRule="auto"/>
        <w:tabs>
          <w:tab w:leader="none" w:pos="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Civeo Corporation (the “Registrant”) will send or give to all participants in the 2014 Equity Participation Plan of Civeo Corporation (the “Plan”) the document(s) containing information required by Part I of Form S-8, as specified in Rule 428(b)(1) promulgated by the Securities and Exchange Commission (the “Commission”) under the Securities Act. The Registrant has not filed such document(s) with the Commission, but such documents (along with the documents incorporated by reference into this Registration Statement pursuant to Item 3 of Part II hereof) shall constitute a prospectus that meets the requirements of Section 10(a) of the Securities Act.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Except to the extent that information is deemed furnished and not filed pursuant to securities laws and regulations, the following documents have been filed by the Registrant with the Commission and are incorporated by reference into this Registration Statement and will be deemed to be a part hereof:</w:t>
      </w:r>
    </w:p>
    <w:p>
      <w:pPr>
        <w:spacing w:after="0" w:line="124" w:lineRule="exact"/>
        <w:rPr>
          <w:sz w:val="20"/>
          <w:szCs w:val="20"/>
          <w:color w:val="auto"/>
        </w:rPr>
      </w:pPr>
    </w:p>
    <w:p>
      <w:pPr>
        <w:jc w:val="both"/>
        <w:ind w:right="60" w:firstLine="332"/>
        <w:spacing w:after="0" w:line="264" w:lineRule="auto"/>
        <w:tabs>
          <w:tab w:leader="none" w:pos="74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on Form 10 (File No. 001-36246), initially filed with the Commission on December 12, 2012, as amended by Amendment No. 1 filed on February 11, 2014, Amendment No. 2 filed on March 18, 2014, Amendment No. 3 filed on April 22, 2014, Amendment No. 4 filed on May 6, 2014 and Amendment No. 5 filed on May 8, 2014.</w:t>
      </w:r>
    </w:p>
    <w:p>
      <w:pPr>
        <w:spacing w:after="0" w:line="181" w:lineRule="exact"/>
        <w:rPr>
          <w:rFonts w:ascii="Arial" w:cs="Arial" w:eastAsia="Arial" w:hAnsi="Arial"/>
          <w:sz w:val="18"/>
          <w:szCs w:val="18"/>
          <w:color w:val="auto"/>
        </w:rPr>
      </w:pPr>
    </w:p>
    <w:p>
      <w:pPr>
        <w:ind w:right="80" w:firstLine="332"/>
        <w:spacing w:after="0" w:line="279" w:lineRule="auto"/>
        <w:tabs>
          <w:tab w:leader="none" w:pos="756"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the Registrant’s Common Stock contained in its Information Statement, dated May 9, 2014, filed as Exhibit 99.1 to the Registrant’s Registration Statement on Form initially filed with the Commission on December 12, 2013, as amended by Amendment No. 1 filed on February 11, 2014, Amendment No. 2 filed on March 18, 2014, Amendment No. 3 filed on April 22, 2014, Amendment No. 4 filed on May 6, 2014 and Amendment No. 5 filed on May 8, 2014, and including any amendment or report filed for the purpose of updating such description.</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Except to the extent that information is deemed furnished and not filed pursuant to securities laws and regulations, all documents subsequently filed by the Registrant pursuant to Sections 13(a), 13(c), 14 and 15(d) of the Exchange Act prior to the filing of a post-effective amendment that indicates that all securities offered have been sold or that deregisters all securities then remaining unsold shall also be deemed to be incorporated by reference herein and to be a part hereof from the dates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The below discussion of the laws of Delaware, the Registrant’s amended and restated articles of incorporation and bylaws, the indemnification agreements, the Registrant’s maintenance of directors’ and officers’ liability insurance, and the Plan is not intended to be exhaustive and is respectively qualified in its entirety by such laws and documents.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 w:name="page4"/>
    <w:bookmarkEnd w:id="3"/>
    <w:p>
      <w:pPr>
        <w:jc w:val="both"/>
        <w:ind w:firstLine="441"/>
        <w:spacing w:after="0" w:line="286" w:lineRule="auto"/>
        <w:rPr>
          <w:sz w:val="20"/>
          <w:szCs w:val="20"/>
          <w:color w:val="auto"/>
        </w:rPr>
      </w:pPr>
      <w:r>
        <w:rPr>
          <w:rFonts w:ascii="Arial" w:cs="Arial" w:eastAsia="Arial" w:hAnsi="Arial"/>
          <w:sz w:val="17"/>
          <w:szCs w:val="17"/>
          <w:color w:val="auto"/>
        </w:rPr>
        <w:t>The Registrant’s amended and restated certificate of incorporation limits the liability of its directors for monetary damages for breach of their fiduciary duty as directors, except for liability that cannot be eliminated under the Delaware Corporation General Law (“DGCL”). Delaware law provides that directors of a company will not be personally liable for monetary damages for breach of their fiduciary duty as directors, except for liabilities:</w:t>
      </w:r>
    </w:p>
    <w:p>
      <w:pPr>
        <w:spacing w:after="0" w:line="1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violations of law;</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unlawful payment of dividend or unlawful stock repurchase or redemption, as provided under Section 174 of the DGCL; or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7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The Registrant’s amended and restated certificate of incorporation and amended and restated bylaws also provide that it will indemnify its directors and officers to the fullest extent permitted by Delaware law. The Registrant’s amended and restated certificate of incorporation and amended and restated bylaws also permit it to purchase insurance on behalf of any officer, director, employee or other agent for any liability arising out of that person’s actions as the Registrant’s officer, director, employee or agent, regardless of whether Delaware law would permit indemnification. The Registrant also intends to enter into indemnification agreements with each of its current and future directors and officers. These agreements will require the Registrant to indemnify these individuals to the fullest extent permitted under Delaware law against liability that may arise by reason of their service to the Registrant, and to advance expenses incurred as a result of any proceeding against them as to which they could be indemnified. The Registrant believes that the limitation of liability provision in its amended and restated certificate of incorporation and the indemnification agreements will facilitate its ability to continue to attract and retain qualified individuals to serve as directors and officers. The Registrant intends to maintain liability insurance policies that indemnify directors and officers against various liabilities, including certain liabilities under arising under the Securities Act and the Exchange Act that may be incurred by them in their capacity as such.</w:t>
      </w:r>
    </w:p>
    <w:p>
      <w:pPr>
        <w:spacing w:after="0" w:line="183"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Under the terms of the Plan, members of the Plan’s administration committee and officers and employees of the Registrant or any of its subsidiaries acting at the direction or on behalf of the Plan’s administration committee shall not be personally liable for any action or determination taken or made in good faith with respect to the Plan and shall, to the fullest extent permitted by law, be indemnified and held harmless by the Registrant with respect to any such action or determination.</w:t>
      </w:r>
    </w:p>
    <w:p>
      <w:pPr>
        <w:spacing w:after="0" w:line="3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Unless otherwise indicated below as being incorporated by reference to another filing of the Registrant with the Commission, each of the exhibits listed on the accompanying Exhibit Index is filed herewith.</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760" w:hanging="42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80" w:hanging="363"/>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80" w:hanging="400"/>
        <w:spacing w:after="0"/>
        <w:tabs>
          <w:tab w:leader="none" w:pos="13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 w:name="page5"/>
    <w:bookmarkEnd w:id="4"/>
    <w:p>
      <w:pPr>
        <w:ind w:left="660" w:right="80" w:firstLine="320"/>
        <w:spacing w:after="0" w:line="255" w:lineRule="auto"/>
        <w:tabs>
          <w:tab w:leader="none" w:pos="142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9" w:lineRule="exact"/>
        <w:rPr>
          <w:rFonts w:ascii="Arial" w:cs="Arial" w:eastAsia="Arial" w:hAnsi="Arial"/>
          <w:sz w:val="18"/>
          <w:szCs w:val="18"/>
          <w:color w:val="auto"/>
        </w:rPr>
      </w:pPr>
    </w:p>
    <w:p>
      <w:pPr>
        <w:ind w:left="660" w:right="120" w:firstLine="320"/>
        <w:spacing w:after="0" w:line="277" w:lineRule="auto"/>
        <w:tabs>
          <w:tab w:leader="none" w:pos="147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by the Registrant pursuant to Section 13 or Section 15(d) of the Exchange Act that are incorporated by reference in the Registration Statement.</w:t>
      </w:r>
    </w:p>
    <w:p>
      <w:pPr>
        <w:spacing w:after="0" w:line="181" w:lineRule="exact"/>
        <w:rPr>
          <w:sz w:val="20"/>
          <w:szCs w:val="20"/>
          <w:color w:val="auto"/>
        </w:rPr>
      </w:pPr>
    </w:p>
    <w:p>
      <w:pPr>
        <w:ind w:left="340" w:right="220" w:firstLine="277"/>
        <w:spacing w:after="0" w:line="264" w:lineRule="auto"/>
        <w:tabs>
          <w:tab w:leader="none" w:pos="98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340" w:right="760" w:firstLine="277"/>
        <w:spacing w:after="0" w:line="277" w:lineRule="auto"/>
        <w:tabs>
          <w:tab w:leader="none" w:pos="982"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260" w:firstLine="332"/>
        <w:spacing w:after="0" w:line="257" w:lineRule="auto"/>
        <w:tabs>
          <w:tab w:leader="none" w:pos="75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firstLine="332"/>
        <w:spacing w:after="0" w:line="291" w:lineRule="auto"/>
        <w:tabs>
          <w:tab w:leader="none" w:pos="749"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May 27, 2014.</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J. Dodson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Bradley J. Dodson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8"/>
              </w:rPr>
              <w:t>President and Chief Executive Officer and Director</w:t>
            </w:r>
          </w:p>
        </w:tc>
      </w:tr>
    </w:tbl>
    <w:p>
      <w:pPr>
        <w:spacing w:after="0" w:line="200" w:lineRule="exact"/>
        <w:rPr>
          <w:sz w:val="20"/>
          <w:szCs w:val="20"/>
          <w:color w:val="auto"/>
        </w:rPr>
      </w:pPr>
    </w:p>
    <w:p>
      <w:pPr>
        <w:spacing w:after="0" w:line="21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Each person whose signature appears below hereby constitutes and appoints Bradley J. Dodson as his true and lawful attorney-in-fact and agent, with full power of substitution and resubstitution, for him and in his name, place and stead, in any and all capacities, to sign any and all amendments to this registration statement (including post-effective amendments and registration statements filed pursuant to Rule 462 or otherwise) and to file the same, with all exhibits thereto, and the other documents in connection therewith, with the Securities and Exchange Commission, and hereby grants to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w:t>
      </w:r>
    </w:p>
    <w:p>
      <w:pPr>
        <w:spacing w:after="0" w:line="18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40" w:type="dxa"/>
            <w:vAlign w:val="bottom"/>
          </w:tcPr>
          <w:p>
            <w:pPr>
              <w:spacing w:after="0"/>
              <w:rPr>
                <w:sz w:val="20"/>
                <w:szCs w:val="20"/>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Bradley J. Dodson</w:t>
            </w:r>
          </w:p>
        </w:tc>
        <w:tc>
          <w:tcPr>
            <w:tcW w:w="2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President and Chief Executive</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May 27, 2014</w:t>
            </w:r>
          </w:p>
        </w:tc>
      </w:tr>
      <w:tr>
        <w:trPr>
          <w:trHeight w:val="195"/>
        </w:trPr>
        <w:tc>
          <w:tcPr>
            <w:tcW w:w="4000" w:type="dxa"/>
            <w:vAlign w:val="bottom"/>
          </w:tcPr>
          <w:p>
            <w:pPr>
              <w:jc w:val="center"/>
              <w:spacing w:after="0" w:line="195" w:lineRule="exact"/>
              <w:rPr>
                <w:sz w:val="20"/>
                <w:szCs w:val="20"/>
                <w:color w:val="auto"/>
              </w:rPr>
            </w:pPr>
            <w:r>
              <w:rPr>
                <w:rFonts w:ascii="Arial" w:cs="Arial" w:eastAsia="Arial" w:hAnsi="Arial"/>
                <w:sz w:val="18"/>
                <w:szCs w:val="18"/>
                <w:color w:val="auto"/>
                <w:w w:val="91"/>
              </w:rPr>
              <w:t>Bradley J. Dodson</w:t>
            </w:r>
          </w:p>
        </w:tc>
        <w:tc>
          <w:tcPr>
            <w:tcW w:w="240" w:type="dxa"/>
            <w:vAlign w:val="bottom"/>
          </w:tcPr>
          <w:p>
            <w:pPr>
              <w:spacing w:after="0"/>
              <w:rPr>
                <w:sz w:val="16"/>
                <w:szCs w:val="16"/>
                <w:color w:val="auto"/>
              </w:rPr>
            </w:pPr>
          </w:p>
        </w:tc>
        <w:tc>
          <w:tcPr>
            <w:tcW w:w="4580" w:type="dxa"/>
            <w:vAlign w:val="bottom"/>
          </w:tcPr>
          <w:p>
            <w:pPr>
              <w:jc w:val="center"/>
              <w:spacing w:after="0" w:line="195" w:lineRule="exact"/>
              <w:rPr>
                <w:sz w:val="20"/>
                <w:szCs w:val="20"/>
                <w:color w:val="auto"/>
              </w:rPr>
            </w:pPr>
            <w:r>
              <w:rPr>
                <w:rFonts w:ascii="Arial" w:cs="Arial" w:eastAsia="Arial" w:hAnsi="Arial"/>
                <w:sz w:val="18"/>
                <w:szCs w:val="18"/>
                <w:color w:val="auto"/>
                <w:w w:val="93"/>
              </w:rPr>
              <w:t>Officer and Director</w:t>
            </w:r>
          </w:p>
        </w:tc>
        <w:tc>
          <w:tcPr>
            <w:tcW w:w="2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 Financial Officer and Accounting</w:t>
            </w: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Arial" w:cs="Arial" w:eastAsia="Arial" w:hAnsi="Arial"/>
                <w:sz w:val="18"/>
                <w:szCs w:val="18"/>
                <w:i w:val="1"/>
                <w:iCs w:val="1"/>
                <w:color w:val="auto"/>
                <w:w w:val="94"/>
              </w:rPr>
              <w:t>Officer)</w:t>
            </w: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2"/>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Douglas E. Swanson</w:t>
            </w:r>
          </w:p>
        </w:tc>
        <w:tc>
          <w:tcPr>
            <w:tcW w:w="2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May 27, 2014</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89"/>
              </w:rPr>
              <w:t>Douglas E. Swanson</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634"/>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Martin A. Lambert</w:t>
            </w:r>
          </w:p>
        </w:tc>
        <w:tc>
          <w:tcPr>
            <w:tcW w:w="2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May 27, 2014</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5"/>
              </w:rPr>
              <w:t>Martin A. Lambert</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634"/>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Gary L. Rosenthal</w:t>
            </w:r>
          </w:p>
        </w:tc>
        <w:tc>
          <w:tcPr>
            <w:tcW w:w="24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May 27, 2014</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0"/>
              </w:rPr>
              <w:t>Gary L. Rosenthal</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3660"/>
              <w:spacing w:after="0"/>
              <w:rPr>
                <w:sz w:val="20"/>
                <w:szCs w:val="20"/>
                <w:color w:val="auto"/>
              </w:rPr>
            </w:pPr>
            <w:r>
              <w:rPr>
                <w:rFonts w:ascii="Arial" w:cs="Arial" w:eastAsia="Arial" w:hAnsi="Arial"/>
                <w:sz w:val="18"/>
                <w:szCs w:val="18"/>
                <w:b w:val="1"/>
                <w:bCs w:val="1"/>
                <w:color w:val="auto"/>
              </w:rPr>
              <w:t>INDEX TO EXHIBITS</w:t>
            </w:r>
          </w:p>
        </w:tc>
      </w:tr>
      <w:tr>
        <w:trPr>
          <w:trHeight w:val="414"/>
        </w:trPr>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234"/>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0260" w:type="dxa"/>
            <w:vAlign w:val="bottom"/>
            <w:tcBorders>
              <w:bottom w:val="single" w:sz="8" w:color="auto"/>
            </w:tcBorders>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Amended and Restated Certificate of Incorporation of Civeo Corporation (incorporated herein by reference to Exhibit 3.1 to the Registration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on Form 10 (File No. 001-36246) filed on May 6, 2014).</w:t>
            </w:r>
          </w:p>
        </w:tc>
      </w:tr>
      <w:tr>
        <w:trPr>
          <w:trHeight w:val="418"/>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Amended and Restated Bylaws of Civeo Corporation (incorporated herein by reference to Exhibit 3.2 to the Registration Statement on Form</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10 (File No. 001-36246) filed on May 6, 2014).</w:t>
            </w:r>
          </w:p>
        </w:tc>
      </w:tr>
      <w:tr>
        <w:trPr>
          <w:trHeight w:val="418"/>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Common Stock Certificate (incorporated herein by reference to Exhibit 3.2 to the Registration Statement on Form 10 (File No. 001-</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36246) filed on May 6, 2014).</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93"/>
              </w:rPr>
              <w:t>4.4*</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2014 Equity Participation Plan of Civeo Corporation.</w:t>
            </w:r>
          </w:p>
        </w:tc>
      </w:tr>
      <w:tr>
        <w:trPr>
          <w:trHeight w:val="418"/>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Employee Non Qualified Stock Option Agreement under the 2014 Equity Participation Plan of Civeo Corporation (incorporated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herein by reference to Exhibit 10.9 to the Registration Statement on Form 10 (File No. 001-36246) filed on April 22, 2014).</w:t>
            </w:r>
          </w:p>
        </w:tc>
      </w:tr>
      <w:tr>
        <w:trPr>
          <w:trHeight w:val="418"/>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Form of Restricted Stock Agreement under the 2014 Equity Participation Plan of Civeo Corporation (incorporated herein by reference to</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10.10 to the Registration Statement on Form 10 (File No. 001-36246) filed on April 22, 2014).</w:t>
            </w:r>
          </w:p>
        </w:tc>
      </w:tr>
      <w:tr>
        <w:trPr>
          <w:trHeight w:val="418"/>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Form of Non-Employee Director Restricted Stock Agreement (incorporated herein by reference to Exhibit 10.11 to the Registration Statement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on Form 10 (File No. 001-36246) filed on April 22, 2014).</w:t>
            </w:r>
          </w:p>
        </w:tc>
      </w:tr>
      <w:tr>
        <w:trPr>
          <w:trHeight w:val="418"/>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Deferred Stock Agreement (Australia) (incorporated herein by reference to Exhibit 10.12 to the Registration Statement on Form 10</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001-36246) filed on April 22, 2014).</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93"/>
              </w:rPr>
              <w:t>5.1*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Vinson &amp; Elkins L.L.P.</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99"/>
              </w:rPr>
              <w:t>23.1*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99"/>
              </w:rPr>
              <w:t>23.2*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Vinson &amp; Elkins L.L.P. (contained in Exhibit 5.1).</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99"/>
              </w:rPr>
              <w:t>24.1*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(included on the signature page of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89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63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4.4</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Equity Participation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May 30, 2014</w:t>
      </w:r>
    </w:p>
    <w:p>
      <w:pPr>
        <w:spacing w:after="0" w:line="200" w:lineRule="exact"/>
        <w:rPr>
          <w:sz w:val="20"/>
          <w:szCs w:val="20"/>
          <w:color w:val="auto"/>
        </w:rPr>
      </w:pPr>
    </w:p>
    <w:p>
      <w:pPr>
        <w:spacing w:after="0" w:line="27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Civeo Corporation, a Delaware corporation, hereby adopts the 2014 Equity Participation Plan of Civeo Corporation (the “Plan”), effective May 30, 2014 (the “Effective Date”), for the benefit of its eligible Employees, Directors and consultants.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purposes of the Plan are as follows:</w:t>
      </w:r>
    </w:p>
    <w:p>
      <w:pPr>
        <w:spacing w:after="0" w:line="225" w:lineRule="exact"/>
        <w:rPr>
          <w:sz w:val="20"/>
          <w:szCs w:val="20"/>
          <w:color w:val="auto"/>
        </w:rPr>
      </w:pPr>
    </w:p>
    <w:p>
      <w:pPr>
        <w:ind w:firstLine="656"/>
        <w:spacing w:after="0" w:line="342" w:lineRule="auto"/>
        <w:tabs>
          <w:tab w:leader="none" w:pos="1133"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provide an additional incentive for Employees, Directors and consultants to further the growth, development and financial success of the Company by personally benefiting through the ownership of Company stock and/or rights which recognize such growth, development and financial success.</w:t>
      </w:r>
    </w:p>
    <w:p>
      <w:pPr>
        <w:spacing w:after="0" w:line="123" w:lineRule="exact"/>
        <w:rPr>
          <w:rFonts w:ascii="Arial" w:cs="Arial" w:eastAsia="Arial" w:hAnsi="Arial"/>
          <w:sz w:val="16"/>
          <w:szCs w:val="16"/>
          <w:color w:val="auto"/>
        </w:rPr>
      </w:pPr>
    </w:p>
    <w:p>
      <w:pPr>
        <w:jc w:val="both"/>
        <w:ind w:firstLine="656"/>
        <w:spacing w:after="0" w:line="264" w:lineRule="auto"/>
        <w:tabs>
          <w:tab w:leader="none" w:pos="1196"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enable the Company to obtain and retain the services of Employees, Directors and consultants considered essential to the long range success of the Company by offering them an opportunity to own stock in the Company and/or rights which will reflect the growth, development and financial success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Wherever the following terms are used in the Plan they shall have the meaning specified below, unless the context clearly indicates otherwise.</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Affiliate</w:t>
      </w:r>
      <w:r>
        <w:rPr>
          <w:rFonts w:ascii="Arial" w:cs="Arial" w:eastAsia="Arial" w:hAnsi="Arial"/>
          <w:sz w:val="18"/>
          <w:szCs w:val="18"/>
          <w:color w:val="auto"/>
        </w:rPr>
        <w:t>. “Affiliate” shall mean any entity that, directly or through one or more intermediaries, is controlled by the Company or controls the Company as determined by the Committee.</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i w:val="1"/>
          <w:iCs w:val="1"/>
          <w:color w:val="auto"/>
        </w:rPr>
        <w:t>Award Limit</w:t>
      </w:r>
      <w:r>
        <w:rPr>
          <w:rFonts w:ascii="Arial" w:cs="Arial" w:eastAsia="Arial" w:hAnsi="Arial"/>
          <w:sz w:val="16"/>
          <w:szCs w:val="16"/>
          <w:color w:val="auto"/>
        </w:rPr>
        <w:t>. “Award Limit” shall mean 800,000 shares of Common Stock.</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i w:val="1"/>
          <w:iCs w:val="1"/>
          <w:color w:val="auto"/>
        </w:rPr>
        <w:t>Board</w:t>
      </w:r>
      <w:r>
        <w:rPr>
          <w:rFonts w:ascii="Arial" w:cs="Arial" w:eastAsia="Arial" w:hAnsi="Arial"/>
          <w:sz w:val="16"/>
          <w:szCs w:val="16"/>
          <w:color w:val="auto"/>
        </w:rPr>
        <w:t>. “Board” shall mean the Board of Directors of the Company.</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i w:val="1"/>
          <w:iCs w:val="1"/>
          <w:color w:val="auto"/>
        </w:rPr>
        <w:t>Change of Control</w:t>
      </w:r>
      <w:r>
        <w:rPr>
          <w:rFonts w:ascii="Arial" w:cs="Arial" w:eastAsia="Arial" w:hAnsi="Arial"/>
          <w:sz w:val="16"/>
          <w:szCs w:val="16"/>
          <w:color w:val="auto"/>
        </w:rPr>
        <w:t>. “Change of Control” shall mean any of the following:</w:t>
      </w:r>
    </w:p>
    <w:p>
      <w:pPr>
        <w:spacing w:after="0" w:line="225" w:lineRule="exact"/>
        <w:rPr>
          <w:sz w:val="20"/>
          <w:szCs w:val="20"/>
          <w:color w:val="auto"/>
        </w:rPr>
      </w:pPr>
    </w:p>
    <w:p>
      <w:pPr>
        <w:jc w:val="both"/>
        <w:ind w:left="660" w:firstLine="645"/>
        <w:spacing w:after="0" w:line="291" w:lineRule="auto"/>
        <w:tabs>
          <w:tab w:leader="none" w:pos="1786"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“person” (as such term is used in Section 13(d) and 14(d) of the Securities Exchange Act of 1934, as amended (the “Exchange Act”)), (other than a trustee or other fiduciary holding securities under an employee benefit plan of the Company or any affiliate or any corporation owned, directly or indirectly, by the stockholders of the Company in substantially the same proportions as their ownership of stock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473075</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both"/>
        <w:ind w:firstLine="645"/>
        <w:spacing w:after="0" w:line="255" w:lineRule="auto"/>
        <w:tabs>
          <w:tab w:leader="none" w:pos="12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a majority of the directors are Incumbent Directors. “Incumbent Directors” 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spacing w:after="0" w:line="193" w:lineRule="exact"/>
        <w:rPr>
          <w:rFonts w:ascii="Arial" w:cs="Arial" w:eastAsia="Arial" w:hAnsi="Arial"/>
          <w:sz w:val="18"/>
          <w:szCs w:val="18"/>
          <w:color w:val="auto"/>
        </w:rPr>
      </w:pPr>
    </w:p>
    <w:p>
      <w:pPr>
        <w:jc w:val="both"/>
        <w:ind w:firstLine="645"/>
        <w:spacing w:after="0" w:line="276"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172" w:lineRule="exact"/>
        <w:rPr>
          <w:rFonts w:ascii="Arial" w:cs="Arial" w:eastAsia="Arial" w:hAnsi="Arial"/>
          <w:sz w:val="17"/>
          <w:szCs w:val="17"/>
          <w:color w:val="auto"/>
        </w:rPr>
      </w:pPr>
    </w:p>
    <w:p>
      <w:pPr>
        <w:ind w:left="1080" w:hanging="435"/>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w:t>
      </w:r>
    </w:p>
    <w:p>
      <w:pPr>
        <w:spacing w:after="0" w:line="225" w:lineRule="exact"/>
        <w:rPr>
          <w:rFonts w:ascii="Arial" w:cs="Arial" w:eastAsia="Arial" w:hAnsi="Arial"/>
          <w:sz w:val="18"/>
          <w:szCs w:val="18"/>
          <w:color w:val="auto"/>
        </w:rPr>
      </w:pPr>
    </w:p>
    <w:p>
      <w:pPr>
        <w:ind w:right="20" w:firstLine="645"/>
        <w:spacing w:after="0" w:line="277" w:lineRule="auto"/>
        <w:tabs>
          <w:tab w:leader="none" w:pos="11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sale or disposition (other than a pledge or similar encumbrance) by the Company of all or substantially all of the assets of the Company other than to a subsidiary or subsidiaries of the Company.</w:t>
      </w:r>
    </w:p>
    <w:p>
      <w:pPr>
        <w:spacing w:after="0" w:line="1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i w:val="1"/>
          <w:iCs w:val="1"/>
          <w:color w:val="auto"/>
        </w:rPr>
        <w:t>Code</w:t>
      </w:r>
      <w:r>
        <w:rPr>
          <w:rFonts w:ascii="Arial" w:cs="Arial" w:eastAsia="Arial" w:hAnsi="Arial"/>
          <w:sz w:val="16"/>
          <w:szCs w:val="16"/>
          <w:color w:val="auto"/>
        </w:rPr>
        <w:t>. “Code” shall mean the Internal Revenue Code of 1986, as amended.</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i w:val="1"/>
          <w:iCs w:val="1"/>
          <w:color w:val="auto"/>
        </w:rPr>
        <w:t>Committee</w:t>
      </w:r>
      <w:r>
        <w:rPr>
          <w:rFonts w:ascii="Arial" w:cs="Arial" w:eastAsia="Arial" w:hAnsi="Arial"/>
          <w:sz w:val="16"/>
          <w:szCs w:val="16"/>
          <w:color w:val="auto"/>
        </w:rPr>
        <w:t>. “Committee” shall mean the Board or a subcommittee of the Board appointed as provided in Section 8.1.</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i w:val="1"/>
          <w:iCs w:val="1"/>
          <w:color w:val="auto"/>
        </w:rPr>
        <w:t>Common Stock</w:t>
      </w:r>
      <w:r>
        <w:rPr>
          <w:rFonts w:ascii="Arial" w:cs="Arial" w:eastAsia="Arial" w:hAnsi="Arial"/>
          <w:sz w:val="16"/>
          <w:szCs w:val="16"/>
          <w:color w:val="auto"/>
        </w:rPr>
        <w:t>. “Common Stock” shall mean the common stock of the Company, par value $0.01 per share.</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i w:val="1"/>
          <w:iCs w:val="1"/>
          <w:color w:val="auto"/>
        </w:rPr>
        <w:t>Company</w:t>
      </w:r>
      <w:r>
        <w:rPr>
          <w:rFonts w:ascii="Arial" w:cs="Arial" w:eastAsia="Arial" w:hAnsi="Arial"/>
          <w:sz w:val="16"/>
          <w:szCs w:val="16"/>
          <w:color w:val="auto"/>
        </w:rPr>
        <w:t>. “Company” shall mean Civeo Corporation, a Delaware corporation.</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i w:val="1"/>
          <w:iCs w:val="1"/>
          <w:color w:val="auto"/>
        </w:rPr>
        <w:t>Deferred Stock</w:t>
      </w:r>
      <w:r>
        <w:rPr>
          <w:rFonts w:ascii="Arial" w:cs="Arial" w:eastAsia="Arial" w:hAnsi="Arial"/>
          <w:sz w:val="16"/>
          <w:szCs w:val="16"/>
          <w:color w:val="auto"/>
        </w:rPr>
        <w:t>. “Deferred Stock” shall mean Common Stock awarded under Article VII of the Plan.</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i w:val="1"/>
          <w:iCs w:val="1"/>
          <w:color w:val="auto"/>
        </w:rPr>
        <w:t>Director</w:t>
      </w:r>
      <w:r>
        <w:rPr>
          <w:rFonts w:ascii="Arial" w:cs="Arial" w:eastAsia="Arial" w:hAnsi="Arial"/>
          <w:sz w:val="16"/>
          <w:szCs w:val="16"/>
          <w:color w:val="auto"/>
        </w:rPr>
        <w:t>. “Director” shall mean a member of the Board who is not an Employee.</w:t>
      </w:r>
    </w:p>
    <w:p>
      <w:pPr>
        <w:spacing w:after="0" w:line="200" w:lineRule="exact"/>
        <w:rPr>
          <w:sz w:val="20"/>
          <w:szCs w:val="20"/>
          <w:color w:val="auto"/>
        </w:rPr>
      </w:pPr>
    </w:p>
    <w:p>
      <w:pPr>
        <w:spacing w:after="0" w:line="26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9" w:name="page10"/>
    <w:bookmarkEnd w:id="9"/>
    <w:p>
      <w:pPr>
        <w:jc w:val="both"/>
        <w:ind w:firstLine="648"/>
        <w:spacing w:after="0" w:line="308"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i w:val="1"/>
          <w:iCs w:val="1"/>
          <w:color w:val="auto"/>
        </w:rPr>
        <w:t>Dividend Equivalent</w:t>
      </w:r>
      <w:r>
        <w:rPr>
          <w:rFonts w:ascii="Arial" w:cs="Arial" w:eastAsia="Arial" w:hAnsi="Arial"/>
          <w:sz w:val="17"/>
          <w:szCs w:val="17"/>
          <w:color w:val="auto"/>
        </w:rPr>
        <w:t>. “Dividend Equivalent” shall mean a right to receive the equivalent value (in cash or Common Stock) of dividends paid on Common Stock, awarded under Article VII of the Plan. Dividend Equivalents shall not be permitted on Options under the Plan.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Employee</w:t>
      </w:r>
      <w:r>
        <w:rPr>
          <w:rFonts w:ascii="Arial" w:cs="Arial" w:eastAsia="Arial" w:hAnsi="Arial"/>
          <w:sz w:val="18"/>
          <w:szCs w:val="18"/>
          <w:color w:val="auto"/>
        </w:rPr>
        <w:t>. “Employee” shall mean any officer or other employee (as defined in accordance with Section 3401(c) of the Code) of the Company or of any Affiliate or Subsidiary.</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i w:val="1"/>
          <w:iCs w:val="1"/>
          <w:color w:val="auto"/>
        </w:rPr>
        <w:t>Exchange Act</w:t>
      </w:r>
      <w:r>
        <w:rPr>
          <w:rFonts w:ascii="Arial" w:cs="Arial" w:eastAsia="Arial" w:hAnsi="Arial"/>
          <w:sz w:val="16"/>
          <w:szCs w:val="16"/>
          <w:color w:val="auto"/>
        </w:rPr>
        <w:t>. “Exchange Act” shall mean the Securities Exchange Act of 1934, as amended.</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i w:val="1"/>
          <w:iCs w:val="1"/>
          <w:color w:val="auto"/>
        </w:rPr>
        <w:t>Fair Market Value</w:t>
      </w:r>
      <w:r>
        <w:rPr>
          <w:rFonts w:ascii="Arial" w:cs="Arial" w:eastAsia="Arial" w:hAnsi="Arial"/>
          <w:sz w:val="16"/>
          <w:szCs w:val="16"/>
          <w:color w:val="auto"/>
        </w:rPr>
        <w:t>. “Fair Market Value” of a share of Common Stock as of a given date shall be (i) the closing price of a share of Common Stock on the principal exchange on which shares of Common Stock are then trading, if any (as reported in any reporting service approved by the Committee), on the trading day previous to such date, or if shares were not traded on the trading day previous to such date, then on the next preceding date on which a trade occurred, or (ii) if Common Stock is not traded on an exchange but is quoted on Nasdaq or a successor quotation system, the mean between the closing representative bid and asked prices for the Common Stock on the trading day previous to such date as reported by Nasdaq or such successor quotation system; or (iii) if Common Stock is not publicly traded on an exchange and not quoted on Nasdaq or a successor quotation system, the Fair Market Value of a share of Common Stock as established by the Committee acting in good faith. Notwithstanding the foregoing, the Fair Market Value of a share of Common Stock on the date of an initial public offering of Common Stock shall be the offering price under such initial public offering.</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i w:val="1"/>
          <w:iCs w:val="1"/>
          <w:color w:val="auto"/>
        </w:rPr>
        <w:t>Grantee</w:t>
      </w:r>
      <w:r>
        <w:rPr>
          <w:rFonts w:ascii="Arial" w:cs="Arial" w:eastAsia="Arial" w:hAnsi="Arial"/>
          <w:sz w:val="18"/>
          <w:szCs w:val="18"/>
          <w:color w:val="auto"/>
        </w:rPr>
        <w:t>. “Grantee” shall mean an Employee, Director or consultant granted a Performance Award, Dividend Equivalent, or Stock Payment, or an award of Deferred Stock, under the Plan.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“Non-Qualified Stock Option” shall mean an Option which is not designated as an Incentive Stock Option by the Committee.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i w:val="1"/>
          <w:iCs w:val="1"/>
          <w:color w:val="auto"/>
        </w:rPr>
        <w:t>Option</w:t>
      </w:r>
      <w:r>
        <w:rPr>
          <w:rFonts w:ascii="Arial" w:cs="Arial" w:eastAsia="Arial" w:hAnsi="Arial"/>
          <w:sz w:val="18"/>
          <w:szCs w:val="18"/>
          <w:color w:val="auto"/>
        </w:rPr>
        <w:t>. “Option” shall mean a stock option granted under Article III of the Plan). An Option granted under the Plan shall, as determined by the Committee, be either a Non-Qualified Stock Option or an Incentive Stock Option; provided, however, that Options granted to Employees, Directors and consultants of an Affiliate that is not a Subsidiary shall be Non-Qualified Stock Options.</w:t>
      </w:r>
    </w:p>
    <w:p>
      <w:pPr>
        <w:spacing w:after="0" w:line="18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i w:val="1"/>
          <w:iCs w:val="1"/>
          <w:color w:val="auto"/>
        </w:rPr>
        <w:t>Optionee</w:t>
      </w:r>
      <w:r>
        <w:rPr>
          <w:rFonts w:ascii="Arial" w:cs="Arial" w:eastAsia="Arial" w:hAnsi="Arial"/>
          <w:sz w:val="16"/>
          <w:szCs w:val="16"/>
          <w:color w:val="auto"/>
        </w:rPr>
        <w:t>. “Optionee” shall mean an Employee, Director or consultant granted an Option under the Plan.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i w:val="1"/>
          <w:iCs w:val="1"/>
          <w:color w:val="auto"/>
        </w:rPr>
        <w:t>Performance Award</w:t>
      </w:r>
      <w:r>
        <w:rPr>
          <w:rFonts w:ascii="Arial" w:cs="Arial" w:eastAsia="Arial" w:hAnsi="Arial"/>
          <w:sz w:val="18"/>
          <w:szCs w:val="18"/>
          <w:color w:val="auto"/>
        </w:rPr>
        <w:t>. “Performance Award” shall mean a performance or incentive award, other than an Option, Restricted Stock, Deferred Stock or Stock Payments, that is paid in cash, Common Stock or a combination of both, awarded under Article VII of the Plan.</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1.20 </w:t>
      </w:r>
      <w:r>
        <w:rPr>
          <w:rFonts w:ascii="Arial" w:cs="Arial" w:eastAsia="Arial" w:hAnsi="Arial"/>
          <w:sz w:val="16"/>
          <w:szCs w:val="16"/>
          <w:i w:val="1"/>
          <w:iCs w:val="1"/>
          <w:color w:val="auto"/>
        </w:rPr>
        <w:t>Performance Objectives</w:t>
      </w:r>
      <w:r>
        <w:rPr>
          <w:rFonts w:ascii="Arial" w:cs="Arial" w:eastAsia="Arial" w:hAnsi="Arial"/>
          <w:sz w:val="16"/>
          <w:szCs w:val="16"/>
          <w:color w:val="auto"/>
        </w:rPr>
        <w:t>. “Performance Objectives” means the objectives, if any, established by the Committee that are to be achieved with respect to an award granted under the Plan, which may be described in terms of Company-wide objectives, in terms of objectives that are related to performance of a division, subsidiary, department or function within the Company or an Affiliate in which the Participant receiving the award is employed or in individual or other terms, and which will relate to the period of time determined by the Committee. The Performance Objectives intended to qualify under Section 162(m) of the Code shall be with respect to one or more of the following: (i) net income; (ii) pre-tax income; (iii) operating income; (iv) cash flow;</w:t>
      </w:r>
    </w:p>
    <w:p>
      <w:pPr>
        <w:spacing w:after="0" w:line="2" w:lineRule="exact"/>
        <w:rPr>
          <w:sz w:val="20"/>
          <w:szCs w:val="20"/>
          <w:color w:val="auto"/>
        </w:rPr>
      </w:pPr>
    </w:p>
    <w:p>
      <w:pPr>
        <w:jc w:val="both"/>
        <w:ind w:firstLine="8"/>
        <w:spacing w:after="0" w:line="252" w:lineRule="auto"/>
        <w:tabs>
          <w:tab w:leader="none" w:pos="2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per share; (vi) earnings before any one or more of the following items: interest, taxes, depreciation or amortization; (vii) return on equity; (viii) return on invested capital or assets; (ix) cost reductions or savings; (x) funds from operations and (xi) appreciation in the fair market value of the Company’s common stock. Which objectives to use with respect to an award, the weighting of the objectives if more than one is used, and whether the objective is to be measured against a Company-established budget or target, an index or a peer group of companies, shall be determined by the Committee in its discretion at the time of grant of the award. A Performance Objective need not be based on an increase or a positive result and may include, for example, maintaining the status quo or limiting economic losses.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ind w:left="660"/>
        <w:spacing w:after="0"/>
        <w:tabs>
          <w:tab w:leader="none" w:pos="11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i w:val="1"/>
          <w:iCs w:val="1"/>
          <w:color w:val="auto"/>
        </w:rPr>
        <w:t>Plan</w:t>
      </w:r>
      <w:r>
        <w:rPr>
          <w:rFonts w:ascii="Arial" w:cs="Arial" w:eastAsia="Arial" w:hAnsi="Arial"/>
          <w:sz w:val="16"/>
          <w:szCs w:val="16"/>
          <w:color w:val="auto"/>
        </w:rPr>
        <w:t>. “Plan” shall mean the 2014 Equity Participation Plan of Civeo Corporation.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QDRO</w:t>
      </w:r>
      <w:r>
        <w:rPr>
          <w:rFonts w:ascii="Arial" w:cs="Arial" w:eastAsia="Arial" w:hAnsi="Arial"/>
          <w:sz w:val="18"/>
          <w:szCs w:val="18"/>
          <w:color w:val="auto"/>
        </w:rPr>
        <w:t>. “QDRO” shall mean a qualified domestic relations order as defined by the Code or Title I of the Employee Retirement Income Security Act of 1974, as amended, or the rules thereunder.</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i w:val="1"/>
          <w:iCs w:val="1"/>
          <w:color w:val="auto"/>
        </w:rPr>
        <w:t>Restricted Stock</w:t>
      </w:r>
      <w:r>
        <w:rPr>
          <w:rFonts w:ascii="Arial" w:cs="Arial" w:eastAsia="Arial" w:hAnsi="Arial"/>
          <w:sz w:val="16"/>
          <w:szCs w:val="16"/>
          <w:color w:val="auto"/>
        </w:rPr>
        <w:t>. “Restricted Stock” shall mean Common Stock awarded under Article VI of the Plan.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Restricted Stockholder</w:t>
      </w:r>
      <w:r>
        <w:rPr>
          <w:rFonts w:ascii="Arial" w:cs="Arial" w:eastAsia="Arial" w:hAnsi="Arial"/>
          <w:sz w:val="18"/>
          <w:szCs w:val="18"/>
          <w:color w:val="auto"/>
        </w:rPr>
        <w:t>. “Restricted Stockholder” shall mean an Employee, Director or consultant granted an award of Restricted Stock under Article VI of the Plan.</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i w:val="1"/>
          <w:iCs w:val="1"/>
          <w:color w:val="auto"/>
        </w:rPr>
        <w:t>Rule 16b-3</w:t>
      </w:r>
      <w:r>
        <w:rPr>
          <w:rFonts w:ascii="Arial" w:cs="Arial" w:eastAsia="Arial" w:hAnsi="Arial"/>
          <w:sz w:val="16"/>
          <w:szCs w:val="16"/>
          <w:color w:val="auto"/>
        </w:rPr>
        <w:t>. “Rule 16b-3” shall mean that certain Rule 16b-3 under the Exchange Act, as such Rule may be amended from time to time.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i w:val="1"/>
          <w:iCs w:val="1"/>
          <w:color w:val="auto"/>
        </w:rPr>
        <w:t>Stock Payment</w:t>
      </w:r>
      <w:r>
        <w:rPr>
          <w:rFonts w:ascii="Arial" w:cs="Arial" w:eastAsia="Arial" w:hAnsi="Arial"/>
          <w:sz w:val="18"/>
          <w:szCs w:val="18"/>
          <w:color w:val="auto"/>
        </w:rPr>
        <w:t>. “Stock Payment” shall mean (i) a payment in the form of shares of Common Stock, or (ii) an option or other right to purchase shares of Common Stock, as part of a deferred compensation arrangement, made in lieu of all or any portion of the compensation, including without limitation, salary, bonuses and commissions, that would otherwise become payable to an Employee, Director or consultant in cash, awarded under Article VII of the Plan.</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i w:val="1"/>
          <w:iCs w:val="1"/>
          <w:color w:val="auto"/>
        </w:rPr>
        <w:t>Subsidiary</w:t>
      </w:r>
      <w:r>
        <w:rPr>
          <w:rFonts w:ascii="Arial" w:cs="Arial" w:eastAsia="Arial" w:hAnsi="Arial"/>
          <w:sz w:val="18"/>
          <w:szCs w:val="18"/>
          <w:color w:val="auto"/>
        </w:rPr>
        <w:t>. “Subsidiary” shall mean any corporation in an unbroken chain of corporations beginning with the Company if each of the corporations other than the last corporation in the unbroken chain then owns stock possessing 50 percent or more of the total combined voting power of all classes of stock in one of the other corporations in such chain.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SUBJECT TO PLAN</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i w:val="1"/>
          <w:iCs w:val="1"/>
          <w:color w:val="auto"/>
        </w:rPr>
        <w:t>Shares Subject to Plan</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57" w:lineRule="auto"/>
        <w:tabs>
          <w:tab w:leader="none" w:pos="17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shares of stock subject to Options, awards of Restricted Stock, Performance Awards, Dividend Equivalents, awards of Deferred Stock, or Stock Payments shall be Common Stock. The aggregate number of such shares which may be issued upon exercise of such options or rights or upon any such awards under the Plan shall not exceed four million (4,000,000), subject to the requirements of Section 9.4. The shares of Common Stock issuable upon exercise of such options or rights or upon any such awards may be either previously authorized but unissued shares or treasury shares.</w:t>
      </w:r>
    </w:p>
    <w:p>
      <w:pPr>
        <w:spacing w:after="0" w:line="188" w:lineRule="exact"/>
        <w:rPr>
          <w:rFonts w:ascii="Arial" w:cs="Arial" w:eastAsia="Arial" w:hAnsi="Arial"/>
          <w:sz w:val="18"/>
          <w:szCs w:val="18"/>
          <w:color w:val="auto"/>
        </w:rPr>
      </w:pPr>
    </w:p>
    <w:p>
      <w:pPr>
        <w:jc w:val="both"/>
        <w:ind w:left="660" w:firstLine="645"/>
        <w:spacing w:after="0" w:line="264" w:lineRule="auto"/>
        <w:tabs>
          <w:tab w:leader="none" w:pos="177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maximum number of shares which may be subject to Options, Restricted Stock or Deferred Stock granted under the Plan to any individual in any calendar year shall not exceed the Award Limit. The maximum value of Performance Awards granted under the Plan to any individual in any calendar year shall not exceed $4,000,000.</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Add-back Restricted Stock Performance Awards, Dividend Equivalents, Awards of Deferred Stock or Stock Payments</w:t>
      </w:r>
      <w:r>
        <w:rPr>
          <w:rFonts w:ascii="Arial" w:cs="Arial" w:eastAsia="Arial" w:hAnsi="Arial"/>
          <w:sz w:val="16"/>
          <w:szCs w:val="16"/>
          <w:color w:val="auto"/>
        </w:rPr>
        <w:t>. If any Restricted Stock Performance Awards, Dividend Equivalents, Awards of Deferred Stock or Stock Payments, or other right to acquire shares of Common Stock under any other award under the Plan, expires or is forfeited and canceled without having been fully vested, the number of shares subject to such Restricted Stock Performance Awards, Dividend Equivalents, Awards of Deferred Stock or Stock Payments or other right but as to which such Restricted Stock Performance Awards, Dividend Equivalents, Awards of Deferred Stock or Stock Payments or other right was not vested prior to its expiration or cancellation may again be optioned, granted or awarded hereunder, subject to the limitations of Section 2.1. Notwithstanding the foregoing, shares of Common Stock subject to an award under the Plan shall not again be made available for issuance as awards under the Plan if such shares are (a) tendered in payment for an award,</w:t>
      </w:r>
    </w:p>
    <w:p>
      <w:pPr>
        <w:spacing w:after="0" w:line="3"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delivered or withheld for payment of taxes, or (c) not issued or delivered as a result of a net settlement process.</w:t>
      </w:r>
    </w:p>
    <w:p>
      <w:pPr>
        <w:spacing w:after="0" w:line="210" w:lineRule="exact"/>
        <w:rPr>
          <w:rFonts w:ascii="Arial" w:cs="Arial" w:eastAsia="Arial" w:hAnsi="Arial"/>
          <w:sz w:val="18"/>
          <w:szCs w:val="18"/>
          <w:color w:val="auto"/>
        </w:rPr>
      </w:pPr>
    </w:p>
    <w:p>
      <w:pPr>
        <w:ind w:left="5220"/>
        <w:spacing w:after="0"/>
        <w:rPr>
          <w:rFonts w:ascii="Arial" w:cs="Arial" w:eastAsia="Arial" w:hAnsi="Arial"/>
          <w:sz w:val="18"/>
          <w:szCs w:val="18"/>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GRANTING OF OPTIONS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Eligibility</w:t>
      </w:r>
      <w:r>
        <w:rPr>
          <w:rFonts w:ascii="Arial" w:cs="Arial" w:eastAsia="Arial" w:hAnsi="Arial"/>
          <w:sz w:val="16"/>
          <w:szCs w:val="16"/>
          <w:color w:val="auto"/>
        </w:rPr>
        <w:t>. Any Employee, Director or consultant selected by the Committee pursuant to Section 3.4(a)(i) shall be eligible to be granted 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i w:val="1"/>
          <w:iCs w:val="1"/>
          <w:color w:val="auto"/>
        </w:rPr>
        <w:t>Disqualification for Stock Ownership</w:t>
      </w:r>
      <w:r>
        <w:rPr>
          <w:rFonts w:ascii="Arial" w:cs="Arial" w:eastAsia="Arial" w:hAnsi="Arial"/>
          <w:sz w:val="17"/>
          <w:szCs w:val="17"/>
          <w:color w:val="auto"/>
        </w:rPr>
        <w:t>. No person may be granted an Incentive Stock Option under the Plan if such person, at the time the Incentive Stock Option is granted, owns stock possessing more than ten percent (10%) of the total combined voting power of all classes of stock of the Company or any then existing Subsidiary unless such Incentive Stock Option conforms to the applicable provisions of Section 422 of the Code.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64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Qualification of Incentive Stock Options</w:t>
      </w:r>
      <w:r>
        <w:rPr>
          <w:rFonts w:ascii="Arial" w:cs="Arial" w:eastAsia="Arial" w:hAnsi="Arial"/>
          <w:sz w:val="18"/>
          <w:szCs w:val="18"/>
          <w:color w:val="auto"/>
        </w:rPr>
        <w:t>. No Incentive Stock Option shall be granted unless such Option, when granted, qualifies as an “incentive stock option” under Section 422 of the Code. No Incentive Stock Option shall be granted to any person who is not an employee of the Company or a Subsidiary.</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Granting of Options</w:t>
      </w:r>
    </w:p>
    <w:p>
      <w:pPr>
        <w:spacing w:after="0" w:line="225" w:lineRule="exact"/>
        <w:rPr>
          <w:sz w:val="20"/>
          <w:szCs w:val="20"/>
          <w:color w:val="auto"/>
        </w:rPr>
      </w:pPr>
    </w:p>
    <w:p>
      <w:pPr>
        <w:ind w:left="1720" w:hanging="415"/>
        <w:spacing w:after="0"/>
        <w:tabs>
          <w:tab w:leader="none" w:pos="1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Committee shall from time to time, in its absolute discretion, and subject to applicable limitations of the Plan:</w:t>
      </w:r>
    </w:p>
    <w:p>
      <w:pPr>
        <w:spacing w:after="0" w:line="225" w:lineRule="exact"/>
        <w:rPr>
          <w:rFonts w:ascii="Arial" w:cs="Arial" w:eastAsia="Arial" w:hAnsi="Arial"/>
          <w:sz w:val="18"/>
          <w:szCs w:val="18"/>
          <w:color w:val="auto"/>
        </w:rPr>
      </w:pPr>
    </w:p>
    <w:p>
      <w:pPr>
        <w:ind w:left="1300" w:right="20" w:firstLine="653"/>
        <w:spacing w:after="0" w:line="277" w:lineRule="auto"/>
        <w:tabs>
          <w:tab w:leader="none" w:pos="2499" w:val="left"/>
        </w:tabs>
        <w:numPr>
          <w:ilvl w:val="1"/>
          <w:numId w:val="15"/>
        </w:numPr>
        <w:rPr>
          <w:rFonts w:ascii="Arial" w:cs="Arial" w:eastAsia="Arial" w:hAnsi="Arial"/>
          <w:sz w:val="18"/>
          <w:szCs w:val="18"/>
          <w:color w:val="auto"/>
        </w:rPr>
      </w:pPr>
      <w:r>
        <w:rPr>
          <w:rFonts w:ascii="Arial" w:cs="Arial" w:eastAsia="Arial" w:hAnsi="Arial"/>
          <w:sz w:val="18"/>
          <w:szCs w:val="18"/>
          <w:color w:val="auto"/>
        </w:rPr>
        <w:t>Select from among the Employees, Directors or consultants (including Employees, Directors or consultants who have previously received Options or other awards under the Plan) such of them as in its opinion should be granted Options;</w:t>
      </w:r>
    </w:p>
    <w:p>
      <w:pPr>
        <w:spacing w:after="0" w:line="170" w:lineRule="exact"/>
        <w:rPr>
          <w:rFonts w:ascii="Arial" w:cs="Arial" w:eastAsia="Arial" w:hAnsi="Arial"/>
          <w:sz w:val="18"/>
          <w:szCs w:val="18"/>
          <w:color w:val="auto"/>
        </w:rPr>
      </w:pPr>
    </w:p>
    <w:p>
      <w:pPr>
        <w:ind w:left="1300" w:firstLine="653"/>
        <w:spacing w:after="0" w:line="277" w:lineRule="auto"/>
        <w:tabs>
          <w:tab w:leader="none" w:pos="23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Subject to the Award Limit, determine the number of shares to be subject to such Options granted to the selected Employees, Directors or consultants;</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Determine whether such Options are to be Incentive Stock Options or Non-Qualified Stock Options; and</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Determine the terms and conditions of such Options, consistent with the Plan.</w:t>
      </w:r>
    </w:p>
    <w:p>
      <w:pPr>
        <w:spacing w:after="0" w:line="225" w:lineRule="exact"/>
        <w:rPr>
          <w:rFonts w:ascii="Arial" w:cs="Arial" w:eastAsia="Arial" w:hAnsi="Arial"/>
          <w:sz w:val="18"/>
          <w:szCs w:val="18"/>
          <w:color w:val="auto"/>
        </w:rPr>
      </w:pPr>
    </w:p>
    <w:p>
      <w:pPr>
        <w:ind w:left="660" w:firstLine="645"/>
        <w:spacing w:after="0" w:line="277" w:lineRule="auto"/>
        <w:tabs>
          <w:tab w:leader="none" w:pos="17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selection of an Employee, Director or consultant to be granted an Option, the Committee shall instruct the Secretary of the Company to issue the Option and may impose such conditions on the grant of the Option as it deems appropriate.</w:t>
      </w:r>
    </w:p>
    <w:p>
      <w:pPr>
        <w:spacing w:after="0" w:line="170" w:lineRule="exact"/>
        <w:rPr>
          <w:rFonts w:ascii="Arial" w:cs="Arial" w:eastAsia="Arial" w:hAnsi="Arial"/>
          <w:sz w:val="18"/>
          <w:szCs w:val="18"/>
          <w:color w:val="auto"/>
        </w:rPr>
      </w:pPr>
    </w:p>
    <w:p>
      <w:pPr>
        <w:ind w:left="660" w:firstLine="645"/>
        <w:spacing w:after="0" w:line="277" w:lineRule="auto"/>
        <w:tabs>
          <w:tab w:leader="none" w:pos="17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Incentive Stock Option granted under the Plan may be modified by the Committee to disqualify such option from treatment as an “incentive stock option” under Section 422 of the Code.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TERMS OF OPTIONS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i w:val="1"/>
          <w:iCs w:val="1"/>
          <w:color w:val="auto"/>
        </w:rPr>
        <w:t>Option Agreement</w:t>
      </w:r>
      <w:r>
        <w:rPr>
          <w:rFonts w:ascii="Arial" w:cs="Arial" w:eastAsia="Arial" w:hAnsi="Arial"/>
          <w:sz w:val="17"/>
          <w:szCs w:val="17"/>
          <w:color w:val="auto"/>
        </w:rPr>
        <w:t>. Each Option shall be evidenced by a Stock Option Agreement, which shall be executed by the Optionee and an authorized officer of the Company and which shall contain such terms and conditions as the Committee shall determine, consistent with the Plan.</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Option Price</w:t>
      </w:r>
      <w:r>
        <w:rPr>
          <w:rFonts w:ascii="Arial" w:cs="Arial" w:eastAsia="Arial" w:hAnsi="Arial"/>
          <w:sz w:val="18"/>
          <w:szCs w:val="18"/>
          <w:color w:val="auto"/>
        </w:rPr>
        <w:t>. The price per share of the shares subject to each Option shall be set by the Committee; provided, however, that, except as provided in Section 8.1 with respect to assumed options, such price shall not be less than 100% of the Fair Market Value of a share of Common Stock on the date the Option is granted.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Option Term</w:t>
      </w:r>
      <w:r>
        <w:rPr>
          <w:rFonts w:ascii="Arial" w:cs="Arial" w:eastAsia="Arial" w:hAnsi="Arial"/>
          <w:sz w:val="18"/>
          <w:szCs w:val="18"/>
          <w:color w:val="auto"/>
        </w:rPr>
        <w:t>. The term of an Option shall be set by the Committee in its discretion; provided, however, that in the case of Incentive Stock Options, the term shall not be more than ten (10) years from the date the Incentive Stock Option is granted, or five (5) years from such date if the Incentive Stock Option is granted to an individual then owning (within the meaning of Section 424(d) of the Code) more than 10% of the total combined voting power of all classes of stock of the Company or any Subsidiary).</w:t>
      </w:r>
    </w:p>
    <w:p>
      <w:pPr>
        <w:spacing w:after="0" w:line="1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i w:val="1"/>
          <w:iCs w:val="1"/>
          <w:color w:val="auto"/>
        </w:rPr>
        <w:t>Option Vesting</w:t>
      </w:r>
    </w:p>
    <w:p>
      <w:pPr>
        <w:spacing w:after="0" w:line="225" w:lineRule="exact"/>
        <w:rPr>
          <w:sz w:val="20"/>
          <w:szCs w:val="20"/>
          <w:color w:val="auto"/>
        </w:rPr>
      </w:pPr>
    </w:p>
    <w:p>
      <w:pPr>
        <w:jc w:val="both"/>
        <w:ind w:left="660" w:firstLine="645"/>
        <w:spacing w:after="0" w:line="259" w:lineRule="auto"/>
        <w:tabs>
          <w:tab w:leader="none" w:pos="17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to whatever terms and conditions it selects, accelerate the period during which an Option vests.</w:t>
      </w:r>
    </w:p>
    <w:p>
      <w:pPr>
        <w:spacing w:after="0" w:line="186" w:lineRule="exact"/>
        <w:rPr>
          <w:rFonts w:ascii="Arial" w:cs="Arial" w:eastAsia="Arial" w:hAnsi="Arial"/>
          <w:sz w:val="18"/>
          <w:szCs w:val="18"/>
          <w:color w:val="auto"/>
        </w:rPr>
      </w:pPr>
    </w:p>
    <w:p>
      <w:pPr>
        <w:jc w:val="both"/>
        <w:ind w:left="660" w:firstLine="645"/>
        <w:spacing w:after="0" w:line="273" w:lineRule="auto"/>
        <w:tabs>
          <w:tab w:leader="none" w:pos="1797"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the extent that the aggregate Fair Market Value of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parent or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4.4(b), the Fair Market Value of stock shall be determined as of the time the Option with respect to such stock is granted.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Restrictions on Repricing of Options</w:t>
      </w:r>
      <w:r>
        <w:rPr>
          <w:rFonts w:ascii="Arial" w:cs="Arial" w:eastAsia="Arial" w:hAnsi="Arial"/>
          <w:sz w:val="18"/>
          <w:szCs w:val="18"/>
          <w:color w:val="auto"/>
        </w:rPr>
        <w:t>. Except as provided in Section 9.3, the Committee may not, without approval of the Company’s stockholders, amend any outstanding Stock Option Agreement to lower the Option price of an underwater Option or cancel an outstanding underwater Option in exchange for cash, another award or an Option having a lower price.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EXERCISE OF OPTIONS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Partial Exercise</w:t>
      </w:r>
      <w:r>
        <w:rPr>
          <w:rFonts w:ascii="Arial" w:cs="Arial" w:eastAsia="Arial" w:hAnsi="Arial"/>
          <w:sz w:val="17"/>
          <w:szCs w:val="17"/>
          <w:color w:val="auto"/>
        </w:rPr>
        <w:t>. An exercisable Option may be exercised in whole or in part; however, an Option shall not be exercisable with respect to fractional shares and the Committee may require that, by the terms of the Option, a partial exercise be with respect to a minimum number of shares.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Manner of Exercise</w:t>
      </w:r>
      <w:r>
        <w:rPr>
          <w:rFonts w:ascii="Arial" w:cs="Arial" w:eastAsia="Arial" w:hAnsi="Arial"/>
          <w:sz w:val="18"/>
          <w:szCs w:val="18"/>
          <w:color w:val="auto"/>
        </w:rPr>
        <w:t>. All or a portion of an exercisable Option shall be deemed exercised upon delivery of all of the following to the Secretary of the Company or his office:</w:t>
      </w:r>
    </w:p>
    <w:p>
      <w:pPr>
        <w:spacing w:after="0" w:line="170" w:lineRule="exact"/>
        <w:rPr>
          <w:sz w:val="20"/>
          <w:szCs w:val="20"/>
          <w:color w:val="auto"/>
        </w:rPr>
      </w:pPr>
    </w:p>
    <w:p>
      <w:pPr>
        <w:ind w:left="660" w:firstLine="645"/>
        <w:spacing w:after="0" w:line="277" w:lineRule="auto"/>
        <w:tabs>
          <w:tab w:leader="none" w:pos="15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written notice complying with the applicable rules established by the Committee stating that the Option, or a portion thereof, is exercised. The notice shall be signed by the Optionee or other person then entitled to exercise the Option or such portion;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jc w:val="both"/>
        <w:ind w:left="660" w:firstLine="645"/>
        <w:spacing w:after="0" w:line="279" w:lineRule="auto"/>
        <w:tabs>
          <w:tab w:leader="none" w:pos="1783"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Such representations and documents as the Committee,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issuing stop-transfer notices to agents and registrars;</w:t>
      </w:r>
    </w:p>
    <w:p>
      <w:pPr>
        <w:spacing w:after="0" w:line="171" w:lineRule="exact"/>
        <w:rPr>
          <w:rFonts w:ascii="Arial" w:cs="Arial" w:eastAsia="Arial" w:hAnsi="Arial"/>
          <w:sz w:val="17"/>
          <w:szCs w:val="17"/>
          <w:color w:val="auto"/>
        </w:rPr>
      </w:pPr>
    </w:p>
    <w:p>
      <w:pPr>
        <w:ind w:left="660" w:firstLine="645"/>
        <w:spacing w:after="0" w:line="277" w:lineRule="auto"/>
        <w:tabs>
          <w:tab w:leader="none" w:pos="17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9.1 by any person or persons other than the Optionee, appropriate proof of the right of such person or persons to exercise the Option; and</w:t>
      </w:r>
    </w:p>
    <w:p>
      <w:pPr>
        <w:spacing w:after="0" w:line="170" w:lineRule="exact"/>
        <w:rPr>
          <w:rFonts w:ascii="Arial" w:cs="Arial" w:eastAsia="Arial" w:hAnsi="Arial"/>
          <w:sz w:val="18"/>
          <w:szCs w:val="18"/>
          <w:color w:val="auto"/>
        </w:rPr>
      </w:pPr>
    </w:p>
    <w:p>
      <w:pPr>
        <w:jc w:val="both"/>
        <w:ind w:left="660" w:firstLine="645"/>
        <w:spacing w:after="0" w:line="253" w:lineRule="auto"/>
        <w:tabs>
          <w:tab w:leader="none" w:pos="17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Full cash payment to the Secretary of the Company for the shares with respect to which the Option, or portion thereof, is exercised. However, the Committee may in its discretion or provide in the grant agreement (i) that payment may be made, in whole or in part, through the delivery of shares of Common Stock owned by the Optionee, duly endorsed for transfer to the Company, with a Fair Market Value on the date of delivery not in excess of the aggregate exercise price of the Option or exercised portion thereof and subject to such other limitations as the Committee may impose thereon, (ii) allow payment, in whole or in part, through the surrender of shares of Common Stock then issuable upon exercise of the Option having a Fair Market Value on the date of Option exercise equal to the aggregate exercise price of the Option or exercised portion thereof, (iii) allow payment, in whole or in part, through the delivery of property of any kind which constitutes good and valuable consideration; (iv) allow payment through a cashless-broker procedure approved by the Company, or (v) allow payment through any combination of the consideration provided above.</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Conditions to Issuance of Stock Certificates</w:t>
      </w:r>
      <w:r>
        <w:rPr>
          <w:rFonts w:ascii="Arial" w:cs="Arial" w:eastAsia="Arial" w:hAnsi="Arial"/>
          <w:sz w:val="18"/>
          <w:szCs w:val="18"/>
          <w:color w:val="auto"/>
        </w:rPr>
        <w:t>. The Company shall not be required to issue or deliver any certificate or certificates for shares of stock purchased upon the exercise of any Option or portion thereof prior to fulfillment of all of the following conditions:</w:t>
      </w:r>
    </w:p>
    <w:p>
      <w:pPr>
        <w:spacing w:after="0" w:line="170" w:lineRule="exact"/>
        <w:rPr>
          <w:sz w:val="20"/>
          <w:szCs w:val="20"/>
          <w:color w:val="auto"/>
        </w:rPr>
      </w:pPr>
    </w:p>
    <w:p>
      <w:pPr>
        <w:ind w:left="1720" w:hanging="415"/>
        <w:spacing w:after="0"/>
        <w:tabs>
          <w:tab w:leader="none" w:pos="1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such class of stock is then listed;</w:t>
      </w:r>
    </w:p>
    <w:p>
      <w:pPr>
        <w:spacing w:after="0" w:line="225" w:lineRule="exact"/>
        <w:rPr>
          <w:rFonts w:ascii="Arial" w:cs="Arial" w:eastAsia="Arial" w:hAnsi="Arial"/>
          <w:sz w:val="18"/>
          <w:szCs w:val="18"/>
          <w:color w:val="auto"/>
        </w:rPr>
      </w:pPr>
    </w:p>
    <w:p>
      <w:pPr>
        <w:jc w:val="both"/>
        <w:ind w:left="660" w:right="20" w:firstLine="645"/>
        <w:spacing w:after="0" w:line="264" w:lineRule="auto"/>
        <w:tabs>
          <w:tab w:leader="none" w:pos="18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w:t>
      </w:r>
    </w:p>
    <w:p>
      <w:pPr>
        <w:spacing w:after="0" w:line="181" w:lineRule="exact"/>
        <w:rPr>
          <w:rFonts w:ascii="Arial" w:cs="Arial" w:eastAsia="Arial" w:hAnsi="Arial"/>
          <w:sz w:val="18"/>
          <w:szCs w:val="18"/>
          <w:color w:val="auto"/>
        </w:rPr>
      </w:pPr>
    </w:p>
    <w:p>
      <w:pPr>
        <w:ind w:left="660" w:firstLine="645"/>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which the Committee shall, in its absolute discretion, determine to be necessary or advisable;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ind w:left="660" w:firstLine="645"/>
        <w:spacing w:after="0" w:line="277" w:lineRule="auto"/>
        <w:tabs>
          <w:tab w:leader="none" w:pos="17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Option as the Committee may establish from time to time for reasons of administrative convenience; and</w:t>
      </w:r>
    </w:p>
    <w:p>
      <w:pPr>
        <w:spacing w:after="0" w:line="170" w:lineRule="exact"/>
        <w:rPr>
          <w:rFonts w:ascii="Arial" w:cs="Arial" w:eastAsia="Arial" w:hAnsi="Arial"/>
          <w:sz w:val="18"/>
          <w:szCs w:val="18"/>
          <w:color w:val="auto"/>
        </w:rPr>
      </w:pPr>
    </w:p>
    <w:p>
      <w:pPr>
        <w:ind w:left="1720" w:hanging="415"/>
        <w:spacing w:after="0"/>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receipt by the Company of full payment for such shares, including payment of any applicable withholding tax.</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Rights as Stockholders</w:t>
      </w:r>
      <w:r>
        <w:rPr>
          <w:rFonts w:ascii="Arial" w:cs="Arial" w:eastAsia="Arial" w:hAnsi="Arial"/>
          <w:sz w:val="18"/>
          <w:szCs w:val="18"/>
          <w:color w:val="auto"/>
        </w:rPr>
        <w:t>.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i w:val="1"/>
          <w:iCs w:val="1"/>
          <w:color w:val="auto"/>
        </w:rPr>
        <w:t>Ownership and Transfer Restrictions</w:t>
      </w:r>
      <w:r>
        <w:rPr>
          <w:rFonts w:ascii="Arial" w:cs="Arial" w:eastAsia="Arial" w:hAnsi="Arial"/>
          <w:sz w:val="17"/>
          <w:szCs w:val="17"/>
          <w:color w:val="auto"/>
        </w:rPr>
        <w:t>. The Committee, in its absolute discretion, may impose such restrictions on the ownership and transferability of the shares purchasable upon the exercise of an Option as it deems appropriate. Any such restriction shall be set forth in the respective Stock Option Agreement and may be referred to on the certificates evidencing such shares. The Committee may require the Optionee to give the Company prompt notice of any disposition of shares of Common Stock acquired by exercise of an Incentive Stock Option within (i) two years from the date of granting such Option to such Optionee or (ii) one year after the transfer of such shares to such Optionee. The Committee may direct that the certificates evidencing shares acquired by exercise of an Option refer to such requirement to give prompt notice of disposition.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AWARD OF RESTRICTED STOCK</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i w:val="1"/>
          <w:iCs w:val="1"/>
          <w:color w:val="auto"/>
        </w:rPr>
        <w:t>Award of Restricted Stock</w:t>
      </w:r>
    </w:p>
    <w:p>
      <w:pPr>
        <w:spacing w:after="0" w:line="225" w:lineRule="exact"/>
        <w:rPr>
          <w:sz w:val="20"/>
          <w:szCs w:val="20"/>
          <w:color w:val="auto"/>
        </w:rPr>
      </w:pPr>
    </w:p>
    <w:p>
      <w:pPr>
        <w:ind w:left="1720" w:hanging="415"/>
        <w:spacing w:after="0"/>
        <w:tabs>
          <w:tab w:leader="none" w:pos="1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Committee shall from time to time, in its absolute discretion:</w:t>
      </w:r>
    </w:p>
    <w:p>
      <w:pPr>
        <w:spacing w:after="0" w:line="225" w:lineRule="exact"/>
        <w:rPr>
          <w:rFonts w:ascii="Arial" w:cs="Arial" w:eastAsia="Arial" w:hAnsi="Arial"/>
          <w:sz w:val="18"/>
          <w:szCs w:val="18"/>
          <w:color w:val="auto"/>
        </w:rPr>
      </w:pPr>
    </w:p>
    <w:p>
      <w:pPr>
        <w:ind w:left="1300" w:right="20" w:firstLine="653"/>
        <w:spacing w:after="0" w:line="277" w:lineRule="auto"/>
        <w:tabs>
          <w:tab w:leader="none" w:pos="2499"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Select from among the Employees, Directors or consultants (including Employees, Directors or consultants who have previously received other awards under the Plan) such of them as in its opinion should be awarded Restricted Stock; and</w:t>
      </w:r>
    </w:p>
    <w:p>
      <w:pPr>
        <w:spacing w:after="0" w:line="170" w:lineRule="exact"/>
        <w:rPr>
          <w:rFonts w:ascii="Arial" w:cs="Arial" w:eastAsia="Arial" w:hAnsi="Arial"/>
          <w:sz w:val="18"/>
          <w:szCs w:val="18"/>
          <w:color w:val="auto"/>
        </w:rPr>
      </w:pPr>
    </w:p>
    <w:p>
      <w:pPr>
        <w:ind w:left="1300" w:right="20" w:firstLine="653"/>
        <w:spacing w:after="0" w:line="277" w:lineRule="auto"/>
        <w:tabs>
          <w:tab w:leader="none" w:pos="24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Determine the terms and conditions applicable to such Restricted Stock, consistent with the Plan, which may include the achievement of Performance Objectives.</w:t>
      </w:r>
    </w:p>
    <w:p>
      <w:pPr>
        <w:spacing w:after="0" w:line="170" w:lineRule="exact"/>
        <w:rPr>
          <w:rFonts w:ascii="Arial" w:cs="Arial" w:eastAsia="Arial" w:hAnsi="Arial"/>
          <w:sz w:val="18"/>
          <w:szCs w:val="18"/>
          <w:color w:val="auto"/>
        </w:rPr>
      </w:pPr>
    </w:p>
    <w:p>
      <w:pPr>
        <w:ind w:left="660" w:right="20" w:firstLine="645"/>
        <w:spacing w:after="0" w:line="342" w:lineRule="auto"/>
        <w:tabs>
          <w:tab w:leader="none" w:pos="1757" w:val="left"/>
        </w:tabs>
        <w:numPr>
          <w:ilvl w:val="0"/>
          <w:numId w:val="21"/>
        </w:numPr>
        <w:rPr>
          <w:rFonts w:ascii="Arial" w:cs="Arial" w:eastAsia="Arial" w:hAnsi="Arial"/>
          <w:sz w:val="16"/>
          <w:szCs w:val="16"/>
          <w:color w:val="auto"/>
        </w:rPr>
      </w:pPr>
      <w:r>
        <w:rPr>
          <w:rFonts w:ascii="Arial" w:cs="Arial" w:eastAsia="Arial" w:hAnsi="Arial"/>
          <w:sz w:val="16"/>
          <w:szCs w:val="16"/>
          <w:color w:val="auto"/>
        </w:rPr>
        <w:t>Upon the selection of an Employee, Director or consultant to be awarded Restricted Stock, the Committee shall instruct the Secretary of the Company to issue such Restricted Stock and may impose such conditions on the issuance of such Restricted Stock as it deems appropriate.</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Restricted Stock Agreement</w:t>
      </w:r>
      <w:r>
        <w:rPr>
          <w:rFonts w:ascii="Arial" w:cs="Arial" w:eastAsia="Arial" w:hAnsi="Arial"/>
          <w:sz w:val="18"/>
          <w:szCs w:val="18"/>
          <w:color w:val="auto"/>
        </w:rPr>
        <w:t>. Restricted Stock shall be issued only pursuant to a Restricted Stock Agreement, which shall be executed by the selected Employee, Director or consultant and an authorized officer of the Company and which shall contain such terms and conditions as the Committee shall determine, consistent with the Plan.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jc w:val="both"/>
        <w:ind w:firstLine="648"/>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color w:val="auto"/>
        </w:rPr>
        <w:t>Rights as Stockholders</w:t>
      </w:r>
      <w:r>
        <w:rPr>
          <w:rFonts w:ascii="Arial" w:cs="Arial" w:eastAsia="Arial" w:hAnsi="Arial"/>
          <w:sz w:val="17"/>
          <w:szCs w:val="17"/>
          <w:color w:val="auto"/>
        </w:rPr>
        <w:t>. Upon the issuance of Restricted Stock, the Restricted Stockholder shall have, unless otherwise provided by the Committee, all the rights of a stockholder with respect to said shares, subject to the restrictions in his Restricted Stock Agreement, including the right to receive all dividends and other distributions paid or made with respect to the shares; provided, however, that in the discretion of the Committee, any extraordinary distributions with respect to the Common Stock shall be subject to the restrictions set forth in Section 6.4.</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Restriction</w:t>
      </w:r>
      <w:r>
        <w:rPr>
          <w:rFonts w:ascii="Arial" w:cs="Arial" w:eastAsia="Arial" w:hAnsi="Arial"/>
          <w:sz w:val="18"/>
          <w:szCs w:val="18"/>
          <w:color w:val="auto"/>
        </w:rPr>
        <w:t>. All shares of Restricted Stock issued under the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shall provide, which restrictions may include, without limitation, restrictions concerning voting rights and transferability and restrictions based on duration of employment with the Company, Company performance and individual performance; provided, however, that, by action taken after the Restricted Stock is issued, the Committee may, on such terms and conditions as it may determine to be appropriate, remove any or all of the restrictions imposed by the terms of the Restricted Stock Agreement. Restricted Stock may not be sold or encumbered until all restrictions are terminated or expire.</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Escrow</w:t>
      </w:r>
      <w:r>
        <w:rPr>
          <w:rFonts w:ascii="Arial" w:cs="Arial" w:eastAsia="Arial" w:hAnsi="Arial"/>
          <w:sz w:val="18"/>
          <w:szCs w:val="18"/>
          <w:color w:val="auto"/>
        </w:rPr>
        <w:t>. Where physical share certificates of Restricted Stock are issued, the Secretary of the Company or such other escrow holder as the Committee may appoint shall retain physical custody of each certificate representing Restricted Stock until all of the restrictions imposed under the Restricted Stock Agreement with respect to the shares evidenced by such certificate expire or shall have been removed.</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Legend</w:t>
      </w:r>
      <w:r>
        <w:rPr>
          <w:rFonts w:ascii="Arial" w:cs="Arial" w:eastAsia="Arial" w:hAnsi="Arial"/>
          <w:sz w:val="16"/>
          <w:szCs w:val="16"/>
          <w:color w:val="auto"/>
        </w:rPr>
        <w:t>. Where physical share certificates of Restricted Stock are issued, in order to enforce the restrictions imposed upon shares of Restricted Stock hereunder, the Committee shall cause a legend or legends to be placed on certificates representing all shares of Restricted Stock that are still subject to restrictions under Restricted Stock Agreements, which legend or legends shall make appropriate reference to the conditions imposed thereby.</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Form of Issuance</w:t>
      </w:r>
      <w:r>
        <w:rPr>
          <w:rFonts w:ascii="Arial" w:cs="Arial" w:eastAsia="Arial" w:hAnsi="Arial"/>
          <w:sz w:val="18"/>
          <w:szCs w:val="18"/>
          <w:color w:val="auto"/>
        </w:rPr>
        <w:t>. Restricted Stock issued under the Plan may, in the discretion of the Committee, be by means of an electronic, book-entry statement, rather than by issuing physical share certificates.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PERFORMANCE AWARDS, DIVIDEND EQUIVALENTS,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DEFERRED STOCK, STOCK PAYMENTS</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Performance Awards</w:t>
      </w:r>
      <w:r>
        <w:rPr>
          <w:rFonts w:ascii="Arial" w:cs="Arial" w:eastAsia="Arial" w:hAnsi="Arial"/>
          <w:sz w:val="16"/>
          <w:szCs w:val="16"/>
          <w:color w:val="auto"/>
        </w:rPr>
        <w:t>. Any Employee, Director or consultant selected by the Committee may be granted one or more Performance Awards. The value of such Performance Awards may be linked to the achievement of such specific Performance Objectives determined appropriate by the Committee over any period or periods determined by the Committee. In making such determinations, the Committee shall consider (among such other factors as it deems relevant in light of the specific type of award) the contributions, responsibilities and other compensation of the particular Employee, Director or consultant.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jc w:val="both"/>
        <w:ind w:firstLine="648"/>
        <w:spacing w:after="0" w:line="297"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Dividend Equivalents</w:t>
      </w:r>
      <w:r>
        <w:rPr>
          <w:rFonts w:ascii="Arial" w:cs="Arial" w:eastAsia="Arial" w:hAnsi="Arial"/>
          <w:sz w:val="16"/>
          <w:szCs w:val="16"/>
          <w:color w:val="auto"/>
        </w:rPr>
        <w:t>. Any Employee, Director or consultant selected by the Committee may be granted Dividend Equivalents based on the dividends declared on Common Stock, to be credited as of dividend payment dates, during the period between the date, Deferred Stock or Performance Award is granted, and the date such Deferred Stock or Performance Award vests or expires, as determined by the Committee. Such Dividend Equivalents shall be converted to cash or additional shares of Common Stock by such formula and at such time and subject to such limitations as may be determined by the Committee. Dividend Equivalents shall not be paid out prior to the time the underlying Deferred Stock or Performance Award vests.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Stock Payments</w:t>
      </w:r>
      <w:r>
        <w:rPr>
          <w:rFonts w:ascii="Arial" w:cs="Arial" w:eastAsia="Arial" w:hAnsi="Arial"/>
          <w:sz w:val="18"/>
          <w:szCs w:val="18"/>
          <w:color w:val="auto"/>
        </w:rPr>
        <w:t>. Any Employee, Director or consultant selected by the Committee may receive Stock Payments in the manner determined from time to time by the Committee. The number of shares shall be determined by the Committee and may be based upon the Fair Market Value, book value, net profits or other measure of the value of Common Stock or other specific performance criteria determined appropriate by the Committee, determined on the date such Stock Payment is made or on any date thereafter.</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Deferred Stock</w:t>
      </w:r>
      <w:r>
        <w:rPr>
          <w:rFonts w:ascii="Arial" w:cs="Arial" w:eastAsia="Arial" w:hAnsi="Arial"/>
          <w:sz w:val="18"/>
          <w:szCs w:val="18"/>
          <w:color w:val="auto"/>
        </w:rPr>
        <w:t>. Any Employee, Director or consultant selected by the Committee may be granted an award of Deferred Stock in the manner determined from time to time by the Committee. The number of shares of Deferred Stock shall be determined by the Committee and may be linked to the achievement of such specific Performance Objectives determined to be appropriate by the Committee over any period or periods determined by the Committee. Common Stock underlying a Deferred Stock award will not be issued until the Deferred Stock award has vested, pursuant to a vesting schedule or Performance Objectives set by the Committee, as the case may be. Unless otherwise provided by the Committee, a Grantee of Deferred Stock shall have no rights as a Company stockholder with respect to such Deferred Stock until such time as the award has vested and the Common Stock underlying the award has been issued.</w:t>
      </w:r>
    </w:p>
    <w:p>
      <w:pPr>
        <w:spacing w:after="0" w:line="18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Performance Award Agreement</w:t>
      </w:r>
      <w:r>
        <w:rPr>
          <w:rFonts w:ascii="Arial" w:cs="Arial" w:eastAsia="Arial" w:hAnsi="Arial"/>
          <w:sz w:val="16"/>
          <w:szCs w:val="16"/>
          <w:color w:val="auto"/>
        </w:rPr>
        <w:t>, Dividend Equivalent Agreement, Deferred Stock Agreement, Stock Payment Agreement. Each Performance Award, Dividend Equivalent, award of Deferred Stock and/or Stock Payment shall be evidenced by an agreement, which shall be executed by the Grantee and an authorized Officer of the Company and which shall contain such terms and conditions as the Committee shall determine, consistent with the Plan.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Term</w:t>
      </w:r>
      <w:r>
        <w:rPr>
          <w:rFonts w:ascii="Arial" w:cs="Arial" w:eastAsia="Arial" w:hAnsi="Arial"/>
          <w:sz w:val="18"/>
          <w:szCs w:val="18"/>
          <w:color w:val="auto"/>
        </w:rPr>
        <w:t>. The term of a Performance Award, Dividend Equivalent, award of Deferred Stock and/or Stock Payment shall be set by the Committee in its discretion.</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i w:val="1"/>
          <w:iCs w:val="1"/>
          <w:color w:val="auto"/>
        </w:rPr>
        <w:t>Payment Upon Termination of Employment</w:t>
      </w:r>
      <w:r>
        <w:rPr>
          <w:rFonts w:ascii="Arial" w:cs="Arial" w:eastAsia="Arial" w:hAnsi="Arial"/>
          <w:sz w:val="16"/>
          <w:szCs w:val="16"/>
          <w:color w:val="auto"/>
        </w:rPr>
        <w:t>. A Performance Award, Dividend Equivalent, award of Deferred Stock and/or Stock Payment is payable only while the Grantee is an Employee, Director or consultant; provided that the Committee may determine that the Performance Award, Dividend Equivalent, award of Deferred Stock and/or Stock Payment may be paid subsequent to termination of employment or termination of directorship or consultancy without cause, or following a change in control of the Company, or because of the Grantee’s retirement, death or disability, or otherwise.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both"/>
        <w:ind w:right="20" w:firstLine="648"/>
        <w:spacing w:after="0" w:line="26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color w:val="auto"/>
        </w:rPr>
        <w:t>Payment</w:t>
      </w:r>
      <w:r>
        <w:rPr>
          <w:rFonts w:ascii="Arial" w:cs="Arial" w:eastAsia="Arial" w:hAnsi="Arial"/>
          <w:sz w:val="18"/>
          <w:szCs w:val="18"/>
          <w:color w:val="auto"/>
        </w:rPr>
        <w:t>. Payment of the amount determined under Section 7.1 or 7.2 above shall be in cash, in Common Stock or a combination of both, as determined by the Committee. To the extent any payment under this Article VII is effected in Common Stock, it shall be made subject to satisfaction of all provisions of Section 5.3.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Committee</w:t>
      </w:r>
      <w:r>
        <w:rPr>
          <w:rFonts w:ascii="Arial" w:cs="Arial" w:eastAsia="Arial" w:hAnsi="Arial"/>
          <w:sz w:val="18"/>
          <w:szCs w:val="18"/>
          <w:color w:val="auto"/>
        </w:rPr>
        <w:t>. The Committee members shall be appointed by and hold office at the pleasure of the Board. Appointment of Committee members shall be effective upon acceptance of appointment. Committee members may resign at any time by delivering written notice to the Board. Vacancies in the Committee may be filled by the Board.</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i w:val="1"/>
          <w:iCs w:val="1"/>
          <w:color w:val="auto"/>
        </w:rPr>
        <w:t>Duties and Powers of Committee</w:t>
      </w:r>
      <w:r>
        <w:rPr>
          <w:rFonts w:ascii="Arial" w:cs="Arial" w:eastAsia="Arial" w:hAnsi="Arial"/>
          <w:sz w:val="17"/>
          <w:szCs w:val="17"/>
          <w:color w:val="auto"/>
        </w:rPr>
        <w:t>. It shall be the duty of the Committee to conduct the general administration of the Plan in accordance with its provisions. The Committee shall have the power to interpret the Plan and the agreements pursuant to which Options, awards of Restricted Stock or Deferred Stock, Performance Awards, Dividend Equivalents or Stock Payments are granted or awarded, and to adopt such rules for the administration, interpretation, and application of the Plan as are consistent therewith and to interpret, amend or revoke any such rules. Any such grant or award under the Plan need not be the same with respect to each Optionee, Grantee or Restricted Stockholder. Any such interpretations and rules with respect to Incentive Stock Options shall be consistent with the provisions of Section 422 of the Code. In its absolute discretion, the Board may at any time and from time to time exercise any and all rights and duties of the Committee under the Plan except with respect to matters which under Rule 16b-3 or Section 162(m) of the Code, or any regulations or rules issued thereunder are required to be determined in the sole discretion of the Committee.</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Majority Rule; Unanimous Written Consent</w:t>
      </w:r>
      <w:r>
        <w:rPr>
          <w:rFonts w:ascii="Arial" w:cs="Arial" w:eastAsia="Arial" w:hAnsi="Arial"/>
          <w:sz w:val="18"/>
          <w:szCs w:val="18"/>
          <w:color w:val="auto"/>
        </w:rPr>
        <w:t>. The Committee shall act by a majority of its members in attendance at a meeting at which a quorum is present or by a memorandum or other written instrument signed by all members of the Committee.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Compensation; Professional Assistance, Good Faith Actions</w:t>
      </w:r>
      <w:r>
        <w:rPr>
          <w:rFonts w:ascii="Arial" w:cs="Arial" w:eastAsia="Arial" w:hAnsi="Arial"/>
          <w:sz w:val="17"/>
          <w:szCs w:val="17"/>
          <w:color w:val="auto"/>
        </w:rPr>
        <w:t>. Members of the Committee shall receive such compensation for their services as members as may be determined by the Board. All expenses and liabilities which members of the Committee incur in connection with the administration of the Plan shall be borne by the Company. The Committee may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Stockholders, the Company and all other interested persons. No members of the Committee or Board shall be personally liable for any action, determination or interpretation made in good faith with respect to the Plan, Options, awards of Restricted Stock or Deferred Stock, Performance Awards, Dividend Equivalents or Stock Payments, and all members of the Committee and the Board shall be fully protected by the Company in respect of any such action, determination or interpretation.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jc w:val="both"/>
        <w:ind w:firstLine="648"/>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Delegation of Authority by the Committee</w:t>
      </w:r>
      <w:r>
        <w:rPr>
          <w:rFonts w:ascii="Arial" w:cs="Arial" w:eastAsia="Arial" w:hAnsi="Arial"/>
          <w:sz w:val="18"/>
          <w:szCs w:val="18"/>
          <w:color w:val="auto"/>
        </w:rPr>
        <w:t>. Notwithstanding the preceding provisions of this Article VIII or any other provision of the Plan to the contrary, subject to the constraints of applicable law, the Committee may from time to time, in its sole discretion, delegate to the Chief Executive Officer of the Company the right to grant Awards under the Plan, insofar as such power to grant Awards relates to any person who is not then subject to section 16 of the Exchange Act (including any successor section to the same or similar effect). Any such delegation may be effective only so long as the Chief Executive Officer of the Company is a member of the Board, and the Committee may revoke such delegation at any time. The Committee may put any conditions and restrictions on the powers that may be exercised by the Chief Executive Officer of the Company upon such delegation as the Committee determines in its sole discretion.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i w:val="1"/>
          <w:iCs w:val="1"/>
          <w:color w:val="auto"/>
        </w:rPr>
        <w:t>Not Transferable</w:t>
      </w:r>
      <w:r>
        <w:rPr>
          <w:rFonts w:ascii="Arial" w:cs="Arial" w:eastAsia="Arial" w:hAnsi="Arial"/>
          <w:sz w:val="17"/>
          <w:szCs w:val="17"/>
          <w:color w:val="auto"/>
        </w:rPr>
        <w:t>. Except as provided below, Options, Restricted Stock awards, Deferred Stock awards, Performance Awards, Dividend Equivalents or Stock Payments under the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Restricted Stock award, Deferred Stock award, Performance Award,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 Optionee may, with the consent of the Committee, transfer a Nonqualified Stock Option to such family members and persons as may be permitted by this Committee, subject to such restrictions and limitations, if any, that the Committee, in its discretion, may impose on such transfer.</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Amendment, Suspension or Termination of the Plan</w:t>
      </w:r>
      <w:r>
        <w:rPr>
          <w:rFonts w:ascii="Arial" w:cs="Arial" w:eastAsia="Arial" w:hAnsi="Arial"/>
          <w:sz w:val="16"/>
          <w:szCs w:val="16"/>
          <w:color w:val="auto"/>
        </w:rPr>
        <w:t>. This Plan may be wholly or partially amended or otherwise modified, suspended or terminated at any time or from time to time by the Board or the Committee. However, without approval of the Company’s stockholders given within twelve months before or after the action by the Committee, no action of the Committee may, except as provided in Section 9.3, increase the limits imposed in Section 2.1 on the maximum number of shares which may be issued under the Plan or reduce the exercise price of an Option, and no action of the Committee may be taken that would otherwise require stockholder approval as a matter of applicable law, regulation or rule. No amendment, suspension or termination of the Plan shall, without the consent of the holder of Options, Restricted Stock awards, Deferred Stock awards, Performance Awards, Dividend Equivalents or Stock Payments, materially alter or impair any rights or obligations under any Options, Restricted Stock awards, Deferred Stock awards, Performance Awards, Dividend Equivalents or Stock Payments theretofore granted or awarded, unless the award itself otherwise expressly so provides. No Options, Restricted Stock, Deferred Stock, Performance Awards, Dividend Equivalents or Stock Payments may be granted or awarded during any period of suspension or after termination of the Plan, and in no event may any Incentive Stock Option be granted under the Plan after the first to occur of the following events: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ind w:left="1060" w:hanging="415"/>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expiration of ten years from the date the Plan is adopted by the Board; or</w:t>
      </w:r>
    </w:p>
    <w:p>
      <w:pPr>
        <w:spacing w:after="0" w:line="225" w:lineRule="exact"/>
        <w:rPr>
          <w:rFonts w:ascii="Arial" w:cs="Arial" w:eastAsia="Arial" w:hAnsi="Arial"/>
          <w:sz w:val="18"/>
          <w:szCs w:val="18"/>
          <w:color w:val="auto"/>
        </w:rPr>
      </w:pPr>
    </w:p>
    <w:p>
      <w:pPr>
        <w:ind w:left="1080" w:hanging="435"/>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expiration of ten years from the date the Plan is approved by the Company’s stockholders under Section 9.4.</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i w:val="1"/>
          <w:iCs w:val="1"/>
          <w:color w:val="auto"/>
        </w:rPr>
        <w:t>Changes in Common Stock or Assets of the Company; Acquisition or Liquidation of the Company and Other Corporate Events</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53" w:lineRule="auto"/>
        <w:tabs>
          <w:tab w:leader="none" w:pos="11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to Section 9.3(e), in the event that the Committee determines that any dividend or other distribution (whether in the form of cash, Common Stock, other securities, or other property), recapitalization, reclassification, stock split, reverse stock split, reorganization, merger, consolidation, split-up, spin-off, combination, repurchase, liquidation, dissolution, or sale, transfer, exchange or other disposition of all or substantially all of the assets of the Company,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 Performance Award, Dividend Equivalent, Deferred Stock award or Stock Payment, then the Committee shall, in such manner as it may deem equitable, adjust any or all of</w:t>
      </w:r>
    </w:p>
    <w:p>
      <w:pPr>
        <w:spacing w:after="0" w:line="197" w:lineRule="exact"/>
        <w:rPr>
          <w:rFonts w:ascii="Arial" w:cs="Arial" w:eastAsia="Arial" w:hAnsi="Arial"/>
          <w:sz w:val="18"/>
          <w:szCs w:val="18"/>
          <w:color w:val="auto"/>
        </w:rPr>
      </w:pPr>
    </w:p>
    <w:p>
      <w:pPr>
        <w:jc w:val="both"/>
        <w:ind w:left="640" w:firstLine="653"/>
        <w:spacing w:after="0" w:line="259" w:lineRule="auto"/>
        <w:tabs>
          <w:tab w:leader="none" w:pos="1686"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with respect to which Options, Performance Awards, Dividend Equivalents or Stock Payments may be granted under the Plan, or which may be granted as Restricted Stock or Deferred Stock (including, but not limited to, adjustments of the limitations in Section 2.1 on the maximum number and kind of shares which may be issued and adjustments of the Award Limit),</w:t>
      </w:r>
    </w:p>
    <w:p>
      <w:pPr>
        <w:spacing w:after="0" w:line="200" w:lineRule="exact"/>
        <w:rPr>
          <w:sz w:val="20"/>
          <w:szCs w:val="20"/>
          <w:color w:val="auto"/>
        </w:rPr>
      </w:pP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21" w:name="page22"/>
    <w:bookmarkEnd w:id="21"/>
    <w:p>
      <w:pPr>
        <w:jc w:val="both"/>
        <w:ind w:left="640" w:firstLine="653"/>
        <w:spacing w:after="0" w:line="264" w:lineRule="auto"/>
        <w:tabs>
          <w:tab w:leader="none" w:pos="19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subject to outstanding Options, Performance Awards, Dividend Equivalents, or Stock Payments, and in the number and kind of shares of outstanding Restricted Stock or Deferred Stock, and</w:t>
      </w:r>
    </w:p>
    <w:p>
      <w:pPr>
        <w:spacing w:after="0" w:line="181" w:lineRule="exact"/>
        <w:rPr>
          <w:rFonts w:ascii="Arial" w:cs="Arial" w:eastAsia="Arial" w:hAnsi="Arial"/>
          <w:sz w:val="18"/>
          <w:szCs w:val="18"/>
          <w:color w:val="auto"/>
        </w:rPr>
      </w:pPr>
    </w:p>
    <w:p>
      <w:pPr>
        <w:ind w:left="1780" w:hanging="487"/>
        <w:spacing w:after="0"/>
        <w:tabs>
          <w:tab w:leader="none" w:pos="1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grant or exercise price with respect to any Option, Performance Award, Dividend Equivalent or Stock Payment.</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Notwithstanding the foregoing, with respect to a transaction or event that constitutes an “equity restructuring” that would be subject to a compensation expense pursuant to Accounting Standards Codification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or any successor accounting standard, such adjustment by the Committee shall be required.</w:t>
      </w:r>
    </w:p>
    <w:p>
      <w:pPr>
        <w:spacing w:after="0" w:line="181" w:lineRule="exact"/>
        <w:rPr>
          <w:sz w:val="20"/>
          <w:szCs w:val="20"/>
          <w:color w:val="auto"/>
        </w:rPr>
      </w:pPr>
    </w:p>
    <w:p>
      <w:pPr>
        <w:jc w:val="both"/>
        <w:ind w:firstLine="645"/>
        <w:spacing w:after="0" w:line="279" w:lineRule="auto"/>
        <w:tabs>
          <w:tab w:leader="none" w:pos="1086"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Subject to Section 9.3(e), in the event of any corporate transaction or other event described in Section 9.3(a) which results in shares of Common Stock being exchanged for or converted into cash, securities (including securities of another corporation) or other property, the Committee will have the right to terminate the Plan as of the date of the event or transaction, in which case all options, rights and other awards granted under the Plan shall become the right to receive such cash, securities or other property, net of any applicable exercise price.</w:t>
      </w:r>
    </w:p>
    <w:p>
      <w:pPr>
        <w:spacing w:after="0" w:line="171" w:lineRule="exact"/>
        <w:rPr>
          <w:rFonts w:ascii="Arial" w:cs="Arial" w:eastAsia="Arial" w:hAnsi="Arial"/>
          <w:sz w:val="17"/>
          <w:szCs w:val="17"/>
          <w:color w:val="auto"/>
        </w:rPr>
      </w:pPr>
    </w:p>
    <w:p>
      <w:pPr>
        <w:jc w:val="both"/>
        <w:ind w:firstLine="645"/>
        <w:spacing w:after="0" w:line="273" w:lineRule="auto"/>
        <w:tabs>
          <w:tab w:leader="none" w:pos="1187"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Subject to Section 9.3(e), in the event of any corporate transaction or other event described in Section 9.3(a) or any unusual or nonrecurring transactions or events affecting the Company, any affiliate of the Company, or the financial statements of the Company or any affiliate, or of changes in applicable laws, regulations, or accounting principles, the Committee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option, right or other award under the Plan, to facilitate such transactions or events or to give effect to such changes in laws, regulations or principles:</w:t>
      </w:r>
    </w:p>
    <w:p>
      <w:pPr>
        <w:spacing w:after="0" w:line="178" w:lineRule="exact"/>
        <w:rPr>
          <w:rFonts w:ascii="Arial" w:cs="Arial" w:eastAsia="Arial" w:hAnsi="Arial"/>
          <w:sz w:val="17"/>
          <w:szCs w:val="17"/>
          <w:color w:val="auto"/>
        </w:rPr>
      </w:pPr>
    </w:p>
    <w:p>
      <w:pPr>
        <w:jc w:val="both"/>
        <w:ind w:left="640" w:firstLine="653"/>
        <w:spacing w:after="0" w:line="297" w:lineRule="auto"/>
        <w:tabs>
          <w:tab w:leader="none" w:pos="1707"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 its discretion, and on such terms and conditions as it deems appropriate, the Committee may provide, either automatically or upon the Optionee’s request, for either the purchase of any such Option, Performance Award, Dividend Equivalent, or Stock Payment, or any Restricted Stock or Deferred Stock for an amount of cash equal to the amount that could have been attained upon the exercise of such option, right or award or realization of the Optionee’s rights had such option, right or award been currently exercisable or payable or the replacement of such option, right or award with other rights or property selected by the Committee in its sole discretion;</w:t>
      </w:r>
    </w:p>
    <w:p>
      <w:pPr>
        <w:spacing w:after="0" w:line="158" w:lineRule="exact"/>
        <w:rPr>
          <w:rFonts w:ascii="Arial" w:cs="Arial" w:eastAsia="Arial" w:hAnsi="Arial"/>
          <w:sz w:val="16"/>
          <w:szCs w:val="16"/>
          <w:color w:val="auto"/>
        </w:rPr>
      </w:pPr>
    </w:p>
    <w:p>
      <w:pPr>
        <w:jc w:val="both"/>
        <w:ind w:left="640" w:firstLine="653"/>
        <w:spacing w:after="0" w:line="264" w:lineRule="auto"/>
        <w:tabs>
          <w:tab w:leader="none" w:pos="18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its sole and absolute discretion, the Committee may provide, either by the terms of such Option, Performance Award, Dividend Equivalent, or Stock Payment, or Restricted Stock or Deferred Stock or by action taken prior to the occurrence of such transaction or event that it cannot be exercised after such event;</w:t>
      </w:r>
    </w:p>
    <w:p>
      <w:pPr>
        <w:spacing w:after="0" w:line="200" w:lineRule="exact"/>
        <w:rPr>
          <w:sz w:val="20"/>
          <w:szCs w:val="20"/>
          <w:color w:val="auto"/>
        </w:rPr>
      </w:pP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22" w:name="page23"/>
    <w:bookmarkEnd w:id="22"/>
    <w:p>
      <w:pPr>
        <w:jc w:val="both"/>
        <w:ind w:left="100" w:firstLine="653"/>
        <w:spacing w:after="0" w:line="297" w:lineRule="auto"/>
        <w:tabs>
          <w:tab w:leader="none" w:pos="1285"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may provide, either by the terms of such Option, Performance Award, Dividend Equivalent, or Stock Payment, or Restricted Stock or Deferred Stock or by action taken prior to the occurrence of such transaction or event, that, for a specified period of time prior to such transaction or event, such option, right or award shall be exercisable as to all shares covered thereby, notwithstanding anything to the contrary in (1) Section 4.4 or (2) the provisions of such Option, Performance Award, Dividend Equivalent, or Stock Payment, or Restricted Stock or Deferred Stock;</w:t>
      </w:r>
    </w:p>
    <w:p>
      <w:pPr>
        <w:spacing w:after="0" w:line="158" w:lineRule="exact"/>
        <w:rPr>
          <w:rFonts w:ascii="Arial" w:cs="Arial" w:eastAsia="Arial" w:hAnsi="Arial"/>
          <w:sz w:val="16"/>
          <w:szCs w:val="16"/>
          <w:color w:val="auto"/>
        </w:rPr>
      </w:pPr>
    </w:p>
    <w:p>
      <w:pPr>
        <w:jc w:val="both"/>
        <w:ind w:left="100" w:firstLine="653"/>
        <w:spacing w:after="0" w:line="297" w:lineRule="auto"/>
        <w:tabs>
          <w:tab w:leader="none" w:pos="1255"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 its discretion, and on such terms and conditions as it deems appropriate, the Committee may provide, either by the terms of such Option, Performance Award, Dividend Equivalent, or Stock Payment, or Restricted Stock or Deferred Stock or by action taken prior to the occurrence of such transaction or event, that upon such event, such option, right or award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w:t>
      </w:r>
    </w:p>
    <w:p>
      <w:pPr>
        <w:spacing w:after="0" w:line="158" w:lineRule="exact"/>
        <w:rPr>
          <w:rFonts w:ascii="Arial" w:cs="Arial" w:eastAsia="Arial" w:hAnsi="Arial"/>
          <w:sz w:val="16"/>
          <w:szCs w:val="16"/>
          <w:color w:val="auto"/>
        </w:rPr>
      </w:pPr>
    </w:p>
    <w:p>
      <w:pPr>
        <w:jc w:val="both"/>
        <w:ind w:left="100" w:firstLine="653"/>
        <w:spacing w:after="0" w:line="257" w:lineRule="auto"/>
        <w:tabs>
          <w:tab w:leader="none" w:pos="1267"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make adjustments in the number and type of shares of Common Stock (or other securities or property) subject to outstanding Options, Performance Awards, Dividend Equivalents, or Stock Payments, and in the number and kind of outstanding Restricted Stock or Deferred Stock and/or in the terms and conditions of (including the grant or exercise price), and the criteria included in, outstanding options, rights and awards and options, rights and awards which may be granted in the future;</w:t>
      </w:r>
    </w:p>
    <w:p>
      <w:pPr>
        <w:spacing w:after="0" w:line="188" w:lineRule="exact"/>
        <w:rPr>
          <w:rFonts w:ascii="Arial" w:cs="Arial" w:eastAsia="Arial" w:hAnsi="Arial"/>
          <w:sz w:val="18"/>
          <w:szCs w:val="18"/>
          <w:color w:val="auto"/>
        </w:rPr>
      </w:pPr>
    </w:p>
    <w:p>
      <w:pPr>
        <w:jc w:val="both"/>
        <w:ind w:left="100" w:firstLine="653"/>
        <w:spacing w:after="0" w:line="259" w:lineRule="auto"/>
        <w:tabs>
          <w:tab w:leader="none" w:pos="1265"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provide either by the terms of a Restricted Stock award or Deferred Stock award or by action taken prior to the occurrence of such event that, for a specified period of time prior to such event, the restrictions imposed under a Restricted Stock Agreement or a Deferred Stock Agreement upon some or all shares of Restricted Stock or Deferred Stock may be terminated; and</w:t>
      </w:r>
    </w:p>
    <w:p>
      <w:pPr>
        <w:spacing w:after="0" w:line="186" w:lineRule="exact"/>
        <w:rPr>
          <w:rFonts w:ascii="Arial" w:cs="Arial" w:eastAsia="Arial" w:hAnsi="Arial"/>
          <w:sz w:val="18"/>
          <w:szCs w:val="18"/>
          <w:color w:val="auto"/>
        </w:rPr>
      </w:pPr>
    </w:p>
    <w:p>
      <w:pPr>
        <w:ind w:left="100" w:right="20" w:firstLine="653"/>
        <w:spacing w:after="0" w:line="277" w:lineRule="auto"/>
        <w:tabs>
          <w:tab w:leader="none" w:pos="13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make adjustments to the Performance Objectives of any outstanding award.</w:t>
      </w:r>
    </w:p>
    <w:p>
      <w:pPr>
        <w:spacing w:after="0" w:line="170" w:lineRule="exact"/>
        <w:rPr>
          <w:rFonts w:ascii="Arial" w:cs="Arial" w:eastAsia="Arial" w:hAnsi="Arial"/>
          <w:sz w:val="18"/>
          <w:szCs w:val="18"/>
          <w:color w:val="auto"/>
        </w:rPr>
      </w:pPr>
    </w:p>
    <w:p>
      <w:pPr>
        <w:jc w:val="both"/>
        <w:ind w:left="-540" w:firstLine="645"/>
        <w:spacing w:after="0" w:line="279"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Notwithstanding anything in Sections 9.3(a), 9.3(c) or 9.3(e) to the contrary, except to the extent an award agreement expressly provides to the contrary, in the event of a Change of Control of the Company all outstanding awards automatically shall become fully vested immediately prior to such Change in Control (or such earlier time as set by the Committee), all restrictions, if any, with respect to such awards shall lapse, all performance criteria, if any, with respect to such awards shall be deemed to have been met at their target level.</w:t>
      </w: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3" w:name="page24"/>
    <w:bookmarkEnd w:id="23"/>
    <w:p>
      <w:pPr>
        <w:jc w:val="both"/>
        <w:ind w:left="660" w:firstLine="645"/>
        <w:spacing w:after="0" w:line="264" w:lineRule="auto"/>
        <w:tabs>
          <w:tab w:leader="none" w:pos="18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respect to an award intended to qualify as performance-based compensation under Section 162(m), no adjustment or action described in this Section 9.3, other than as provided in Section 9.3(d), shall be taken by the Committee to the extent that such adjustment or action would cause such award to fail to so qualify under Section 162(m) or any successor provisions thereto.</w:t>
      </w:r>
    </w:p>
    <w:p>
      <w:pPr>
        <w:spacing w:after="0" w:line="18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i w:val="1"/>
          <w:iCs w:val="1"/>
          <w:color w:val="auto"/>
        </w:rPr>
        <w:t>Approval of Plan by Stockholders</w:t>
      </w:r>
      <w:r>
        <w:rPr>
          <w:rFonts w:ascii="Arial" w:cs="Arial" w:eastAsia="Arial" w:hAnsi="Arial"/>
          <w:sz w:val="16"/>
          <w:szCs w:val="16"/>
          <w:color w:val="auto"/>
        </w:rPr>
        <w:t>. The Plan was approved by Oil States International, Inc., the sole shareholder of the Company, on May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Tax Withholding</w:t>
      </w:r>
      <w:r>
        <w:rPr>
          <w:rFonts w:ascii="Arial" w:cs="Arial" w:eastAsia="Arial" w:hAnsi="Arial"/>
          <w:sz w:val="17"/>
          <w:szCs w:val="17"/>
          <w:color w:val="auto"/>
        </w:rPr>
        <w:t>. The Company shall be entitled to require payment in cash or deduction from other compensation payable to each Optionee, Grantee or Restricted Stockholder of any sums required by applicable tax law to be withheld with respect to the issuance, vesting or exercise of any Option, Restricted Stock, Deferred Stock, Performance Award, Dividend Equivalent or Stock Payment. Subject to the timing requirements of Section 5.3, the Committee may, in its discretion and in satisfaction of the foregoing requirement, allow such Optionee, Grantee or Restricted Stockholder to elect to have the Company withhold shares of Common Stock otherwise issuable under such Option or afterward (or allow the return of shares of Common Stock) having a Fair Market Value equal to the minimum tax sums required to be withheld by the Company. Notwithstanding the foregoing, any such person who is subject to Section 16b with respect to Company Stock may direct that the Company’s tax withholding obligation be satisfied by withholding the appropriate number of shares from such award and/or the “constructive” tender of already-owned shares of Common Stock.</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i w:val="1"/>
          <w:iCs w:val="1"/>
          <w:color w:val="auto"/>
        </w:rPr>
        <w:t>Limitations Applicable to Section 16 Persons and Performance-Based Compensation</w:t>
      </w:r>
      <w:r>
        <w:rPr>
          <w:rFonts w:ascii="Arial" w:cs="Arial" w:eastAsia="Arial" w:hAnsi="Arial"/>
          <w:sz w:val="16"/>
          <w:szCs w:val="16"/>
          <w:color w:val="auto"/>
        </w:rPr>
        <w:t>. Notwithstanding any other provision of the Plan, the Plan and any Option, Performance Award, Dividend Equivalent or Stock Payment granted, or Restricted Stock or Deferred Stock awarded, to any individual who is then subject to Section 16 of the Exchange Act, shall be subject to any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Dividend Equivalents, Stock Payments, Restricted Stock and Deferred Stock granted or awarded hereunder shall be deemed amended to the extent necessary to conform to such applicable exemptive rule. Furthermore, notwithstanding any other provision of the Plan, any award intended to qualify as performance-based compensation as described in Section 162(m)(4)(C) of the Code shall be subject to any additional limitations set forth in Section 162(m) of the Code (including any amendment to Section 162(m) of the Code) or any regulations or rulings issued thereunder that are requirements for qualification as performance-based compensation as described in Section 162(m)(4)(C) of the Code.</w:t>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i w:val="1"/>
          <w:iCs w:val="1"/>
          <w:color w:val="auto"/>
        </w:rPr>
        <w:t>Limitations Applicable to Awards</w:t>
      </w:r>
      <w:r>
        <w:rPr>
          <w:rFonts w:ascii="Arial" w:cs="Arial" w:eastAsia="Arial" w:hAnsi="Arial"/>
          <w:sz w:val="16"/>
          <w:szCs w:val="16"/>
          <w:color w:val="auto"/>
        </w:rPr>
        <w:t>. Provisions of Article VI and Article VII to the contrary notwithstanding, and subject to the exceptions provided below, awards of Restricted Stock, stock-based Performance Awards, full value Stock Payments and Deferred Stock shall be subject to a minimum one-year vesting period if performance-based and shall be subject to a minimum three-year vesting period (1/3 each year) if solely tenure-based. Notwithstanding the foregoing, (i) vesting may be accelerated upon death, disability, retirement or Change of Control (of the Company, or a division of the Company respecting divisional Grantees) and (ii) vesting may occur earlier than the minimums set forth above with respect to a number of shares from awards or grants which shares in the aggregate do not exceed the result of multiplying (x) 10% times (y) the total cumulative number of shares authorized under the Plan. The calculation of the number of shares which are not Otherwise Exempt Shares and which are covered by the exception in clause (ii) immediately above shall be made at the time of award except in the case of an acceleration of the vesting period in which case the calculation shall be made at the time of acceleration. “Otherwise Exempt Shares” are shares which meet the minimum vesting requirements of the first sentence of this Section 9.7 or are entitled to the benefit of clause (i) of this Section 9.7. Provisions of the Plan to the contrary notwithstanding, discretionary awards to Directors, specifically excluding awards to directors related to their annual retainer, shall be determined solely by the Committee.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jc w:val="both"/>
        <w:ind w:firstLine="648"/>
        <w:spacing w:after="0" w:line="297"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i w:val="1"/>
          <w:iCs w:val="1"/>
          <w:color w:val="auto"/>
        </w:rPr>
        <w:t>Effect of Plan Upon Options and Compensation Plans</w:t>
      </w:r>
      <w:r>
        <w:rPr>
          <w:rFonts w:ascii="Arial" w:cs="Arial" w:eastAsia="Arial" w:hAnsi="Arial"/>
          <w:sz w:val="16"/>
          <w:szCs w:val="16"/>
          <w:color w:val="auto"/>
        </w:rPr>
        <w:t>. The Plan shall not affect any other compensation or incentive plans in effect for the Company or any Subsidiary. Nothing in the Plan shall be construed to limit the right of the Company (1) to establish any other forms of incentives or compensation for Employees, Directors or consultants of the Company or any Subsidiary or (ii) to grant or assume options or other rights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partnership, entity or association.</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i w:val="1"/>
          <w:iCs w:val="1"/>
          <w:color w:val="auto"/>
        </w:rPr>
        <w:t>Compliance with Laws</w:t>
      </w:r>
      <w:r>
        <w:rPr>
          <w:rFonts w:ascii="Arial" w:cs="Arial" w:eastAsia="Arial" w:hAnsi="Arial"/>
          <w:sz w:val="17"/>
          <w:szCs w:val="17"/>
          <w:color w:val="auto"/>
        </w:rPr>
        <w:t>. This Plan, the granting and vesting of Options, Restricted Stock awards, Deferred Stock awards, Performance Awards, Dividend Equivalents or Stock Payments under the Plan and the issuance and delivery of shares of Common Stock and the payment of money under the Plan or under Options, Performance Awards, Dividend Equivalents or Stock Payments granted or Restricted Stock or Deferred Stock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Deferred Stock awards, Performance Awards, Dividend Equivalents or Stock Payments granted or awarded hereunder shall be deemed amended to the extent necessary to conform to such laws, rules and regulations.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6"/>
          <w:szCs w:val="16"/>
          <w:i w:val="1"/>
          <w:iCs w:val="1"/>
          <w:color w:val="auto"/>
        </w:rPr>
        <w:t>Titles</w:t>
      </w:r>
      <w:r>
        <w:rPr>
          <w:rFonts w:ascii="Arial" w:cs="Arial" w:eastAsia="Arial" w:hAnsi="Arial"/>
          <w:sz w:val="16"/>
          <w:szCs w:val="16"/>
          <w:color w:val="auto"/>
        </w:rPr>
        <w:t>. Titles are provided herein for convenience only and are not to serve as a basis for interpretation or construction of the Plan.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i w:val="1"/>
          <w:iCs w:val="1"/>
          <w:color w:val="auto"/>
        </w:rPr>
        <w:t>Governing Law</w:t>
      </w:r>
      <w:r>
        <w:rPr>
          <w:rFonts w:ascii="Arial" w:cs="Arial" w:eastAsia="Arial" w:hAnsi="Arial"/>
          <w:sz w:val="18"/>
          <w:szCs w:val="18"/>
          <w:color w:val="auto"/>
        </w:rPr>
        <w:t>. This Plan and any agreements hereunder shall be administered, interpreted and enforced under the internal laws of the State of Texas without regard to conflicts of laws thereof.</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584" w:right="239" w:bottom="1440" w:gutter="0" w:footer="0" w:header="0"/>
        </w:sectPr>
      </w:pPr>
    </w:p>
    <w:bookmarkStart w:id="25" w:name="page26"/>
    <w:bookmarkEnd w:id="25"/>
    <w:p>
      <w:pPr>
        <w:jc w:val="right"/>
        <w:ind w:right="40"/>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143760" cy="24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437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May 27,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We have acted as counsel for Civeo Corporation, a Delaware corporation (the “Company”), in connection with the Company’s registration under the Securities Act of 1933, as amended (the “Act”), of the offer and sale of up to an aggregate of 4,400,000 shares of the Company’s common stock, $0.01 par value per share (the “Common Stock”), pursuant to the Company’s registration statement on Form S-8 (the “Registration Statement”) to be filed with the Securities and Exchange Commission on May 27, 2014, which shares of Common Stock may be issued from time to time in accordance with the terms of the 2014 Equity Participation Plan of Civeo Corporation (as amended from time to time, the “Plan”).</w:t>
      </w:r>
    </w:p>
    <w:p>
      <w:pPr>
        <w:spacing w:after="0" w:line="173"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certain resolutions adopted by the board of directors of the Company, (iii) the Plan, and</w:t>
      </w:r>
    </w:p>
    <w:p>
      <w:pPr>
        <w:jc w:val="both"/>
        <w:ind w:right="40" w:firstLine="8"/>
        <w:spacing w:after="0" w:line="255" w:lineRule="auto"/>
        <w:tabs>
          <w:tab w:leader="none" w:pos="3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other certificates, instruments, and documents as we have considered necessary for purposes of this opinion letter. As to any facts material to our opinions, we have made no independent investigation or verification of such facts and have relied, to the extent that we deem such reliance proper, upon representations of public officials and officers or other representatives of the Company.</w:t>
      </w:r>
    </w:p>
    <w:p>
      <w:pPr>
        <w:spacing w:after="0" w:line="190"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(vi) that all information contained in all documents reviewed by us is true, correct and complete and (vii) that the Common Stock will be issued in accordance with the terms of the Plan.</w:t>
      </w:r>
    </w:p>
    <w:p>
      <w:pPr>
        <w:spacing w:after="0" w:line="17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Based on the foregoing and subject to the limitations set forth herein, and having due regard for the legal considerations we deem relevant, we are of the opinion that the Common Stock has been duly authorized and, when shares of Common Stock are issued by the Company in accordance with the terms of the Plan and the instruments executed pursuant to the Plan, as applicable, which govern the awards to which shares of Common Stock relate, the shares of Common Stock will be validly issued, fully paid and non-assessable.</w:t>
      </w:r>
    </w:p>
    <w:p>
      <w:pPr>
        <w:spacing w:after="0" w:line="187"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This opinion is limited in all respects to the Delaware General Corporation Law. We express no opinion as to any other law or any matter other than as expressly set forth above, and no opinion on any other matter may be inferred or implied herefrom. The opinions expressed herein are rendered as of the date hereof and we expressly disclaim any obligation to update this letter or advise you of any change in any matter after the date hereof.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2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5940" w:type="dxa"/>
            <w:vAlign w:val="bottom"/>
          </w:tcPr>
          <w:p>
            <w:pPr>
              <w:ind w:left="20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5520" w:type="dxa"/>
            <w:vAlign w:val="bottom"/>
          </w:tcPr>
          <w:p>
            <w:pPr>
              <w:spacing w:after="0"/>
              <w:rPr>
                <w:sz w:val="20"/>
                <w:szCs w:val="20"/>
                <w:color w:val="auto"/>
              </w:rPr>
            </w:pPr>
            <w:r>
              <w:rPr>
                <w:rFonts w:ascii="Arial" w:cs="Arial" w:eastAsia="Arial" w:hAnsi="Arial"/>
                <w:sz w:val="18"/>
                <w:szCs w:val="18"/>
                <w:color w:val="auto"/>
              </w:rPr>
              <w:t>Abu Dhabi Austin Beijing Dallas Dubai Hong Kong Houston London</w:t>
            </w:r>
          </w:p>
        </w:tc>
        <w:tc>
          <w:tcPr>
            <w:tcW w:w="5940" w:type="dxa"/>
            <w:vAlign w:val="bottom"/>
          </w:tcPr>
          <w:p>
            <w:pPr>
              <w:ind w:left="200"/>
              <w:spacing w:after="0"/>
              <w:rPr>
                <w:sz w:val="20"/>
                <w:szCs w:val="20"/>
                <w:color w:val="auto"/>
              </w:rPr>
            </w:pPr>
            <w:r>
              <w:rPr>
                <w:rFonts w:ascii="Arial" w:cs="Arial" w:eastAsia="Arial" w:hAnsi="Arial"/>
                <w:sz w:val="18"/>
                <w:szCs w:val="18"/>
                <w:color w:val="auto"/>
              </w:rPr>
              <w:t>Houston, TX 77002-6760</w:t>
            </w:r>
          </w:p>
        </w:tc>
      </w:tr>
      <w:tr>
        <w:trPr>
          <w:trHeight w:val="234"/>
        </w:trPr>
        <w:tc>
          <w:tcPr>
            <w:tcW w:w="5520" w:type="dxa"/>
            <w:vAlign w:val="bottom"/>
          </w:tcPr>
          <w:p>
            <w:pPr>
              <w:spacing w:after="0"/>
              <w:rPr>
                <w:sz w:val="20"/>
                <w:szCs w:val="20"/>
                <w:color w:val="auto"/>
              </w:rPr>
            </w:pPr>
            <w:r>
              <w:rPr>
                <w:rFonts w:ascii="Arial" w:cs="Arial" w:eastAsia="Arial" w:hAnsi="Arial"/>
                <w:sz w:val="18"/>
                <w:szCs w:val="18"/>
                <w:color w:val="auto"/>
              </w:rPr>
              <w:t>Moscow New York Palo Alto Riyadh Shanghai Tokyo Washington</w:t>
            </w:r>
          </w:p>
        </w:tc>
        <w:tc>
          <w:tcPr>
            <w:tcW w:w="5940" w:type="dxa"/>
            <w:vAlign w:val="bottom"/>
          </w:tcPr>
          <w:p>
            <w:pPr>
              <w:ind w:left="20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r>
              <w:rPr>
                <w:rFonts w:ascii="Arial" w:cs="Arial" w:eastAsia="Arial" w:hAnsi="Arial"/>
                <w:sz w:val="18"/>
                <w:szCs w:val="18"/>
                <w:b w:val="1"/>
                <w:bCs w:val="1"/>
                <w:color w:val="auto"/>
              </w:rPr>
              <w:t xml:space="preserve">  www.velaw.com</w:t>
            </w:r>
          </w:p>
        </w:tc>
      </w:tr>
      <w:tr>
        <w:trPr>
          <w:trHeight w:val="807"/>
        </w:trPr>
        <w:tc>
          <w:tcPr>
            <w:tcW w:w="552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61"/>
        </w:trPr>
        <w:tc>
          <w:tcPr>
            <w:tcW w:w="5520" w:type="dxa"/>
            <w:vAlign w:val="bottom"/>
            <w:shd w:val="clear" w:color="auto" w:fill="808080"/>
          </w:tcPr>
          <w:p>
            <w:pPr>
              <w:spacing w:after="0"/>
              <w:rPr>
                <w:sz w:val="5"/>
                <w:szCs w:val="5"/>
                <w:color w:val="auto"/>
              </w:rPr>
            </w:pPr>
          </w:p>
        </w:tc>
        <w:tc>
          <w:tcPr>
            <w:tcW w:w="59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55" w:right="199" w:bottom="1440" w:gutter="0" w:footer="0" w:header="0"/>
        </w:sectPr>
      </w:pPr>
    </w:p>
    <w:bookmarkStart w:id="26" w:name="page27"/>
    <w:bookmarkEnd w:id="26"/>
    <w:p>
      <w:pPr>
        <w:jc w:val="right"/>
        <w:spacing w:after="0"/>
        <w:tabs>
          <w:tab w:leader="none" w:pos="1640" w:val="left"/>
          <w:tab w:leader="none" w:pos="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643255"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43255" cy="248920"/>
                    </a:xfrm>
                    <a:prstGeom prst="rect">
                      <a:avLst/>
                    </a:prstGeom>
                    <a:noFill/>
                  </pic:spPr>
                </pic:pic>
              </a:graphicData>
            </a:graphic>
          </wp:anchor>
        </w:drawing>
        <w:t>Civeo Corporation</w:t>
      </w:r>
      <w:r>
        <w:rPr>
          <w:sz w:val="20"/>
          <w:szCs w:val="20"/>
          <w:color w:val="auto"/>
        </w:rPr>
        <w:tab/>
      </w:r>
      <w:r>
        <w:rPr>
          <w:rFonts w:ascii="Arial" w:cs="Arial" w:eastAsia="Arial" w:hAnsi="Arial"/>
          <w:sz w:val="18"/>
          <w:szCs w:val="18"/>
          <w:color w:val="auto"/>
        </w:rPr>
        <w:t>May 27, 2014</w:t>
      </w:r>
      <w:r>
        <w:rPr>
          <w:sz w:val="20"/>
          <w:szCs w:val="20"/>
          <w:color w:val="auto"/>
        </w:rPr>
        <w:tab/>
      </w:r>
      <w:r>
        <w:rPr>
          <w:rFonts w:ascii="Arial" w:cs="Arial" w:eastAsia="Arial" w:hAnsi="Arial"/>
          <w:sz w:val="15"/>
          <w:szCs w:val="15"/>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opinion letter may be filed as an exhibit to the Registration Statement. In giving this consent, we do not thereby admit that we come within the category of persons whose consent is required under Section 7 of the Act.</w:t>
      </w:r>
    </w:p>
    <w:p>
      <w:pPr>
        <w:spacing w:after="0" w:line="38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/s/Vinson &amp; Elkins L.L.P.</w:t>
      </w:r>
    </w:p>
    <w:p>
      <w:pPr>
        <w:sectPr>
          <w:pgSz w:w="11900" w:h="16838" w:orient="portrait"/>
          <w:cols w:equalWidth="0" w:num="1">
            <w:col w:w="11420"/>
          </w:cols>
          <w:pgMar w:left="240" w:top="688"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2014 Equity Participation Plan of Civeo Corporation of our reports dated March 18, 2014, with respect to the combined financial statements of the Accommodations Business of Oil States International, Inc. and the financial statements of OIS Accommodations SpinCo Inc. included in Civeo Corporation’s Form 10 (001-36246), as amended, filed with the Securities and Exchange Commission.</w:t>
      </w:r>
    </w:p>
    <w:p>
      <w:pPr>
        <w:spacing w:after="0" w:line="200" w:lineRule="exact"/>
        <w:rPr>
          <w:sz w:val="20"/>
          <w:szCs w:val="20"/>
          <w:color w:val="auto"/>
        </w:rPr>
      </w:pPr>
    </w:p>
    <w:p>
      <w:pPr>
        <w:spacing w:after="0" w:line="3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27, 2014</w:t>
      </w:r>
    </w:p>
    <w:sectPr>
      <w:pgSz w:w="11900" w:h="16838" w:orient="portrait"/>
      <w:cols w:equalWidth="0" w:num="1">
        <w:col w:w="11420"/>
      </w:cols>
      <w:pgMar w:left="240" w:top="3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lowerLetter"/>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4">
    <w:nsid w:val="25E45D32"/>
    <w:multiLevelType w:val="hybridMultilevel"/>
    <w:lvl w:ilvl="0">
      <w:lvlJc w:val="left"/>
      <w:lvlText w:val="(%1)"/>
      <w:numFmt w:val="lowerRoman"/>
      <w:start w:val="2"/>
    </w:lvl>
  </w:abstractNum>
  <w:abstractNum w:abstractNumId="5">
    <w:nsid w:val="519B500D"/>
    <w:multiLevelType w:val="hybridMultilevel"/>
    <w:lvl w:ilvl="0">
      <w:lvlJc w:val="left"/>
      <w:lvlText w:val="%1"/>
      <w:numFmt w:val="lowerLetter"/>
      <w:start w:val="1"/>
    </w:lvl>
    <w:lvl w:ilvl="1">
      <w:lvlJc w:val="left"/>
      <w:lvlText w:val="%2."/>
      <w:numFmt w:val="decimal"/>
      <w:start w:val="2"/>
    </w:lvl>
  </w:abstractNum>
  <w:abstractNum w:abstractNumId="6">
    <w:nsid w:val="431BD7B7"/>
    <w:multiLevelType w:val="hybridMultilevel"/>
    <w:lvl w:ilvl="0">
      <w:lvlJc w:val="left"/>
      <w:lvlText w:val="(%1)"/>
      <w:numFmt w:val="lowerLetter"/>
      <w:start w:val="2"/>
    </w:lvl>
    <w:lvl w:ilvl="1">
      <w:lvlJc w:val="left"/>
      <w:lvlText w:val="%2"/>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lowerLetter"/>
      <w:start w:val="2"/>
    </w:lvl>
  </w:abstractNum>
  <w:abstractNum w:abstractNumId="11">
    <w:nsid w:val="436C6125"/>
    <w:multiLevelType w:val="hybridMultilevel"/>
    <w:lvl w:ilvl="0">
      <w:lvlJc w:val="left"/>
      <w:lvlText w:val="(%1)"/>
      <w:numFmt w:val="lowerRoman"/>
      <w:start w:val="5"/>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2"/>
    </w:lvl>
  </w:abstractNum>
  <w:abstractNum w:abstractNumId="14">
    <w:nsid w:val="721DA317"/>
    <w:multiLevelType w:val="hybridMultilevel"/>
    <w:lvl w:ilvl="0">
      <w:lvlJc w:val="left"/>
      <w:lvlText w:val="(%1)"/>
      <w:numFmt w:val="lowerLetter"/>
      <w:start w:val="1"/>
    </w:lvl>
    <w:lvl w:ilvl="1">
      <w:lvlJc w:val="left"/>
      <w:lvlText w:val="(%2)"/>
      <w:numFmt w:val="lowerRoman"/>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2"/>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4"/>
    </w:lvl>
  </w:abstractNum>
  <w:abstractNum w:abstractNumId="20">
    <w:nsid w:val="79838CB2"/>
    <w:multiLevelType w:val="hybridMultilevel"/>
    <w:lvl w:ilvl="0">
      <w:lvlJc w:val="left"/>
      <w:lvlText w:val="(%1)"/>
      <w:numFmt w:val="lowerLetter"/>
      <w:start w:val="1"/>
    </w:lvl>
    <w:lvl w:ilvl="1">
      <w:lvlJc w:val="left"/>
      <w:lvlText w:val="(%2)"/>
      <w:numFmt w:val="lowerRoman"/>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lvl w:ilvl="1">
      <w:lvlJc w:val="left"/>
      <w:lvlText w:val="(%2)"/>
      <w:numFmt w:val="lowerLetter"/>
      <w:start w:val="9"/>
    </w:lvl>
  </w:abstractNum>
  <w:abstractNum w:abstractNumId="23">
    <w:nsid w:val="189A769B"/>
    <w:multiLevelType w:val="hybridMultilevel"/>
    <w:lvl w:ilvl="0">
      <w:lvlJc w:val="left"/>
      <w:lvlText w:val="(%1)"/>
      <w:numFmt w:val="lowerRoman"/>
      <w:start w:val="2"/>
    </w:lvl>
  </w:abstractNum>
  <w:abstractNum w:abstractNumId="24">
    <w:nsid w:val="54E49EB4"/>
    <w:multiLevelType w:val="hybridMultilevel"/>
    <w:lvl w:ilvl="0">
      <w:lvlJc w:val="left"/>
      <w:lvlText w:val="(%1)"/>
      <w:numFmt w:val="lowerLetter"/>
      <w:start w:val="2"/>
    </w:lvl>
    <w:lvl w:ilvl="1">
      <w:lvlJc w:val="left"/>
      <w:lvlText w:val="(%2)"/>
      <w:numFmt w:val="lowerRoman"/>
      <w:start w:val="1"/>
    </w:lvl>
  </w:abstractNum>
  <w:abstractNum w:abstractNumId="25">
    <w:nsid w:val="71F32454"/>
    <w:multiLevelType w:val="hybridMultilevel"/>
    <w:lvl w:ilvl="0">
      <w:lvlJc w:val="left"/>
      <w:lvlText w:val="%1"/>
      <w:numFmt w:val="lowerLetter"/>
      <w:start w:val="1"/>
    </w:lvl>
    <w:lvl w:ilvl="1">
      <w:lvlJc w:val="left"/>
      <w:lvlText w:val="(%2)"/>
      <w:numFmt w:val="lowerRoman"/>
      <w:start w:val="3"/>
    </w:lvl>
  </w:abstractNum>
  <w:abstractNum w:abstractNumId="26">
    <w:nsid w:val="2CA88611"/>
    <w:multiLevelType w:val="hybridMultilevel"/>
    <w:lvl w:ilvl="0">
      <w:lvlJc w:val="left"/>
      <w:lvlText w:val="(%1)"/>
      <w:numFmt w:val="lowerLetter"/>
      <w:start w:val="4"/>
    </w:lvl>
    <w:lvl w:ilvl="1">
      <w:lvlJc w:val="left"/>
      <w:lvlText w:val="%2"/>
      <w:numFmt w:val="lowerRoman"/>
      <w:start w:val="1"/>
    </w:lvl>
  </w:abstractNum>
  <w:abstractNum w:abstractNumId="27">
    <w:nsid w:val="836C40E"/>
    <w:multiLevelType w:val="hybridMultilevel"/>
    <w:lvl w:ilvl="0">
      <w:lvlJc w:val="left"/>
      <w:lvlText w:val="(%1)"/>
      <w:numFmt w:val="lowerLetter"/>
      <w:start w:val="5"/>
    </w:lvl>
  </w:abstractNum>
  <w:abstractNum w:abstractNumId="28">
    <w:nsid w:val="2901D8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2019-12-08T09:07:43Z</dcterms:created>
  <dcterms:modified xsi:type="dcterms:W3CDTF">2019-12-08T09:07:43Z</dcterms:modified>
</cp:coreProperties>
</file>