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17878Y108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December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10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15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312" w:right="4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2200" w:type="dxa"/>
            <w:vAlign w:val="bottom"/>
          </w:tcPr>
          <w:p>
            <w:pPr>
              <w:spacing w:after="0"/>
              <w:rPr>
                <w:sz w:val="20"/>
                <w:szCs w:val="20"/>
                <w:color w:val="auto"/>
              </w:rPr>
            </w:pPr>
            <w:r>
              <w:rPr>
                <w:rFonts w:ascii="Arial" w:cs="Arial" w:eastAsia="Arial" w:hAnsi="Arial"/>
                <w:sz w:val="22"/>
                <w:szCs w:val="22"/>
                <w:b w:val="1"/>
                <w:bCs w:val="1"/>
                <w:color w:val="auto"/>
                <w:w w:val="94"/>
              </w:rPr>
              <w:t>CUSIP No. 17878Y108</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80" w:type="dxa"/>
            <w:vAlign w:val="bottom"/>
          </w:tcPr>
          <w:p>
            <w:pPr>
              <w:ind w:left="2080"/>
              <w:spacing w:after="0"/>
              <w:rPr>
                <w:sz w:val="20"/>
                <w:szCs w:val="20"/>
                <w:color w:val="auto"/>
              </w:rPr>
            </w:pPr>
            <w:r>
              <w:rPr>
                <w:rFonts w:ascii="Arial" w:cs="Arial" w:eastAsia="Arial" w:hAnsi="Arial"/>
                <w:sz w:val="22"/>
                <w:szCs w:val="22"/>
                <w:b w:val="1"/>
                <w:bCs w:val="1"/>
                <w:color w:val="auto"/>
              </w:rPr>
              <w:t>13G</w:t>
            </w:r>
          </w:p>
        </w:tc>
        <w:tc>
          <w:tcPr>
            <w:tcW w:w="1800" w:type="dxa"/>
            <w:vAlign w:val="bottom"/>
          </w:tcPr>
          <w:p>
            <w:pPr>
              <w:ind w:left="100"/>
              <w:spacing w:after="0"/>
              <w:rPr>
                <w:sz w:val="20"/>
                <w:szCs w:val="20"/>
                <w:color w:val="auto"/>
              </w:rPr>
            </w:pPr>
            <w:r>
              <w:rPr>
                <w:rFonts w:ascii="Arial" w:cs="Arial" w:eastAsia="Arial" w:hAnsi="Arial"/>
                <w:sz w:val="22"/>
                <w:szCs w:val="22"/>
                <w:b w:val="1"/>
                <w:bCs w:val="1"/>
                <w:color w:val="auto"/>
                <w:w w:val="83"/>
              </w:rPr>
              <w:t>Page 2 of 15 Pages</w:t>
            </w:r>
          </w:p>
        </w:tc>
        <w:tc>
          <w:tcPr>
            <w:tcW w:w="0" w:type="dxa"/>
            <w:vAlign w:val="bottom"/>
          </w:tcPr>
          <w:p>
            <w:pPr>
              <w:spacing w:after="0"/>
              <w:rPr>
                <w:sz w:val="1"/>
                <w:szCs w:val="1"/>
                <w:color w:val="auto"/>
              </w:rPr>
            </w:pPr>
          </w:p>
        </w:tc>
      </w:tr>
      <w:tr>
        <w:trPr>
          <w:trHeight w:val="679"/>
        </w:trPr>
        <w:tc>
          <w:tcPr>
            <w:tcW w:w="2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7420" w:type="dxa"/>
            <w:vAlign w:val="bottom"/>
            <w:gridSpan w:val="3"/>
          </w:tcPr>
          <w:p>
            <w:pPr>
              <w:ind w:left="420"/>
              <w:spacing w:after="0"/>
              <w:rPr>
                <w:sz w:val="20"/>
                <w:szCs w:val="20"/>
                <w:color w:val="auto"/>
              </w:rPr>
            </w:pPr>
            <w:r>
              <w:rPr>
                <w:rFonts w:ascii="Arial" w:cs="Arial" w:eastAsia="Arial" w:hAnsi="Arial"/>
                <w:sz w:val="20"/>
                <w:szCs w:val="20"/>
                <w:color w:val="auto"/>
              </w:rPr>
              <w:t>Centerbridge Credit Partners, L.P.</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800" w:type="dxa"/>
            <w:vAlign w:val="bottom"/>
            <w:tcBorders>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(a)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84"/>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(b)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9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w w:val="94"/>
              </w:rPr>
              <w:t>Delaware</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spacing w:after="0"/>
              <w:rPr>
                <w:sz w:val="22"/>
                <w:szCs w:val="22"/>
                <w:color w:val="auto"/>
              </w:rPr>
            </w:pPr>
          </w:p>
        </w:tc>
        <w:tc>
          <w:tcPr>
            <w:tcW w:w="1160" w:type="dxa"/>
            <w:vAlign w:val="bottom"/>
            <w:tcBorders>
              <w:right w:val="single" w:sz="8" w:color="auto"/>
            </w:tcBorders>
          </w:tcPr>
          <w:p>
            <w:pPr>
              <w:ind w:left="520"/>
              <w:spacing w:after="0"/>
              <w:rPr>
                <w:sz w:val="20"/>
                <w:szCs w:val="20"/>
                <w:color w:val="auto"/>
              </w:rPr>
            </w:pPr>
            <w:r>
              <w:rPr>
                <w:rFonts w:ascii="Arial" w:cs="Arial" w:eastAsia="Arial" w:hAnsi="Arial"/>
                <w:sz w:val="20"/>
                <w:szCs w:val="20"/>
                <w:b w:val="1"/>
                <w:bCs w:val="1"/>
                <w:color w:val="auto"/>
              </w:rPr>
              <w:t>5</w:t>
            </w:r>
          </w:p>
        </w:tc>
        <w:tc>
          <w:tcPr>
            <w:tcW w:w="8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Arial" w:cs="Arial" w:eastAsia="Arial" w:hAnsi="Arial"/>
                <w:sz w:val="20"/>
                <w:szCs w:val="20"/>
                <w:color w:val="auto"/>
              </w:rPr>
              <w:t>SOLE VOTING POWER</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6</w:t>
            </w:r>
          </w:p>
        </w:tc>
        <w:tc>
          <w:tcPr>
            <w:tcW w:w="80" w:type="dxa"/>
            <w:vAlign w:val="bottom"/>
          </w:tcPr>
          <w:p>
            <w:pPr>
              <w:spacing w:after="0"/>
              <w:rPr>
                <w:sz w:val="5"/>
                <w:szCs w:val="5"/>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VOTING POWER</w:t>
            </w: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16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180" w:type="dxa"/>
            <w:vAlign w:val="bottom"/>
            <w:vMerge w:val="continue"/>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2,232,559</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1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7</w:t>
            </w:r>
          </w:p>
        </w:tc>
        <w:tc>
          <w:tcPr>
            <w:tcW w:w="80" w:type="dxa"/>
            <w:vAlign w:val="bottom"/>
          </w:tcPr>
          <w:p>
            <w:pPr>
              <w:spacing w:after="0"/>
              <w:rPr>
                <w:sz w:val="9"/>
                <w:szCs w:val="9"/>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SOLE DISPOSITIVE POWER</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1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180" w:type="dxa"/>
            <w:vAlign w:val="bottom"/>
            <w:vMerge w:val="continue"/>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18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180" w:type="dxa"/>
            <w:vAlign w:val="bottom"/>
            <w:vMerge w:val="continue"/>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18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200" w:type="dxa"/>
            <w:vAlign w:val="bottom"/>
            <w:tcBorders>
              <w:left w:val="single" w:sz="8" w:color="auto"/>
              <w:right w:val="single" w:sz="8" w:color="auto"/>
            </w:tcBorders>
            <w:vMerge w:val="continue"/>
          </w:tcPr>
          <w:p>
            <w:pPr>
              <w:spacing w:after="0"/>
              <w:rPr>
                <w:sz w:val="16"/>
                <w:szCs w:val="16"/>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8</w:t>
            </w:r>
          </w:p>
        </w:tc>
        <w:tc>
          <w:tcPr>
            <w:tcW w:w="80" w:type="dxa"/>
            <w:vAlign w:val="bottom"/>
          </w:tcPr>
          <w:p>
            <w:pPr>
              <w:spacing w:after="0"/>
              <w:rPr>
                <w:sz w:val="16"/>
                <w:szCs w:val="16"/>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DISPOSITIVE POWER</w:t>
            </w: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200" w:type="dxa"/>
            <w:vAlign w:val="bottom"/>
            <w:tcBorders>
              <w:left w:val="single" w:sz="8" w:color="auto"/>
              <w:right w:val="single" w:sz="8" w:color="auto"/>
            </w:tcBorders>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180" w:type="dxa"/>
            <w:vAlign w:val="bottom"/>
            <w:vMerge w:val="continue"/>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2,232,559</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w w:val="96"/>
              </w:rPr>
              <w:t>AGGREGATE AMOUNT BENEFICIALLY OWNED BY EACH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w w:val="89"/>
              </w:rPr>
              <w:t>2,232,559</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BOX IF THE AGGREGATE AMOUNT IN ROW (9) EXCLUDES CERTAIN</w:t>
            </w:r>
          </w:p>
        </w:tc>
        <w:tc>
          <w:tcPr>
            <w:tcW w:w="1800" w:type="dxa"/>
            <w:vAlign w:val="bottom"/>
            <w:tcBorders>
              <w:right w:val="single" w:sz="8" w:color="auto"/>
            </w:tcBorders>
          </w:tcPr>
          <w:p>
            <w:pPr>
              <w:jc w:val="center"/>
              <w:ind w:right="219"/>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46"/>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SHARES</w:t>
            </w:r>
          </w:p>
        </w:tc>
        <w:tc>
          <w:tcPr>
            <w:tcW w:w="618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Pr>
          <w:p>
            <w:pPr>
              <w:ind w:left="420"/>
              <w:spacing w:after="0"/>
              <w:rPr>
                <w:sz w:val="20"/>
                <w:szCs w:val="20"/>
                <w:color w:val="auto"/>
              </w:rPr>
            </w:pPr>
            <w:r>
              <w:rPr>
                <w:rFonts w:ascii="Arial" w:cs="Arial" w:eastAsia="Arial" w:hAnsi="Arial"/>
                <w:sz w:val="20"/>
                <w:szCs w:val="20"/>
                <w:color w:val="auto"/>
              </w:rPr>
              <w:t>2.1%</w:t>
            </w:r>
          </w:p>
        </w:tc>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rPr>
              <w:t>PN</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2200" w:type="dxa"/>
            <w:vAlign w:val="bottom"/>
          </w:tcPr>
          <w:p>
            <w:pPr>
              <w:spacing w:after="0"/>
              <w:rPr>
                <w:sz w:val="20"/>
                <w:szCs w:val="20"/>
                <w:color w:val="auto"/>
              </w:rPr>
            </w:pPr>
            <w:r>
              <w:rPr>
                <w:rFonts w:ascii="Arial" w:cs="Arial" w:eastAsia="Arial" w:hAnsi="Arial"/>
                <w:sz w:val="22"/>
                <w:szCs w:val="22"/>
                <w:b w:val="1"/>
                <w:bCs w:val="1"/>
                <w:color w:val="auto"/>
                <w:w w:val="94"/>
              </w:rPr>
              <w:t>CUSIP No. 17878Y108</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80" w:type="dxa"/>
            <w:vAlign w:val="bottom"/>
          </w:tcPr>
          <w:p>
            <w:pPr>
              <w:ind w:left="2080"/>
              <w:spacing w:after="0"/>
              <w:rPr>
                <w:sz w:val="20"/>
                <w:szCs w:val="20"/>
                <w:color w:val="auto"/>
              </w:rPr>
            </w:pPr>
            <w:r>
              <w:rPr>
                <w:rFonts w:ascii="Arial" w:cs="Arial" w:eastAsia="Arial" w:hAnsi="Arial"/>
                <w:sz w:val="22"/>
                <w:szCs w:val="22"/>
                <w:b w:val="1"/>
                <w:bCs w:val="1"/>
                <w:color w:val="auto"/>
              </w:rPr>
              <w:t>13G</w:t>
            </w:r>
          </w:p>
        </w:tc>
        <w:tc>
          <w:tcPr>
            <w:tcW w:w="1800" w:type="dxa"/>
            <w:vAlign w:val="bottom"/>
          </w:tcPr>
          <w:p>
            <w:pPr>
              <w:ind w:left="100"/>
              <w:spacing w:after="0"/>
              <w:rPr>
                <w:sz w:val="20"/>
                <w:szCs w:val="20"/>
                <w:color w:val="auto"/>
              </w:rPr>
            </w:pPr>
            <w:r>
              <w:rPr>
                <w:rFonts w:ascii="Arial" w:cs="Arial" w:eastAsia="Arial" w:hAnsi="Arial"/>
                <w:sz w:val="22"/>
                <w:szCs w:val="22"/>
                <w:b w:val="1"/>
                <w:bCs w:val="1"/>
                <w:color w:val="auto"/>
                <w:w w:val="83"/>
              </w:rPr>
              <w:t>Page 3 of 15 Pages</w:t>
            </w:r>
          </w:p>
        </w:tc>
        <w:tc>
          <w:tcPr>
            <w:tcW w:w="0" w:type="dxa"/>
            <w:vAlign w:val="bottom"/>
          </w:tcPr>
          <w:p>
            <w:pPr>
              <w:spacing w:after="0"/>
              <w:rPr>
                <w:sz w:val="1"/>
                <w:szCs w:val="1"/>
                <w:color w:val="auto"/>
              </w:rPr>
            </w:pPr>
          </w:p>
        </w:tc>
      </w:tr>
      <w:tr>
        <w:trPr>
          <w:trHeight w:val="679"/>
        </w:trPr>
        <w:tc>
          <w:tcPr>
            <w:tcW w:w="2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7420" w:type="dxa"/>
            <w:vAlign w:val="bottom"/>
            <w:gridSpan w:val="3"/>
          </w:tcPr>
          <w:p>
            <w:pPr>
              <w:ind w:left="420"/>
              <w:spacing w:after="0"/>
              <w:rPr>
                <w:sz w:val="20"/>
                <w:szCs w:val="20"/>
                <w:color w:val="auto"/>
              </w:rPr>
            </w:pPr>
            <w:r>
              <w:rPr>
                <w:rFonts w:ascii="Arial" w:cs="Arial" w:eastAsia="Arial" w:hAnsi="Arial"/>
                <w:sz w:val="20"/>
                <w:szCs w:val="20"/>
                <w:color w:val="auto"/>
              </w:rPr>
              <w:t>Centerbridge Credit Partners General Partner, L.P.</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800" w:type="dxa"/>
            <w:vAlign w:val="bottom"/>
            <w:tcBorders>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(a)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84"/>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(b)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9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w w:val="94"/>
              </w:rPr>
              <w:t>Delaware</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spacing w:after="0"/>
              <w:rPr>
                <w:sz w:val="22"/>
                <w:szCs w:val="22"/>
                <w:color w:val="auto"/>
              </w:rPr>
            </w:pPr>
          </w:p>
        </w:tc>
        <w:tc>
          <w:tcPr>
            <w:tcW w:w="1160" w:type="dxa"/>
            <w:vAlign w:val="bottom"/>
            <w:tcBorders>
              <w:right w:val="single" w:sz="8" w:color="auto"/>
            </w:tcBorders>
          </w:tcPr>
          <w:p>
            <w:pPr>
              <w:ind w:left="520"/>
              <w:spacing w:after="0"/>
              <w:rPr>
                <w:sz w:val="20"/>
                <w:szCs w:val="20"/>
                <w:color w:val="auto"/>
              </w:rPr>
            </w:pPr>
            <w:r>
              <w:rPr>
                <w:rFonts w:ascii="Arial" w:cs="Arial" w:eastAsia="Arial" w:hAnsi="Arial"/>
                <w:sz w:val="20"/>
                <w:szCs w:val="20"/>
                <w:b w:val="1"/>
                <w:bCs w:val="1"/>
                <w:color w:val="auto"/>
              </w:rPr>
              <w:t>5</w:t>
            </w:r>
          </w:p>
        </w:tc>
        <w:tc>
          <w:tcPr>
            <w:tcW w:w="8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Arial" w:cs="Arial" w:eastAsia="Arial" w:hAnsi="Arial"/>
                <w:sz w:val="20"/>
                <w:szCs w:val="20"/>
                <w:color w:val="auto"/>
              </w:rPr>
              <w:t>SOLE VOTING POWER</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6</w:t>
            </w:r>
          </w:p>
        </w:tc>
        <w:tc>
          <w:tcPr>
            <w:tcW w:w="80" w:type="dxa"/>
            <w:vAlign w:val="bottom"/>
          </w:tcPr>
          <w:p>
            <w:pPr>
              <w:spacing w:after="0"/>
              <w:rPr>
                <w:sz w:val="5"/>
                <w:szCs w:val="5"/>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VOTING POWER</w:t>
            </w: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16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180" w:type="dxa"/>
            <w:vAlign w:val="bottom"/>
            <w:vMerge w:val="continue"/>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2,232,559</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1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7</w:t>
            </w:r>
          </w:p>
        </w:tc>
        <w:tc>
          <w:tcPr>
            <w:tcW w:w="80" w:type="dxa"/>
            <w:vAlign w:val="bottom"/>
          </w:tcPr>
          <w:p>
            <w:pPr>
              <w:spacing w:after="0"/>
              <w:rPr>
                <w:sz w:val="9"/>
                <w:szCs w:val="9"/>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SOLE DISPOSITIVE POWER</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1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180" w:type="dxa"/>
            <w:vAlign w:val="bottom"/>
            <w:vMerge w:val="continue"/>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18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180" w:type="dxa"/>
            <w:vAlign w:val="bottom"/>
            <w:vMerge w:val="continue"/>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18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200" w:type="dxa"/>
            <w:vAlign w:val="bottom"/>
            <w:tcBorders>
              <w:left w:val="single" w:sz="8" w:color="auto"/>
              <w:right w:val="single" w:sz="8" w:color="auto"/>
            </w:tcBorders>
            <w:vMerge w:val="continue"/>
          </w:tcPr>
          <w:p>
            <w:pPr>
              <w:spacing w:after="0"/>
              <w:rPr>
                <w:sz w:val="16"/>
                <w:szCs w:val="16"/>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8</w:t>
            </w:r>
          </w:p>
        </w:tc>
        <w:tc>
          <w:tcPr>
            <w:tcW w:w="80" w:type="dxa"/>
            <w:vAlign w:val="bottom"/>
          </w:tcPr>
          <w:p>
            <w:pPr>
              <w:spacing w:after="0"/>
              <w:rPr>
                <w:sz w:val="16"/>
                <w:szCs w:val="16"/>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DISPOSITIVE POWER</w:t>
            </w: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200" w:type="dxa"/>
            <w:vAlign w:val="bottom"/>
            <w:tcBorders>
              <w:left w:val="single" w:sz="8" w:color="auto"/>
              <w:right w:val="single" w:sz="8" w:color="auto"/>
            </w:tcBorders>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180" w:type="dxa"/>
            <w:vAlign w:val="bottom"/>
            <w:vMerge w:val="continue"/>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2,232,559</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w w:val="96"/>
              </w:rPr>
              <w:t>AGGREGATE AMOUNT BENEFICIALLY OWNED BY EACH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w w:val="89"/>
              </w:rPr>
              <w:t>2,232,559</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BOX IF THE AGGREGATE AMOUNT IN ROW (9) EXCLUDES CERTAIN</w:t>
            </w:r>
          </w:p>
        </w:tc>
        <w:tc>
          <w:tcPr>
            <w:tcW w:w="1800" w:type="dxa"/>
            <w:vAlign w:val="bottom"/>
            <w:tcBorders>
              <w:right w:val="single" w:sz="8" w:color="auto"/>
            </w:tcBorders>
          </w:tcPr>
          <w:p>
            <w:pPr>
              <w:jc w:val="center"/>
              <w:ind w:right="219"/>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46"/>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SHARES</w:t>
            </w:r>
          </w:p>
        </w:tc>
        <w:tc>
          <w:tcPr>
            <w:tcW w:w="618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Pr>
          <w:p>
            <w:pPr>
              <w:ind w:left="420"/>
              <w:spacing w:after="0"/>
              <w:rPr>
                <w:sz w:val="20"/>
                <w:szCs w:val="20"/>
                <w:color w:val="auto"/>
              </w:rPr>
            </w:pPr>
            <w:r>
              <w:rPr>
                <w:rFonts w:ascii="Arial" w:cs="Arial" w:eastAsia="Arial" w:hAnsi="Arial"/>
                <w:sz w:val="20"/>
                <w:szCs w:val="20"/>
                <w:color w:val="auto"/>
              </w:rPr>
              <w:t>2.1%</w:t>
            </w:r>
          </w:p>
        </w:tc>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rPr>
              <w:t>PN</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2200" w:type="dxa"/>
            <w:vAlign w:val="bottom"/>
          </w:tcPr>
          <w:p>
            <w:pPr>
              <w:spacing w:after="0"/>
              <w:rPr>
                <w:sz w:val="20"/>
                <w:szCs w:val="20"/>
                <w:color w:val="auto"/>
              </w:rPr>
            </w:pPr>
            <w:r>
              <w:rPr>
                <w:rFonts w:ascii="Arial" w:cs="Arial" w:eastAsia="Arial" w:hAnsi="Arial"/>
                <w:sz w:val="22"/>
                <w:szCs w:val="22"/>
                <w:b w:val="1"/>
                <w:bCs w:val="1"/>
                <w:color w:val="auto"/>
                <w:w w:val="94"/>
              </w:rPr>
              <w:t>CUSIP No. 17878Y108</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80" w:type="dxa"/>
            <w:vAlign w:val="bottom"/>
          </w:tcPr>
          <w:p>
            <w:pPr>
              <w:ind w:left="2080"/>
              <w:spacing w:after="0"/>
              <w:rPr>
                <w:sz w:val="20"/>
                <w:szCs w:val="20"/>
                <w:color w:val="auto"/>
              </w:rPr>
            </w:pPr>
            <w:r>
              <w:rPr>
                <w:rFonts w:ascii="Arial" w:cs="Arial" w:eastAsia="Arial" w:hAnsi="Arial"/>
                <w:sz w:val="22"/>
                <w:szCs w:val="22"/>
                <w:b w:val="1"/>
                <w:bCs w:val="1"/>
                <w:color w:val="auto"/>
              </w:rPr>
              <w:t>13G</w:t>
            </w:r>
          </w:p>
        </w:tc>
        <w:tc>
          <w:tcPr>
            <w:tcW w:w="1800" w:type="dxa"/>
            <w:vAlign w:val="bottom"/>
          </w:tcPr>
          <w:p>
            <w:pPr>
              <w:ind w:left="100"/>
              <w:spacing w:after="0"/>
              <w:rPr>
                <w:sz w:val="20"/>
                <w:szCs w:val="20"/>
                <w:color w:val="auto"/>
              </w:rPr>
            </w:pPr>
            <w:r>
              <w:rPr>
                <w:rFonts w:ascii="Arial" w:cs="Arial" w:eastAsia="Arial" w:hAnsi="Arial"/>
                <w:sz w:val="22"/>
                <w:szCs w:val="22"/>
                <w:b w:val="1"/>
                <w:bCs w:val="1"/>
                <w:color w:val="auto"/>
                <w:w w:val="83"/>
              </w:rPr>
              <w:t>Page 4 of 15 Pages</w:t>
            </w:r>
          </w:p>
        </w:tc>
        <w:tc>
          <w:tcPr>
            <w:tcW w:w="0" w:type="dxa"/>
            <w:vAlign w:val="bottom"/>
          </w:tcPr>
          <w:p>
            <w:pPr>
              <w:spacing w:after="0"/>
              <w:rPr>
                <w:sz w:val="1"/>
                <w:szCs w:val="1"/>
                <w:color w:val="auto"/>
              </w:rPr>
            </w:pPr>
          </w:p>
        </w:tc>
      </w:tr>
      <w:tr>
        <w:trPr>
          <w:trHeight w:val="679"/>
        </w:trPr>
        <w:tc>
          <w:tcPr>
            <w:tcW w:w="2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7420" w:type="dxa"/>
            <w:vAlign w:val="bottom"/>
            <w:gridSpan w:val="3"/>
          </w:tcPr>
          <w:p>
            <w:pPr>
              <w:ind w:left="420"/>
              <w:spacing w:after="0"/>
              <w:rPr>
                <w:sz w:val="20"/>
                <w:szCs w:val="20"/>
                <w:color w:val="auto"/>
              </w:rPr>
            </w:pPr>
            <w:r>
              <w:rPr>
                <w:rFonts w:ascii="Arial" w:cs="Arial" w:eastAsia="Arial" w:hAnsi="Arial"/>
                <w:sz w:val="20"/>
                <w:szCs w:val="20"/>
                <w:color w:val="auto"/>
              </w:rPr>
              <w:t>Centerbridge Credit GP Investors, L.L.C.</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800" w:type="dxa"/>
            <w:vAlign w:val="bottom"/>
            <w:tcBorders>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(a)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84"/>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(b)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9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w w:val="94"/>
              </w:rPr>
              <w:t>Delaware</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spacing w:after="0"/>
              <w:rPr>
                <w:sz w:val="22"/>
                <w:szCs w:val="22"/>
                <w:color w:val="auto"/>
              </w:rPr>
            </w:pPr>
          </w:p>
        </w:tc>
        <w:tc>
          <w:tcPr>
            <w:tcW w:w="1160" w:type="dxa"/>
            <w:vAlign w:val="bottom"/>
            <w:tcBorders>
              <w:right w:val="single" w:sz="8" w:color="auto"/>
            </w:tcBorders>
          </w:tcPr>
          <w:p>
            <w:pPr>
              <w:ind w:left="520"/>
              <w:spacing w:after="0"/>
              <w:rPr>
                <w:sz w:val="20"/>
                <w:szCs w:val="20"/>
                <w:color w:val="auto"/>
              </w:rPr>
            </w:pPr>
            <w:r>
              <w:rPr>
                <w:rFonts w:ascii="Arial" w:cs="Arial" w:eastAsia="Arial" w:hAnsi="Arial"/>
                <w:sz w:val="20"/>
                <w:szCs w:val="20"/>
                <w:b w:val="1"/>
                <w:bCs w:val="1"/>
                <w:color w:val="auto"/>
              </w:rPr>
              <w:t>5</w:t>
            </w:r>
          </w:p>
        </w:tc>
        <w:tc>
          <w:tcPr>
            <w:tcW w:w="8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Arial" w:cs="Arial" w:eastAsia="Arial" w:hAnsi="Arial"/>
                <w:sz w:val="20"/>
                <w:szCs w:val="20"/>
                <w:color w:val="auto"/>
              </w:rPr>
              <w:t>SOLE VOTING POWER</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6</w:t>
            </w:r>
          </w:p>
        </w:tc>
        <w:tc>
          <w:tcPr>
            <w:tcW w:w="80" w:type="dxa"/>
            <w:vAlign w:val="bottom"/>
          </w:tcPr>
          <w:p>
            <w:pPr>
              <w:spacing w:after="0"/>
              <w:rPr>
                <w:sz w:val="5"/>
                <w:szCs w:val="5"/>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VOTING POWER</w:t>
            </w: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16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180" w:type="dxa"/>
            <w:vAlign w:val="bottom"/>
            <w:vMerge w:val="continue"/>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2,232,559</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1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7</w:t>
            </w:r>
          </w:p>
        </w:tc>
        <w:tc>
          <w:tcPr>
            <w:tcW w:w="80" w:type="dxa"/>
            <w:vAlign w:val="bottom"/>
          </w:tcPr>
          <w:p>
            <w:pPr>
              <w:spacing w:after="0"/>
              <w:rPr>
                <w:sz w:val="9"/>
                <w:szCs w:val="9"/>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SOLE DISPOSITIVE POWER</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1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180" w:type="dxa"/>
            <w:vAlign w:val="bottom"/>
            <w:vMerge w:val="continue"/>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18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180" w:type="dxa"/>
            <w:vAlign w:val="bottom"/>
            <w:vMerge w:val="continue"/>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18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200" w:type="dxa"/>
            <w:vAlign w:val="bottom"/>
            <w:tcBorders>
              <w:left w:val="single" w:sz="8" w:color="auto"/>
              <w:right w:val="single" w:sz="8" w:color="auto"/>
            </w:tcBorders>
            <w:vMerge w:val="continue"/>
          </w:tcPr>
          <w:p>
            <w:pPr>
              <w:spacing w:after="0"/>
              <w:rPr>
                <w:sz w:val="16"/>
                <w:szCs w:val="16"/>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8</w:t>
            </w:r>
          </w:p>
        </w:tc>
        <w:tc>
          <w:tcPr>
            <w:tcW w:w="80" w:type="dxa"/>
            <w:vAlign w:val="bottom"/>
          </w:tcPr>
          <w:p>
            <w:pPr>
              <w:spacing w:after="0"/>
              <w:rPr>
                <w:sz w:val="16"/>
                <w:szCs w:val="16"/>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DISPOSITIVE POWER</w:t>
            </w: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200" w:type="dxa"/>
            <w:vAlign w:val="bottom"/>
            <w:tcBorders>
              <w:left w:val="single" w:sz="8" w:color="auto"/>
              <w:right w:val="single" w:sz="8" w:color="auto"/>
            </w:tcBorders>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180" w:type="dxa"/>
            <w:vAlign w:val="bottom"/>
            <w:vMerge w:val="continue"/>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2,232,559</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w w:val="96"/>
              </w:rPr>
              <w:t>AGGREGATE AMOUNT BENEFICIALLY OWNED BY EACH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w w:val="89"/>
              </w:rPr>
              <w:t>2,232,559</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BOX IF THE AGGREGATE AMOUNT IN ROW (9) EXCLUDES CERTAIN</w:t>
            </w:r>
          </w:p>
        </w:tc>
        <w:tc>
          <w:tcPr>
            <w:tcW w:w="1800" w:type="dxa"/>
            <w:vAlign w:val="bottom"/>
            <w:tcBorders>
              <w:right w:val="single" w:sz="8" w:color="auto"/>
            </w:tcBorders>
          </w:tcPr>
          <w:p>
            <w:pPr>
              <w:jc w:val="center"/>
              <w:ind w:right="219"/>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46"/>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SHARES</w:t>
            </w:r>
          </w:p>
        </w:tc>
        <w:tc>
          <w:tcPr>
            <w:tcW w:w="618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Pr>
          <w:p>
            <w:pPr>
              <w:ind w:left="420"/>
              <w:spacing w:after="0"/>
              <w:rPr>
                <w:sz w:val="20"/>
                <w:szCs w:val="20"/>
                <w:color w:val="auto"/>
              </w:rPr>
            </w:pPr>
            <w:r>
              <w:rPr>
                <w:rFonts w:ascii="Arial" w:cs="Arial" w:eastAsia="Arial" w:hAnsi="Arial"/>
                <w:sz w:val="20"/>
                <w:szCs w:val="20"/>
                <w:color w:val="auto"/>
              </w:rPr>
              <w:t>2.1%</w:t>
            </w:r>
          </w:p>
        </w:tc>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rPr>
              <w:t>OO</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2200" w:type="dxa"/>
            <w:vAlign w:val="bottom"/>
          </w:tcPr>
          <w:p>
            <w:pPr>
              <w:spacing w:after="0"/>
              <w:rPr>
                <w:sz w:val="20"/>
                <w:szCs w:val="20"/>
                <w:color w:val="auto"/>
              </w:rPr>
            </w:pPr>
            <w:r>
              <w:rPr>
                <w:rFonts w:ascii="Arial" w:cs="Arial" w:eastAsia="Arial" w:hAnsi="Arial"/>
                <w:sz w:val="22"/>
                <w:szCs w:val="22"/>
                <w:b w:val="1"/>
                <w:bCs w:val="1"/>
                <w:color w:val="auto"/>
                <w:w w:val="94"/>
              </w:rPr>
              <w:t>CUSIP No. 17878Y108</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80" w:type="dxa"/>
            <w:vAlign w:val="bottom"/>
          </w:tcPr>
          <w:p>
            <w:pPr>
              <w:ind w:left="2080"/>
              <w:spacing w:after="0"/>
              <w:rPr>
                <w:sz w:val="20"/>
                <w:szCs w:val="20"/>
                <w:color w:val="auto"/>
              </w:rPr>
            </w:pPr>
            <w:r>
              <w:rPr>
                <w:rFonts w:ascii="Arial" w:cs="Arial" w:eastAsia="Arial" w:hAnsi="Arial"/>
                <w:sz w:val="22"/>
                <w:szCs w:val="22"/>
                <w:b w:val="1"/>
                <w:bCs w:val="1"/>
                <w:color w:val="auto"/>
              </w:rPr>
              <w:t>13G</w:t>
            </w:r>
          </w:p>
        </w:tc>
        <w:tc>
          <w:tcPr>
            <w:tcW w:w="1800" w:type="dxa"/>
            <w:vAlign w:val="bottom"/>
          </w:tcPr>
          <w:p>
            <w:pPr>
              <w:ind w:left="100"/>
              <w:spacing w:after="0"/>
              <w:rPr>
                <w:sz w:val="20"/>
                <w:szCs w:val="20"/>
                <w:color w:val="auto"/>
              </w:rPr>
            </w:pPr>
            <w:r>
              <w:rPr>
                <w:rFonts w:ascii="Arial" w:cs="Arial" w:eastAsia="Arial" w:hAnsi="Arial"/>
                <w:sz w:val="22"/>
                <w:szCs w:val="22"/>
                <w:b w:val="1"/>
                <w:bCs w:val="1"/>
                <w:color w:val="auto"/>
                <w:w w:val="83"/>
              </w:rPr>
              <w:t>Page 5 of 15 Pages</w:t>
            </w:r>
          </w:p>
        </w:tc>
        <w:tc>
          <w:tcPr>
            <w:tcW w:w="0" w:type="dxa"/>
            <w:vAlign w:val="bottom"/>
          </w:tcPr>
          <w:p>
            <w:pPr>
              <w:spacing w:after="0"/>
              <w:rPr>
                <w:sz w:val="1"/>
                <w:szCs w:val="1"/>
                <w:color w:val="auto"/>
              </w:rPr>
            </w:pPr>
          </w:p>
        </w:tc>
      </w:tr>
      <w:tr>
        <w:trPr>
          <w:trHeight w:val="679"/>
        </w:trPr>
        <w:tc>
          <w:tcPr>
            <w:tcW w:w="2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7420" w:type="dxa"/>
            <w:vAlign w:val="bottom"/>
            <w:gridSpan w:val="3"/>
          </w:tcPr>
          <w:p>
            <w:pPr>
              <w:ind w:left="420"/>
              <w:spacing w:after="0"/>
              <w:rPr>
                <w:sz w:val="20"/>
                <w:szCs w:val="20"/>
                <w:color w:val="auto"/>
              </w:rPr>
            </w:pPr>
            <w:r>
              <w:rPr>
                <w:rFonts w:ascii="Arial" w:cs="Arial" w:eastAsia="Arial" w:hAnsi="Arial"/>
                <w:sz w:val="20"/>
                <w:szCs w:val="20"/>
                <w:color w:val="auto"/>
              </w:rPr>
              <w:t>Centerbridge Credit Partners Master, L.P.</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800" w:type="dxa"/>
            <w:vAlign w:val="bottom"/>
            <w:tcBorders>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(a)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84"/>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(b)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9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7420" w:type="dxa"/>
            <w:vAlign w:val="bottom"/>
            <w:gridSpan w:val="3"/>
          </w:tcPr>
          <w:p>
            <w:pPr>
              <w:ind w:left="420"/>
              <w:spacing w:after="0"/>
              <w:rPr>
                <w:sz w:val="20"/>
                <w:szCs w:val="20"/>
                <w:color w:val="auto"/>
              </w:rPr>
            </w:pPr>
            <w:r>
              <w:rPr>
                <w:rFonts w:ascii="Arial" w:cs="Arial" w:eastAsia="Arial" w:hAnsi="Arial"/>
                <w:sz w:val="20"/>
                <w:szCs w:val="20"/>
                <w:color w:val="auto"/>
              </w:rPr>
              <w:t>Cayman Islands</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spacing w:after="0"/>
              <w:rPr>
                <w:sz w:val="22"/>
                <w:szCs w:val="22"/>
                <w:color w:val="auto"/>
              </w:rPr>
            </w:pPr>
          </w:p>
        </w:tc>
        <w:tc>
          <w:tcPr>
            <w:tcW w:w="1160" w:type="dxa"/>
            <w:vAlign w:val="bottom"/>
            <w:tcBorders>
              <w:right w:val="single" w:sz="8" w:color="auto"/>
            </w:tcBorders>
          </w:tcPr>
          <w:p>
            <w:pPr>
              <w:ind w:left="520"/>
              <w:spacing w:after="0"/>
              <w:rPr>
                <w:sz w:val="20"/>
                <w:szCs w:val="20"/>
                <w:color w:val="auto"/>
              </w:rPr>
            </w:pPr>
            <w:r>
              <w:rPr>
                <w:rFonts w:ascii="Arial" w:cs="Arial" w:eastAsia="Arial" w:hAnsi="Arial"/>
                <w:sz w:val="20"/>
                <w:szCs w:val="20"/>
                <w:b w:val="1"/>
                <w:bCs w:val="1"/>
                <w:color w:val="auto"/>
              </w:rPr>
              <w:t>5</w:t>
            </w:r>
          </w:p>
        </w:tc>
        <w:tc>
          <w:tcPr>
            <w:tcW w:w="8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Arial" w:cs="Arial" w:eastAsia="Arial" w:hAnsi="Arial"/>
                <w:sz w:val="20"/>
                <w:szCs w:val="20"/>
                <w:color w:val="auto"/>
              </w:rPr>
              <w:t>SOLE VOTING POWER</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6</w:t>
            </w:r>
          </w:p>
        </w:tc>
        <w:tc>
          <w:tcPr>
            <w:tcW w:w="80" w:type="dxa"/>
            <w:vAlign w:val="bottom"/>
          </w:tcPr>
          <w:p>
            <w:pPr>
              <w:spacing w:after="0"/>
              <w:rPr>
                <w:sz w:val="5"/>
                <w:szCs w:val="5"/>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VOTING POWER</w:t>
            </w: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16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180" w:type="dxa"/>
            <w:vAlign w:val="bottom"/>
            <w:vMerge w:val="continue"/>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4,146,351</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1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7</w:t>
            </w:r>
          </w:p>
        </w:tc>
        <w:tc>
          <w:tcPr>
            <w:tcW w:w="80" w:type="dxa"/>
            <w:vAlign w:val="bottom"/>
          </w:tcPr>
          <w:p>
            <w:pPr>
              <w:spacing w:after="0"/>
              <w:rPr>
                <w:sz w:val="9"/>
                <w:szCs w:val="9"/>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SOLE DISPOSITIVE POWER</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1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180" w:type="dxa"/>
            <w:vAlign w:val="bottom"/>
            <w:vMerge w:val="continue"/>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18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180" w:type="dxa"/>
            <w:vAlign w:val="bottom"/>
            <w:vMerge w:val="continue"/>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18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200" w:type="dxa"/>
            <w:vAlign w:val="bottom"/>
            <w:tcBorders>
              <w:left w:val="single" w:sz="8" w:color="auto"/>
              <w:right w:val="single" w:sz="8" w:color="auto"/>
            </w:tcBorders>
            <w:vMerge w:val="continue"/>
          </w:tcPr>
          <w:p>
            <w:pPr>
              <w:spacing w:after="0"/>
              <w:rPr>
                <w:sz w:val="16"/>
                <w:szCs w:val="16"/>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8</w:t>
            </w:r>
          </w:p>
        </w:tc>
        <w:tc>
          <w:tcPr>
            <w:tcW w:w="80" w:type="dxa"/>
            <w:vAlign w:val="bottom"/>
          </w:tcPr>
          <w:p>
            <w:pPr>
              <w:spacing w:after="0"/>
              <w:rPr>
                <w:sz w:val="16"/>
                <w:szCs w:val="16"/>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DISPOSITIVE POWER</w:t>
            </w: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200" w:type="dxa"/>
            <w:vAlign w:val="bottom"/>
            <w:tcBorders>
              <w:left w:val="single" w:sz="8" w:color="auto"/>
              <w:right w:val="single" w:sz="8" w:color="auto"/>
            </w:tcBorders>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180" w:type="dxa"/>
            <w:vAlign w:val="bottom"/>
            <w:vMerge w:val="continue"/>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4,146,351</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w w:val="96"/>
              </w:rPr>
              <w:t>AGGREGATE AMOUNT BENEFICIALLY OWNED BY EACH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w w:val="89"/>
              </w:rPr>
              <w:t>4,146,351</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BOX IF THE AGGREGATE AMOUNT IN ROW (9) EXCLUDES CERTAIN</w:t>
            </w:r>
          </w:p>
        </w:tc>
        <w:tc>
          <w:tcPr>
            <w:tcW w:w="1800" w:type="dxa"/>
            <w:vAlign w:val="bottom"/>
            <w:tcBorders>
              <w:right w:val="single" w:sz="8" w:color="auto"/>
            </w:tcBorders>
          </w:tcPr>
          <w:p>
            <w:pPr>
              <w:jc w:val="center"/>
              <w:ind w:right="219"/>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46"/>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SHARES</w:t>
            </w:r>
          </w:p>
        </w:tc>
        <w:tc>
          <w:tcPr>
            <w:tcW w:w="618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Pr>
          <w:p>
            <w:pPr>
              <w:ind w:left="420"/>
              <w:spacing w:after="0"/>
              <w:rPr>
                <w:sz w:val="20"/>
                <w:szCs w:val="20"/>
                <w:color w:val="auto"/>
              </w:rPr>
            </w:pPr>
            <w:r>
              <w:rPr>
                <w:rFonts w:ascii="Arial" w:cs="Arial" w:eastAsia="Arial" w:hAnsi="Arial"/>
                <w:sz w:val="20"/>
                <w:szCs w:val="20"/>
                <w:color w:val="auto"/>
              </w:rPr>
              <w:t>3.9%</w:t>
            </w:r>
          </w:p>
        </w:tc>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rPr>
              <w:t>PN</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2200" w:type="dxa"/>
            <w:vAlign w:val="bottom"/>
          </w:tcPr>
          <w:p>
            <w:pPr>
              <w:spacing w:after="0"/>
              <w:rPr>
                <w:sz w:val="20"/>
                <w:szCs w:val="20"/>
                <w:color w:val="auto"/>
              </w:rPr>
            </w:pPr>
            <w:r>
              <w:rPr>
                <w:rFonts w:ascii="Arial" w:cs="Arial" w:eastAsia="Arial" w:hAnsi="Arial"/>
                <w:sz w:val="22"/>
                <w:szCs w:val="22"/>
                <w:b w:val="1"/>
                <w:bCs w:val="1"/>
                <w:color w:val="auto"/>
                <w:w w:val="94"/>
              </w:rPr>
              <w:t>CUSIP No. 17878Y108</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80" w:type="dxa"/>
            <w:vAlign w:val="bottom"/>
          </w:tcPr>
          <w:p>
            <w:pPr>
              <w:ind w:left="2080"/>
              <w:spacing w:after="0"/>
              <w:rPr>
                <w:sz w:val="20"/>
                <w:szCs w:val="20"/>
                <w:color w:val="auto"/>
              </w:rPr>
            </w:pPr>
            <w:r>
              <w:rPr>
                <w:rFonts w:ascii="Arial" w:cs="Arial" w:eastAsia="Arial" w:hAnsi="Arial"/>
                <w:sz w:val="22"/>
                <w:szCs w:val="22"/>
                <w:b w:val="1"/>
                <w:bCs w:val="1"/>
                <w:color w:val="auto"/>
              </w:rPr>
              <w:t>13G</w:t>
            </w:r>
          </w:p>
        </w:tc>
        <w:tc>
          <w:tcPr>
            <w:tcW w:w="1800" w:type="dxa"/>
            <w:vAlign w:val="bottom"/>
          </w:tcPr>
          <w:p>
            <w:pPr>
              <w:ind w:left="100"/>
              <w:spacing w:after="0"/>
              <w:rPr>
                <w:sz w:val="20"/>
                <w:szCs w:val="20"/>
                <w:color w:val="auto"/>
              </w:rPr>
            </w:pPr>
            <w:r>
              <w:rPr>
                <w:rFonts w:ascii="Arial" w:cs="Arial" w:eastAsia="Arial" w:hAnsi="Arial"/>
                <w:sz w:val="22"/>
                <w:szCs w:val="22"/>
                <w:b w:val="1"/>
                <w:bCs w:val="1"/>
                <w:color w:val="auto"/>
                <w:w w:val="83"/>
              </w:rPr>
              <w:t>Page 6 of 15 Pages</w:t>
            </w:r>
          </w:p>
        </w:tc>
        <w:tc>
          <w:tcPr>
            <w:tcW w:w="0" w:type="dxa"/>
            <w:vAlign w:val="bottom"/>
          </w:tcPr>
          <w:p>
            <w:pPr>
              <w:spacing w:after="0"/>
              <w:rPr>
                <w:sz w:val="1"/>
                <w:szCs w:val="1"/>
                <w:color w:val="auto"/>
              </w:rPr>
            </w:pPr>
          </w:p>
        </w:tc>
      </w:tr>
      <w:tr>
        <w:trPr>
          <w:trHeight w:val="679"/>
        </w:trPr>
        <w:tc>
          <w:tcPr>
            <w:tcW w:w="2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00" w:type="dxa"/>
            <w:vAlign w:val="bottom"/>
            <w:tcBorders>
              <w:left w:val="single" w:sz="8" w:color="auto"/>
              <w:right w:val="single" w:sz="8" w:color="auto"/>
            </w:tcBorders>
          </w:tcPr>
          <w:p>
            <w:pPr>
              <w:spacing w:after="0"/>
              <w:rPr>
                <w:sz w:val="24"/>
                <w:szCs w:val="24"/>
                <w:color w:val="auto"/>
              </w:rPr>
            </w:pPr>
          </w:p>
        </w:tc>
        <w:tc>
          <w:tcPr>
            <w:tcW w:w="7420" w:type="dxa"/>
            <w:vAlign w:val="bottom"/>
            <w:gridSpan w:val="3"/>
          </w:tcPr>
          <w:p>
            <w:pPr>
              <w:ind w:left="420"/>
              <w:spacing w:after="0"/>
              <w:rPr>
                <w:sz w:val="20"/>
                <w:szCs w:val="20"/>
                <w:color w:val="auto"/>
              </w:rPr>
            </w:pPr>
            <w:r>
              <w:rPr>
                <w:rFonts w:ascii="Arial" w:cs="Arial" w:eastAsia="Arial" w:hAnsi="Arial"/>
                <w:sz w:val="20"/>
                <w:szCs w:val="20"/>
                <w:color w:val="auto"/>
              </w:rPr>
              <w:t>Centerbridge Credit Partners Offshore General Partner, L.P.</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800" w:type="dxa"/>
            <w:vAlign w:val="bottom"/>
            <w:tcBorders>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(a)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84"/>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(b)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9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w w:val="94"/>
              </w:rPr>
              <w:t>Delaware</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spacing w:after="0"/>
              <w:rPr>
                <w:sz w:val="22"/>
                <w:szCs w:val="22"/>
                <w:color w:val="auto"/>
              </w:rPr>
            </w:pPr>
          </w:p>
        </w:tc>
        <w:tc>
          <w:tcPr>
            <w:tcW w:w="1160" w:type="dxa"/>
            <w:vAlign w:val="bottom"/>
            <w:tcBorders>
              <w:right w:val="single" w:sz="8" w:color="auto"/>
            </w:tcBorders>
          </w:tcPr>
          <w:p>
            <w:pPr>
              <w:ind w:left="520"/>
              <w:spacing w:after="0"/>
              <w:rPr>
                <w:sz w:val="20"/>
                <w:szCs w:val="20"/>
                <w:color w:val="auto"/>
              </w:rPr>
            </w:pPr>
            <w:r>
              <w:rPr>
                <w:rFonts w:ascii="Arial" w:cs="Arial" w:eastAsia="Arial" w:hAnsi="Arial"/>
                <w:sz w:val="20"/>
                <w:szCs w:val="20"/>
                <w:b w:val="1"/>
                <w:bCs w:val="1"/>
                <w:color w:val="auto"/>
              </w:rPr>
              <w:t>5</w:t>
            </w:r>
          </w:p>
        </w:tc>
        <w:tc>
          <w:tcPr>
            <w:tcW w:w="8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Arial" w:cs="Arial" w:eastAsia="Arial" w:hAnsi="Arial"/>
                <w:sz w:val="20"/>
                <w:szCs w:val="20"/>
                <w:color w:val="auto"/>
              </w:rPr>
              <w:t>SOLE VOTING POWER</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6</w:t>
            </w:r>
          </w:p>
        </w:tc>
        <w:tc>
          <w:tcPr>
            <w:tcW w:w="80" w:type="dxa"/>
            <w:vAlign w:val="bottom"/>
          </w:tcPr>
          <w:p>
            <w:pPr>
              <w:spacing w:after="0"/>
              <w:rPr>
                <w:sz w:val="5"/>
                <w:szCs w:val="5"/>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VOTING POWER</w:t>
            </w: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16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180" w:type="dxa"/>
            <w:vAlign w:val="bottom"/>
            <w:vMerge w:val="continue"/>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4,146,351</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1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7</w:t>
            </w:r>
          </w:p>
        </w:tc>
        <w:tc>
          <w:tcPr>
            <w:tcW w:w="80" w:type="dxa"/>
            <w:vAlign w:val="bottom"/>
          </w:tcPr>
          <w:p>
            <w:pPr>
              <w:spacing w:after="0"/>
              <w:rPr>
                <w:sz w:val="9"/>
                <w:szCs w:val="9"/>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SOLE DISPOSITIVE POWER</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1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180" w:type="dxa"/>
            <w:vAlign w:val="bottom"/>
            <w:vMerge w:val="continue"/>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18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180" w:type="dxa"/>
            <w:vAlign w:val="bottom"/>
            <w:vMerge w:val="continue"/>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18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200" w:type="dxa"/>
            <w:vAlign w:val="bottom"/>
            <w:tcBorders>
              <w:left w:val="single" w:sz="8" w:color="auto"/>
              <w:right w:val="single" w:sz="8" w:color="auto"/>
            </w:tcBorders>
            <w:vMerge w:val="continue"/>
          </w:tcPr>
          <w:p>
            <w:pPr>
              <w:spacing w:after="0"/>
              <w:rPr>
                <w:sz w:val="16"/>
                <w:szCs w:val="16"/>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8</w:t>
            </w:r>
          </w:p>
        </w:tc>
        <w:tc>
          <w:tcPr>
            <w:tcW w:w="80" w:type="dxa"/>
            <w:vAlign w:val="bottom"/>
          </w:tcPr>
          <w:p>
            <w:pPr>
              <w:spacing w:after="0"/>
              <w:rPr>
                <w:sz w:val="16"/>
                <w:szCs w:val="16"/>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DISPOSITIVE POWER</w:t>
            </w: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200" w:type="dxa"/>
            <w:vAlign w:val="bottom"/>
            <w:tcBorders>
              <w:left w:val="single" w:sz="8" w:color="auto"/>
              <w:right w:val="single" w:sz="8" w:color="auto"/>
            </w:tcBorders>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180" w:type="dxa"/>
            <w:vAlign w:val="bottom"/>
            <w:vMerge w:val="continue"/>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4,146,351</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w w:val="96"/>
              </w:rPr>
              <w:t>AGGREGATE AMOUNT BENEFICIALLY OWNED BY EACH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w w:val="89"/>
              </w:rPr>
              <w:t>4,146,351</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BOX IF THE AGGREGATE AMOUNT IN ROW (9) EXCLUDES CERTAIN</w:t>
            </w:r>
          </w:p>
        </w:tc>
        <w:tc>
          <w:tcPr>
            <w:tcW w:w="1800" w:type="dxa"/>
            <w:vAlign w:val="bottom"/>
            <w:tcBorders>
              <w:right w:val="single" w:sz="8" w:color="auto"/>
            </w:tcBorders>
          </w:tcPr>
          <w:p>
            <w:pPr>
              <w:jc w:val="center"/>
              <w:ind w:right="219"/>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46"/>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SHARES</w:t>
            </w:r>
          </w:p>
        </w:tc>
        <w:tc>
          <w:tcPr>
            <w:tcW w:w="618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Pr>
          <w:p>
            <w:pPr>
              <w:ind w:left="420"/>
              <w:spacing w:after="0"/>
              <w:rPr>
                <w:sz w:val="20"/>
                <w:szCs w:val="20"/>
                <w:color w:val="auto"/>
              </w:rPr>
            </w:pPr>
            <w:r>
              <w:rPr>
                <w:rFonts w:ascii="Arial" w:cs="Arial" w:eastAsia="Arial" w:hAnsi="Arial"/>
                <w:sz w:val="20"/>
                <w:szCs w:val="20"/>
                <w:color w:val="auto"/>
              </w:rPr>
              <w:t>3.9%</w:t>
            </w:r>
          </w:p>
        </w:tc>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rPr>
              <w:t>PN</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2200" w:type="dxa"/>
            <w:vAlign w:val="bottom"/>
          </w:tcPr>
          <w:p>
            <w:pPr>
              <w:spacing w:after="0"/>
              <w:rPr>
                <w:sz w:val="20"/>
                <w:szCs w:val="20"/>
                <w:color w:val="auto"/>
              </w:rPr>
            </w:pPr>
            <w:r>
              <w:rPr>
                <w:rFonts w:ascii="Arial" w:cs="Arial" w:eastAsia="Arial" w:hAnsi="Arial"/>
                <w:sz w:val="22"/>
                <w:szCs w:val="22"/>
                <w:b w:val="1"/>
                <w:bCs w:val="1"/>
                <w:color w:val="auto"/>
                <w:w w:val="94"/>
              </w:rPr>
              <w:t>CUSIP No. 17878Y108</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80" w:type="dxa"/>
            <w:vAlign w:val="bottom"/>
          </w:tcPr>
          <w:p>
            <w:pPr>
              <w:ind w:left="2080"/>
              <w:spacing w:after="0"/>
              <w:rPr>
                <w:sz w:val="20"/>
                <w:szCs w:val="20"/>
                <w:color w:val="auto"/>
              </w:rPr>
            </w:pPr>
            <w:r>
              <w:rPr>
                <w:rFonts w:ascii="Arial" w:cs="Arial" w:eastAsia="Arial" w:hAnsi="Arial"/>
                <w:sz w:val="22"/>
                <w:szCs w:val="22"/>
                <w:b w:val="1"/>
                <w:bCs w:val="1"/>
                <w:color w:val="auto"/>
              </w:rPr>
              <w:t>13G</w:t>
            </w:r>
          </w:p>
        </w:tc>
        <w:tc>
          <w:tcPr>
            <w:tcW w:w="1800" w:type="dxa"/>
            <w:vAlign w:val="bottom"/>
          </w:tcPr>
          <w:p>
            <w:pPr>
              <w:ind w:left="100"/>
              <w:spacing w:after="0"/>
              <w:rPr>
                <w:sz w:val="20"/>
                <w:szCs w:val="20"/>
                <w:color w:val="auto"/>
              </w:rPr>
            </w:pPr>
            <w:r>
              <w:rPr>
                <w:rFonts w:ascii="Arial" w:cs="Arial" w:eastAsia="Arial" w:hAnsi="Arial"/>
                <w:sz w:val="22"/>
                <w:szCs w:val="22"/>
                <w:b w:val="1"/>
                <w:bCs w:val="1"/>
                <w:color w:val="auto"/>
                <w:w w:val="83"/>
              </w:rPr>
              <w:t>Page 7 of 15 Pages</w:t>
            </w:r>
          </w:p>
        </w:tc>
        <w:tc>
          <w:tcPr>
            <w:tcW w:w="0" w:type="dxa"/>
            <w:vAlign w:val="bottom"/>
          </w:tcPr>
          <w:p>
            <w:pPr>
              <w:spacing w:after="0"/>
              <w:rPr>
                <w:sz w:val="1"/>
                <w:szCs w:val="1"/>
                <w:color w:val="auto"/>
              </w:rPr>
            </w:pPr>
          </w:p>
        </w:tc>
      </w:tr>
      <w:tr>
        <w:trPr>
          <w:trHeight w:val="679"/>
        </w:trPr>
        <w:tc>
          <w:tcPr>
            <w:tcW w:w="2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00" w:type="dxa"/>
            <w:vAlign w:val="bottom"/>
            <w:tcBorders>
              <w:left w:val="single" w:sz="8" w:color="auto"/>
              <w:right w:val="single" w:sz="8" w:color="auto"/>
            </w:tcBorders>
          </w:tcPr>
          <w:p>
            <w:pPr>
              <w:spacing w:after="0"/>
              <w:rPr>
                <w:sz w:val="24"/>
                <w:szCs w:val="24"/>
                <w:color w:val="auto"/>
              </w:rPr>
            </w:pPr>
          </w:p>
        </w:tc>
        <w:tc>
          <w:tcPr>
            <w:tcW w:w="7420" w:type="dxa"/>
            <w:vAlign w:val="bottom"/>
            <w:gridSpan w:val="3"/>
          </w:tcPr>
          <w:p>
            <w:pPr>
              <w:ind w:left="420"/>
              <w:spacing w:after="0"/>
              <w:rPr>
                <w:sz w:val="20"/>
                <w:szCs w:val="20"/>
                <w:color w:val="auto"/>
              </w:rPr>
            </w:pPr>
            <w:r>
              <w:rPr>
                <w:rFonts w:ascii="Arial" w:cs="Arial" w:eastAsia="Arial" w:hAnsi="Arial"/>
                <w:sz w:val="20"/>
                <w:szCs w:val="20"/>
                <w:color w:val="auto"/>
              </w:rPr>
              <w:t>Centerbridge Credit Offshore GP Investors, L.L.C.</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800" w:type="dxa"/>
            <w:vAlign w:val="bottom"/>
            <w:tcBorders>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(a)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84"/>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(b)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9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w w:val="94"/>
              </w:rPr>
              <w:t>Delaware</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spacing w:after="0"/>
              <w:rPr>
                <w:sz w:val="22"/>
                <w:szCs w:val="22"/>
                <w:color w:val="auto"/>
              </w:rPr>
            </w:pPr>
          </w:p>
        </w:tc>
        <w:tc>
          <w:tcPr>
            <w:tcW w:w="1160" w:type="dxa"/>
            <w:vAlign w:val="bottom"/>
            <w:tcBorders>
              <w:right w:val="single" w:sz="8" w:color="auto"/>
            </w:tcBorders>
          </w:tcPr>
          <w:p>
            <w:pPr>
              <w:ind w:left="520"/>
              <w:spacing w:after="0"/>
              <w:rPr>
                <w:sz w:val="20"/>
                <w:szCs w:val="20"/>
                <w:color w:val="auto"/>
              </w:rPr>
            </w:pPr>
            <w:r>
              <w:rPr>
                <w:rFonts w:ascii="Arial" w:cs="Arial" w:eastAsia="Arial" w:hAnsi="Arial"/>
                <w:sz w:val="20"/>
                <w:szCs w:val="20"/>
                <w:b w:val="1"/>
                <w:bCs w:val="1"/>
                <w:color w:val="auto"/>
              </w:rPr>
              <w:t>5</w:t>
            </w:r>
          </w:p>
        </w:tc>
        <w:tc>
          <w:tcPr>
            <w:tcW w:w="8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Arial" w:cs="Arial" w:eastAsia="Arial" w:hAnsi="Arial"/>
                <w:sz w:val="20"/>
                <w:szCs w:val="20"/>
                <w:color w:val="auto"/>
              </w:rPr>
              <w:t>SOLE VOTING POWER</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6</w:t>
            </w:r>
          </w:p>
        </w:tc>
        <w:tc>
          <w:tcPr>
            <w:tcW w:w="80" w:type="dxa"/>
            <w:vAlign w:val="bottom"/>
          </w:tcPr>
          <w:p>
            <w:pPr>
              <w:spacing w:after="0"/>
              <w:rPr>
                <w:sz w:val="5"/>
                <w:szCs w:val="5"/>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VOTING POWER</w:t>
            </w: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16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180" w:type="dxa"/>
            <w:vAlign w:val="bottom"/>
            <w:vMerge w:val="continue"/>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4,146,351</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1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7</w:t>
            </w:r>
          </w:p>
        </w:tc>
        <w:tc>
          <w:tcPr>
            <w:tcW w:w="80" w:type="dxa"/>
            <w:vAlign w:val="bottom"/>
          </w:tcPr>
          <w:p>
            <w:pPr>
              <w:spacing w:after="0"/>
              <w:rPr>
                <w:sz w:val="9"/>
                <w:szCs w:val="9"/>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SOLE DISPOSITIVE POWER</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1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180" w:type="dxa"/>
            <w:vAlign w:val="bottom"/>
            <w:vMerge w:val="continue"/>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18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180" w:type="dxa"/>
            <w:vAlign w:val="bottom"/>
            <w:vMerge w:val="continue"/>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18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200" w:type="dxa"/>
            <w:vAlign w:val="bottom"/>
            <w:tcBorders>
              <w:left w:val="single" w:sz="8" w:color="auto"/>
              <w:right w:val="single" w:sz="8" w:color="auto"/>
            </w:tcBorders>
            <w:vMerge w:val="continue"/>
          </w:tcPr>
          <w:p>
            <w:pPr>
              <w:spacing w:after="0"/>
              <w:rPr>
                <w:sz w:val="16"/>
                <w:szCs w:val="16"/>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8</w:t>
            </w:r>
          </w:p>
        </w:tc>
        <w:tc>
          <w:tcPr>
            <w:tcW w:w="80" w:type="dxa"/>
            <w:vAlign w:val="bottom"/>
          </w:tcPr>
          <w:p>
            <w:pPr>
              <w:spacing w:after="0"/>
              <w:rPr>
                <w:sz w:val="16"/>
                <w:szCs w:val="16"/>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DISPOSITIVE POWER</w:t>
            </w: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200" w:type="dxa"/>
            <w:vAlign w:val="bottom"/>
            <w:tcBorders>
              <w:left w:val="single" w:sz="8" w:color="auto"/>
              <w:right w:val="single" w:sz="8" w:color="auto"/>
            </w:tcBorders>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180" w:type="dxa"/>
            <w:vAlign w:val="bottom"/>
            <w:vMerge w:val="continue"/>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4,146,351</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w w:val="96"/>
              </w:rPr>
              <w:t>AGGREGATE AMOUNT BENEFICIALLY OWNED BY EACH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w w:val="89"/>
              </w:rPr>
              <w:t>4,146,351</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BOX IF THE AGGREGATE AMOUNT IN ROW (9) EXCLUDES CERTAIN</w:t>
            </w:r>
          </w:p>
        </w:tc>
        <w:tc>
          <w:tcPr>
            <w:tcW w:w="1800" w:type="dxa"/>
            <w:vAlign w:val="bottom"/>
            <w:tcBorders>
              <w:right w:val="single" w:sz="8" w:color="auto"/>
            </w:tcBorders>
          </w:tcPr>
          <w:p>
            <w:pPr>
              <w:jc w:val="center"/>
              <w:ind w:right="219"/>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46"/>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SHARES</w:t>
            </w:r>
          </w:p>
        </w:tc>
        <w:tc>
          <w:tcPr>
            <w:tcW w:w="618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Pr>
          <w:p>
            <w:pPr>
              <w:ind w:left="420"/>
              <w:spacing w:after="0"/>
              <w:rPr>
                <w:sz w:val="20"/>
                <w:szCs w:val="20"/>
                <w:color w:val="auto"/>
              </w:rPr>
            </w:pPr>
            <w:r>
              <w:rPr>
                <w:rFonts w:ascii="Arial" w:cs="Arial" w:eastAsia="Arial" w:hAnsi="Arial"/>
                <w:sz w:val="20"/>
                <w:szCs w:val="20"/>
                <w:color w:val="auto"/>
              </w:rPr>
              <w:t>3.9%</w:t>
            </w:r>
          </w:p>
        </w:tc>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rPr>
              <w:t>OO</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2200" w:type="dxa"/>
            <w:vAlign w:val="bottom"/>
          </w:tcPr>
          <w:p>
            <w:pPr>
              <w:spacing w:after="0"/>
              <w:rPr>
                <w:sz w:val="20"/>
                <w:szCs w:val="20"/>
                <w:color w:val="auto"/>
              </w:rPr>
            </w:pPr>
            <w:r>
              <w:rPr>
                <w:rFonts w:ascii="Arial" w:cs="Arial" w:eastAsia="Arial" w:hAnsi="Arial"/>
                <w:sz w:val="22"/>
                <w:szCs w:val="22"/>
                <w:b w:val="1"/>
                <w:bCs w:val="1"/>
                <w:color w:val="auto"/>
                <w:w w:val="94"/>
              </w:rPr>
              <w:t>CUSIP No. 17878Y108</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80" w:type="dxa"/>
            <w:vAlign w:val="bottom"/>
          </w:tcPr>
          <w:p>
            <w:pPr>
              <w:ind w:left="2080"/>
              <w:spacing w:after="0"/>
              <w:rPr>
                <w:sz w:val="20"/>
                <w:szCs w:val="20"/>
                <w:color w:val="auto"/>
              </w:rPr>
            </w:pPr>
            <w:r>
              <w:rPr>
                <w:rFonts w:ascii="Arial" w:cs="Arial" w:eastAsia="Arial" w:hAnsi="Arial"/>
                <w:sz w:val="22"/>
                <w:szCs w:val="22"/>
                <w:b w:val="1"/>
                <w:bCs w:val="1"/>
                <w:color w:val="auto"/>
              </w:rPr>
              <w:t>13G</w:t>
            </w:r>
          </w:p>
        </w:tc>
        <w:tc>
          <w:tcPr>
            <w:tcW w:w="1800" w:type="dxa"/>
            <w:vAlign w:val="bottom"/>
          </w:tcPr>
          <w:p>
            <w:pPr>
              <w:ind w:left="100"/>
              <w:spacing w:after="0"/>
              <w:rPr>
                <w:sz w:val="20"/>
                <w:szCs w:val="20"/>
                <w:color w:val="auto"/>
              </w:rPr>
            </w:pPr>
            <w:r>
              <w:rPr>
                <w:rFonts w:ascii="Arial" w:cs="Arial" w:eastAsia="Arial" w:hAnsi="Arial"/>
                <w:sz w:val="22"/>
                <w:szCs w:val="22"/>
                <w:b w:val="1"/>
                <w:bCs w:val="1"/>
                <w:color w:val="auto"/>
                <w:w w:val="83"/>
              </w:rPr>
              <w:t>Page 8 of 15 Pages</w:t>
            </w:r>
          </w:p>
        </w:tc>
        <w:tc>
          <w:tcPr>
            <w:tcW w:w="0" w:type="dxa"/>
            <w:vAlign w:val="bottom"/>
          </w:tcPr>
          <w:p>
            <w:pPr>
              <w:spacing w:after="0"/>
              <w:rPr>
                <w:sz w:val="1"/>
                <w:szCs w:val="1"/>
                <w:color w:val="auto"/>
              </w:rPr>
            </w:pPr>
          </w:p>
        </w:tc>
      </w:tr>
      <w:tr>
        <w:trPr>
          <w:trHeight w:val="679"/>
        </w:trPr>
        <w:tc>
          <w:tcPr>
            <w:tcW w:w="2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00" w:type="dxa"/>
            <w:vAlign w:val="bottom"/>
            <w:tcBorders>
              <w:left w:val="single" w:sz="8" w:color="auto"/>
              <w:right w:val="single" w:sz="8" w:color="auto"/>
            </w:tcBorders>
          </w:tcPr>
          <w:p>
            <w:pPr>
              <w:spacing w:after="0"/>
              <w:rPr>
                <w:sz w:val="24"/>
                <w:szCs w:val="24"/>
                <w:color w:val="auto"/>
              </w:rPr>
            </w:pPr>
          </w:p>
        </w:tc>
        <w:tc>
          <w:tcPr>
            <w:tcW w:w="7420" w:type="dxa"/>
            <w:vAlign w:val="bottom"/>
            <w:gridSpan w:val="3"/>
          </w:tcPr>
          <w:p>
            <w:pPr>
              <w:ind w:left="420"/>
              <w:spacing w:after="0"/>
              <w:rPr>
                <w:sz w:val="20"/>
                <w:szCs w:val="20"/>
                <w:color w:val="auto"/>
              </w:rPr>
            </w:pPr>
            <w:r>
              <w:rPr>
                <w:rFonts w:ascii="Arial" w:cs="Arial" w:eastAsia="Arial" w:hAnsi="Arial"/>
                <w:sz w:val="20"/>
                <w:szCs w:val="20"/>
                <w:color w:val="auto"/>
              </w:rPr>
              <w:t>Mark T. Gallogly</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800" w:type="dxa"/>
            <w:vAlign w:val="bottom"/>
            <w:tcBorders>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(a)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84"/>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(b)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9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7420" w:type="dxa"/>
            <w:vAlign w:val="bottom"/>
            <w:gridSpan w:val="3"/>
          </w:tcPr>
          <w:p>
            <w:pPr>
              <w:ind w:left="420"/>
              <w:spacing w:after="0"/>
              <w:rPr>
                <w:sz w:val="20"/>
                <w:szCs w:val="20"/>
                <w:color w:val="auto"/>
              </w:rPr>
            </w:pPr>
            <w:r>
              <w:rPr>
                <w:rFonts w:ascii="Arial" w:cs="Arial" w:eastAsia="Arial" w:hAnsi="Arial"/>
                <w:sz w:val="20"/>
                <w:szCs w:val="20"/>
                <w:color w:val="auto"/>
              </w:rPr>
              <w:t>United States</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spacing w:after="0"/>
              <w:rPr>
                <w:sz w:val="22"/>
                <w:szCs w:val="22"/>
                <w:color w:val="auto"/>
              </w:rPr>
            </w:pPr>
          </w:p>
        </w:tc>
        <w:tc>
          <w:tcPr>
            <w:tcW w:w="1160" w:type="dxa"/>
            <w:vAlign w:val="bottom"/>
            <w:tcBorders>
              <w:right w:val="single" w:sz="8" w:color="auto"/>
            </w:tcBorders>
          </w:tcPr>
          <w:p>
            <w:pPr>
              <w:ind w:left="520"/>
              <w:spacing w:after="0"/>
              <w:rPr>
                <w:sz w:val="20"/>
                <w:szCs w:val="20"/>
                <w:color w:val="auto"/>
              </w:rPr>
            </w:pPr>
            <w:r>
              <w:rPr>
                <w:rFonts w:ascii="Arial" w:cs="Arial" w:eastAsia="Arial" w:hAnsi="Arial"/>
                <w:sz w:val="20"/>
                <w:szCs w:val="20"/>
                <w:b w:val="1"/>
                <w:bCs w:val="1"/>
                <w:color w:val="auto"/>
              </w:rPr>
              <w:t>5</w:t>
            </w:r>
          </w:p>
        </w:tc>
        <w:tc>
          <w:tcPr>
            <w:tcW w:w="8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Arial" w:cs="Arial" w:eastAsia="Arial" w:hAnsi="Arial"/>
                <w:sz w:val="20"/>
                <w:szCs w:val="20"/>
                <w:color w:val="auto"/>
              </w:rPr>
              <w:t>SOLE VOTING POWER</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6</w:t>
            </w:r>
          </w:p>
        </w:tc>
        <w:tc>
          <w:tcPr>
            <w:tcW w:w="80" w:type="dxa"/>
            <w:vAlign w:val="bottom"/>
          </w:tcPr>
          <w:p>
            <w:pPr>
              <w:spacing w:after="0"/>
              <w:rPr>
                <w:sz w:val="5"/>
                <w:szCs w:val="5"/>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VOTING POWER</w:t>
            </w: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16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180" w:type="dxa"/>
            <w:vAlign w:val="bottom"/>
            <w:vMerge w:val="continue"/>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6,378,910</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1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7</w:t>
            </w:r>
          </w:p>
        </w:tc>
        <w:tc>
          <w:tcPr>
            <w:tcW w:w="80" w:type="dxa"/>
            <w:vAlign w:val="bottom"/>
          </w:tcPr>
          <w:p>
            <w:pPr>
              <w:spacing w:after="0"/>
              <w:rPr>
                <w:sz w:val="9"/>
                <w:szCs w:val="9"/>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SOLE DISPOSITIVE POWER</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1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180" w:type="dxa"/>
            <w:vAlign w:val="bottom"/>
            <w:vMerge w:val="continue"/>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18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180" w:type="dxa"/>
            <w:vAlign w:val="bottom"/>
            <w:vMerge w:val="continue"/>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18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200" w:type="dxa"/>
            <w:vAlign w:val="bottom"/>
            <w:tcBorders>
              <w:left w:val="single" w:sz="8" w:color="auto"/>
              <w:right w:val="single" w:sz="8" w:color="auto"/>
            </w:tcBorders>
            <w:vMerge w:val="continue"/>
          </w:tcPr>
          <w:p>
            <w:pPr>
              <w:spacing w:after="0"/>
              <w:rPr>
                <w:sz w:val="16"/>
                <w:szCs w:val="16"/>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8</w:t>
            </w:r>
          </w:p>
        </w:tc>
        <w:tc>
          <w:tcPr>
            <w:tcW w:w="80" w:type="dxa"/>
            <w:vAlign w:val="bottom"/>
          </w:tcPr>
          <w:p>
            <w:pPr>
              <w:spacing w:after="0"/>
              <w:rPr>
                <w:sz w:val="16"/>
                <w:szCs w:val="16"/>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DISPOSITIVE POWER</w:t>
            </w: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200" w:type="dxa"/>
            <w:vAlign w:val="bottom"/>
            <w:tcBorders>
              <w:left w:val="single" w:sz="8" w:color="auto"/>
              <w:right w:val="single" w:sz="8" w:color="auto"/>
            </w:tcBorders>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180" w:type="dxa"/>
            <w:vAlign w:val="bottom"/>
            <w:vMerge w:val="continue"/>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6,378,910</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w w:val="96"/>
              </w:rPr>
              <w:t>AGGREGATE AMOUNT BENEFICIALLY OWNED BY EACH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w w:val="89"/>
              </w:rPr>
              <w:t>6,378,910</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BOX IF THE AGGREGATE AMOUNT IN ROW (9) EXCLUDES CERTAIN</w:t>
            </w:r>
          </w:p>
        </w:tc>
        <w:tc>
          <w:tcPr>
            <w:tcW w:w="1800" w:type="dxa"/>
            <w:vAlign w:val="bottom"/>
            <w:tcBorders>
              <w:right w:val="single" w:sz="8" w:color="auto"/>
            </w:tcBorders>
          </w:tcPr>
          <w:p>
            <w:pPr>
              <w:jc w:val="center"/>
              <w:ind w:right="219"/>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46"/>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SHARES</w:t>
            </w:r>
          </w:p>
        </w:tc>
        <w:tc>
          <w:tcPr>
            <w:tcW w:w="618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Pr>
          <w:p>
            <w:pPr>
              <w:ind w:left="420"/>
              <w:spacing w:after="0"/>
              <w:rPr>
                <w:sz w:val="20"/>
                <w:szCs w:val="20"/>
                <w:color w:val="auto"/>
              </w:rPr>
            </w:pPr>
            <w:r>
              <w:rPr>
                <w:rFonts w:ascii="Arial" w:cs="Arial" w:eastAsia="Arial" w:hAnsi="Arial"/>
                <w:sz w:val="20"/>
                <w:szCs w:val="20"/>
                <w:color w:val="auto"/>
              </w:rPr>
              <w:t>5.9%</w:t>
            </w:r>
          </w:p>
        </w:tc>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rPr>
              <w:t>IN</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2200" w:type="dxa"/>
            <w:vAlign w:val="bottom"/>
          </w:tcPr>
          <w:p>
            <w:pPr>
              <w:spacing w:after="0"/>
              <w:rPr>
                <w:sz w:val="20"/>
                <w:szCs w:val="20"/>
                <w:color w:val="auto"/>
              </w:rPr>
            </w:pPr>
            <w:r>
              <w:rPr>
                <w:rFonts w:ascii="Arial" w:cs="Arial" w:eastAsia="Arial" w:hAnsi="Arial"/>
                <w:sz w:val="22"/>
                <w:szCs w:val="22"/>
                <w:b w:val="1"/>
                <w:bCs w:val="1"/>
                <w:color w:val="auto"/>
                <w:w w:val="94"/>
              </w:rPr>
              <w:t>CUSIP No. 17878Y108</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80" w:type="dxa"/>
            <w:vAlign w:val="bottom"/>
          </w:tcPr>
          <w:p>
            <w:pPr>
              <w:ind w:left="2080"/>
              <w:spacing w:after="0"/>
              <w:rPr>
                <w:sz w:val="20"/>
                <w:szCs w:val="20"/>
                <w:color w:val="auto"/>
              </w:rPr>
            </w:pPr>
            <w:r>
              <w:rPr>
                <w:rFonts w:ascii="Arial" w:cs="Arial" w:eastAsia="Arial" w:hAnsi="Arial"/>
                <w:sz w:val="22"/>
                <w:szCs w:val="22"/>
                <w:b w:val="1"/>
                <w:bCs w:val="1"/>
                <w:color w:val="auto"/>
              </w:rPr>
              <w:t>13G</w:t>
            </w:r>
          </w:p>
        </w:tc>
        <w:tc>
          <w:tcPr>
            <w:tcW w:w="1800" w:type="dxa"/>
            <w:vAlign w:val="bottom"/>
          </w:tcPr>
          <w:p>
            <w:pPr>
              <w:ind w:left="100"/>
              <w:spacing w:after="0"/>
              <w:rPr>
                <w:sz w:val="20"/>
                <w:szCs w:val="20"/>
                <w:color w:val="auto"/>
              </w:rPr>
            </w:pPr>
            <w:r>
              <w:rPr>
                <w:rFonts w:ascii="Arial" w:cs="Arial" w:eastAsia="Arial" w:hAnsi="Arial"/>
                <w:sz w:val="22"/>
                <w:szCs w:val="22"/>
                <w:b w:val="1"/>
                <w:bCs w:val="1"/>
                <w:color w:val="auto"/>
                <w:w w:val="83"/>
              </w:rPr>
              <w:t>Page 9 of 15 Pages</w:t>
            </w:r>
          </w:p>
        </w:tc>
        <w:tc>
          <w:tcPr>
            <w:tcW w:w="0" w:type="dxa"/>
            <w:vAlign w:val="bottom"/>
          </w:tcPr>
          <w:p>
            <w:pPr>
              <w:spacing w:after="0"/>
              <w:rPr>
                <w:sz w:val="1"/>
                <w:szCs w:val="1"/>
                <w:color w:val="auto"/>
              </w:rPr>
            </w:pPr>
          </w:p>
        </w:tc>
      </w:tr>
      <w:tr>
        <w:trPr>
          <w:trHeight w:val="679"/>
        </w:trPr>
        <w:tc>
          <w:tcPr>
            <w:tcW w:w="2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00" w:type="dxa"/>
            <w:vAlign w:val="bottom"/>
            <w:tcBorders>
              <w:left w:val="single" w:sz="8" w:color="auto"/>
              <w:right w:val="single" w:sz="8" w:color="auto"/>
            </w:tcBorders>
          </w:tcPr>
          <w:p>
            <w:pPr>
              <w:spacing w:after="0"/>
              <w:rPr>
                <w:sz w:val="24"/>
                <w:szCs w:val="24"/>
                <w:color w:val="auto"/>
              </w:rPr>
            </w:pPr>
          </w:p>
        </w:tc>
        <w:tc>
          <w:tcPr>
            <w:tcW w:w="7420" w:type="dxa"/>
            <w:vAlign w:val="bottom"/>
            <w:gridSpan w:val="3"/>
          </w:tcPr>
          <w:p>
            <w:pPr>
              <w:ind w:left="420"/>
              <w:spacing w:after="0"/>
              <w:rPr>
                <w:sz w:val="20"/>
                <w:szCs w:val="20"/>
                <w:color w:val="auto"/>
              </w:rPr>
            </w:pPr>
            <w:r>
              <w:rPr>
                <w:rFonts w:ascii="Arial" w:cs="Arial" w:eastAsia="Arial" w:hAnsi="Arial"/>
                <w:sz w:val="20"/>
                <w:szCs w:val="20"/>
                <w:color w:val="auto"/>
              </w:rPr>
              <w:t>Jeffrey H. Aronson</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800" w:type="dxa"/>
            <w:vAlign w:val="bottom"/>
            <w:tcBorders>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(a)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84"/>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jc w:val="center"/>
              <w:ind w:right="159"/>
              <w:spacing w:after="0" w:line="230" w:lineRule="exact"/>
              <w:rPr>
                <w:sz w:val="20"/>
                <w:szCs w:val="20"/>
                <w:color w:val="auto"/>
              </w:rPr>
            </w:pPr>
            <w:r>
              <w:rPr>
                <w:rFonts w:ascii="Arial" w:cs="Arial" w:eastAsia="Arial" w:hAnsi="Arial"/>
                <w:sz w:val="20"/>
                <w:szCs w:val="20"/>
                <w:color w:val="auto"/>
                <w:w w:val="91"/>
              </w:rPr>
              <w:t xml:space="preserve">(b) </w:t>
            </w:r>
            <w:r>
              <w:rPr>
                <w:rFonts w:ascii="MS PGothic" w:cs="MS PGothic" w:eastAsia="MS PGothic" w:hAnsi="MS PGothic"/>
                <w:sz w:val="20"/>
                <w:szCs w:val="20"/>
                <w:color w:val="auto"/>
                <w:w w:val="91"/>
              </w:rPr>
              <w:t>☒</w:t>
            </w:r>
          </w:p>
        </w:tc>
        <w:tc>
          <w:tcPr>
            <w:tcW w:w="0" w:type="dxa"/>
            <w:vAlign w:val="bottom"/>
          </w:tcPr>
          <w:p>
            <w:pPr>
              <w:spacing w:after="0"/>
              <w:rPr>
                <w:sz w:val="1"/>
                <w:szCs w:val="1"/>
                <w:color w:val="auto"/>
              </w:rPr>
            </w:pPr>
          </w:p>
        </w:tc>
      </w:tr>
      <w:tr>
        <w:trPr>
          <w:trHeight w:val="295"/>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gridSpan w:val="3"/>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7420" w:type="dxa"/>
            <w:vAlign w:val="bottom"/>
            <w:gridSpan w:val="3"/>
          </w:tcPr>
          <w:p>
            <w:pPr>
              <w:ind w:left="420"/>
              <w:spacing w:after="0"/>
              <w:rPr>
                <w:sz w:val="20"/>
                <w:szCs w:val="20"/>
                <w:color w:val="auto"/>
              </w:rPr>
            </w:pPr>
            <w:r>
              <w:rPr>
                <w:rFonts w:ascii="Arial" w:cs="Arial" w:eastAsia="Arial" w:hAnsi="Arial"/>
                <w:sz w:val="20"/>
                <w:szCs w:val="20"/>
                <w:color w:val="auto"/>
              </w:rPr>
              <w:t>United States</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spacing w:after="0"/>
              <w:rPr>
                <w:sz w:val="22"/>
                <w:szCs w:val="22"/>
                <w:color w:val="auto"/>
              </w:rPr>
            </w:pPr>
          </w:p>
        </w:tc>
        <w:tc>
          <w:tcPr>
            <w:tcW w:w="1160" w:type="dxa"/>
            <w:vAlign w:val="bottom"/>
            <w:tcBorders>
              <w:right w:val="single" w:sz="8" w:color="auto"/>
            </w:tcBorders>
          </w:tcPr>
          <w:p>
            <w:pPr>
              <w:ind w:left="520"/>
              <w:spacing w:after="0"/>
              <w:rPr>
                <w:sz w:val="20"/>
                <w:szCs w:val="20"/>
                <w:color w:val="auto"/>
              </w:rPr>
            </w:pPr>
            <w:r>
              <w:rPr>
                <w:rFonts w:ascii="Arial" w:cs="Arial" w:eastAsia="Arial" w:hAnsi="Arial"/>
                <w:sz w:val="20"/>
                <w:szCs w:val="20"/>
                <w:b w:val="1"/>
                <w:bCs w:val="1"/>
                <w:color w:val="auto"/>
              </w:rPr>
              <w:t>5</w:t>
            </w:r>
          </w:p>
        </w:tc>
        <w:tc>
          <w:tcPr>
            <w:tcW w:w="8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Arial" w:cs="Arial" w:eastAsia="Arial" w:hAnsi="Arial"/>
                <w:sz w:val="20"/>
                <w:szCs w:val="20"/>
                <w:color w:val="auto"/>
              </w:rPr>
              <w:t>SOLE VOTING POWER</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6</w:t>
            </w:r>
          </w:p>
        </w:tc>
        <w:tc>
          <w:tcPr>
            <w:tcW w:w="80" w:type="dxa"/>
            <w:vAlign w:val="bottom"/>
          </w:tcPr>
          <w:p>
            <w:pPr>
              <w:spacing w:after="0"/>
              <w:rPr>
                <w:sz w:val="5"/>
                <w:szCs w:val="5"/>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VOTING POWER</w:t>
            </w: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16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180" w:type="dxa"/>
            <w:vAlign w:val="bottom"/>
            <w:vMerge w:val="continue"/>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6,378,910</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1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7</w:t>
            </w:r>
          </w:p>
        </w:tc>
        <w:tc>
          <w:tcPr>
            <w:tcW w:w="80" w:type="dxa"/>
            <w:vAlign w:val="bottom"/>
          </w:tcPr>
          <w:p>
            <w:pPr>
              <w:spacing w:after="0"/>
              <w:rPr>
                <w:sz w:val="9"/>
                <w:szCs w:val="9"/>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SOLE DISPOSITIVE POWER</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1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180" w:type="dxa"/>
            <w:vAlign w:val="bottom"/>
            <w:vMerge w:val="continue"/>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18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8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180" w:type="dxa"/>
            <w:vAlign w:val="bottom"/>
            <w:vMerge w:val="continue"/>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20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18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200" w:type="dxa"/>
            <w:vAlign w:val="bottom"/>
            <w:tcBorders>
              <w:left w:val="single" w:sz="8" w:color="auto"/>
              <w:right w:val="single" w:sz="8" w:color="auto"/>
            </w:tcBorders>
            <w:vMerge w:val="continue"/>
          </w:tcPr>
          <w:p>
            <w:pPr>
              <w:spacing w:after="0"/>
              <w:rPr>
                <w:sz w:val="16"/>
                <w:szCs w:val="16"/>
                <w:color w:val="auto"/>
              </w:rPr>
            </w:pPr>
          </w:p>
        </w:tc>
        <w:tc>
          <w:tcPr>
            <w:tcW w:w="1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8</w:t>
            </w:r>
          </w:p>
        </w:tc>
        <w:tc>
          <w:tcPr>
            <w:tcW w:w="80" w:type="dxa"/>
            <w:vAlign w:val="bottom"/>
          </w:tcPr>
          <w:p>
            <w:pPr>
              <w:spacing w:after="0"/>
              <w:rPr>
                <w:sz w:val="16"/>
                <w:szCs w:val="16"/>
                <w:color w:val="auto"/>
              </w:rPr>
            </w:pPr>
          </w:p>
        </w:tc>
        <w:tc>
          <w:tcPr>
            <w:tcW w:w="6180" w:type="dxa"/>
            <w:vAlign w:val="bottom"/>
            <w:vMerge w:val="restart"/>
          </w:tcPr>
          <w:p>
            <w:pPr>
              <w:ind w:left="20"/>
              <w:spacing w:after="0"/>
              <w:rPr>
                <w:sz w:val="20"/>
                <w:szCs w:val="20"/>
                <w:color w:val="auto"/>
              </w:rPr>
            </w:pPr>
            <w:r>
              <w:rPr>
                <w:rFonts w:ascii="Arial" w:cs="Arial" w:eastAsia="Arial" w:hAnsi="Arial"/>
                <w:sz w:val="20"/>
                <w:szCs w:val="20"/>
                <w:color w:val="auto"/>
              </w:rPr>
              <w:t>SHARED DISPOSITIVE POWER</w:t>
            </w: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200" w:type="dxa"/>
            <w:vAlign w:val="bottom"/>
            <w:tcBorders>
              <w:left w:val="single" w:sz="8" w:color="auto"/>
              <w:right w:val="single" w:sz="8" w:color="auto"/>
            </w:tcBorders>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180" w:type="dxa"/>
            <w:vAlign w:val="bottom"/>
            <w:vMerge w:val="continue"/>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20"/>
                <w:szCs w:val="20"/>
                <w:color w:val="auto"/>
              </w:rPr>
              <w:t>6,378,910</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w w:val="96"/>
              </w:rPr>
              <w:t>AGGREGATE AMOUNT BENEFICIALLY OWNED BY EACH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w w:val="89"/>
              </w:rPr>
              <w:t>6,378,910</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CHECK BOX IF THE AGGREGATE AMOUNT IN ROW (9) EXCLUDES CERTAIN</w:t>
            </w:r>
          </w:p>
        </w:tc>
        <w:tc>
          <w:tcPr>
            <w:tcW w:w="1800" w:type="dxa"/>
            <w:vAlign w:val="bottom"/>
            <w:tcBorders>
              <w:right w:val="single" w:sz="8" w:color="auto"/>
            </w:tcBorders>
          </w:tcPr>
          <w:p>
            <w:pPr>
              <w:jc w:val="center"/>
              <w:ind w:right="219"/>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46"/>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SHARES</w:t>
            </w:r>
          </w:p>
        </w:tc>
        <w:tc>
          <w:tcPr>
            <w:tcW w:w="618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160" w:type="dxa"/>
            <w:vAlign w:val="bottom"/>
          </w:tcPr>
          <w:p>
            <w:pPr>
              <w:ind w:left="420"/>
              <w:spacing w:after="0"/>
              <w:rPr>
                <w:sz w:val="20"/>
                <w:szCs w:val="20"/>
                <w:color w:val="auto"/>
              </w:rPr>
            </w:pPr>
            <w:r>
              <w:rPr>
                <w:rFonts w:ascii="Arial" w:cs="Arial" w:eastAsia="Arial" w:hAnsi="Arial"/>
                <w:sz w:val="20"/>
                <w:szCs w:val="20"/>
                <w:color w:val="auto"/>
              </w:rPr>
              <w:t>5.9%</w:t>
            </w:r>
          </w:p>
        </w:tc>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gridSpan w:val="2"/>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4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40" w:type="dxa"/>
            <w:vAlign w:val="bottom"/>
            <w:gridSpan w:val="2"/>
          </w:tcPr>
          <w:p>
            <w:pPr>
              <w:ind w:left="420"/>
              <w:spacing w:after="0"/>
              <w:rPr>
                <w:sz w:val="20"/>
                <w:szCs w:val="20"/>
                <w:color w:val="auto"/>
              </w:rPr>
            </w:pPr>
            <w:r>
              <w:rPr>
                <w:rFonts w:ascii="Arial" w:cs="Arial" w:eastAsia="Arial" w:hAnsi="Arial"/>
                <w:sz w:val="20"/>
                <w:szCs w:val="20"/>
                <w:color w:val="auto"/>
              </w:rPr>
              <w:t>IN</w:t>
            </w:r>
          </w:p>
        </w:tc>
        <w:tc>
          <w:tcPr>
            <w:tcW w:w="618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9" w:name="page10"/>
    <w:bookmarkEnd w:id="9"/>
    <w:p>
      <w:pPr>
        <w:spacing w:after="0"/>
        <w:tabs>
          <w:tab w:leader="none" w:pos="5500" w:val="left"/>
          <w:tab w:leader="none" w:pos="9600" w:val="left"/>
        </w:tabs>
        <w:rPr>
          <w:sz w:val="20"/>
          <w:szCs w:val="20"/>
          <w:color w:val="auto"/>
        </w:rPr>
      </w:pPr>
      <w:r>
        <w:rPr>
          <w:rFonts w:ascii="Arial" w:cs="Arial" w:eastAsia="Arial" w:hAnsi="Arial"/>
          <w:sz w:val="22"/>
          <w:szCs w:val="22"/>
          <w:b w:val="1"/>
          <w:bCs w:val="1"/>
          <w:color w:val="auto"/>
        </w:rPr>
        <w:t>CUSIP No. 17878Y108</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10 of 15 Pages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900" w:type="dxa"/>
            <w:vAlign w:val="bottom"/>
            <w:gridSpan w:val="21"/>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415"/>
        </w:trPr>
        <w:tc>
          <w:tcPr>
            <w:tcW w:w="1280" w:type="dxa"/>
            <w:vAlign w:val="bottom"/>
          </w:tcPr>
          <w:p>
            <w:pPr>
              <w:spacing w:after="0"/>
              <w:rPr>
                <w:sz w:val="24"/>
                <w:szCs w:val="24"/>
                <w:color w:val="auto"/>
              </w:rPr>
            </w:pPr>
          </w:p>
        </w:tc>
        <w:tc>
          <w:tcPr>
            <w:tcW w:w="9900" w:type="dxa"/>
            <w:vAlign w:val="bottom"/>
            <w:gridSpan w:val="21"/>
          </w:tcPr>
          <w:p>
            <w:pPr>
              <w:ind w:left="440"/>
              <w:spacing w:after="0"/>
              <w:rPr>
                <w:sz w:val="20"/>
                <w:szCs w:val="20"/>
                <w:color w:val="auto"/>
              </w:rPr>
            </w:pPr>
            <w:r>
              <w:rPr>
                <w:rFonts w:ascii="Arial" w:cs="Arial" w:eastAsia="Arial" w:hAnsi="Arial"/>
                <w:sz w:val="20"/>
                <w:szCs w:val="20"/>
                <w:color w:val="auto"/>
              </w:rPr>
              <w:t>The name of the issuer is Civeo Corporation (the "Company").</w:t>
            </w:r>
          </w:p>
        </w:tc>
      </w:tr>
      <w:tr>
        <w:trPr>
          <w:trHeight w:val="20"/>
        </w:trPr>
        <w:tc>
          <w:tcPr>
            <w:tcW w:w="12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84"/>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900" w:type="dxa"/>
            <w:vAlign w:val="bottom"/>
            <w:gridSpan w:val="21"/>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38"/>
        </w:trPr>
        <w:tc>
          <w:tcPr>
            <w:tcW w:w="1280" w:type="dxa"/>
            <w:vAlign w:val="bottom"/>
          </w:tcPr>
          <w:p>
            <w:pPr>
              <w:spacing w:after="0"/>
              <w:rPr>
                <w:sz w:val="24"/>
                <w:szCs w:val="24"/>
                <w:color w:val="auto"/>
              </w:rPr>
            </w:pPr>
          </w:p>
        </w:tc>
        <w:tc>
          <w:tcPr>
            <w:tcW w:w="9900" w:type="dxa"/>
            <w:vAlign w:val="bottom"/>
            <w:gridSpan w:val="21"/>
          </w:tcPr>
          <w:p>
            <w:pPr>
              <w:ind w:left="440"/>
              <w:spacing w:after="0"/>
              <w:rPr>
                <w:sz w:val="20"/>
                <w:szCs w:val="20"/>
                <w:color w:val="auto"/>
              </w:rPr>
            </w:pPr>
            <w:r>
              <w:rPr>
                <w:rFonts w:ascii="Arial" w:cs="Arial" w:eastAsia="Arial" w:hAnsi="Arial"/>
                <w:sz w:val="20"/>
                <w:szCs w:val="20"/>
                <w:color w:val="auto"/>
                <w:w w:val="91"/>
              </w:rPr>
              <w:t>The Company's principal executive offices are located at 9 Three Allen Center, 333 Clay Street, Suite 4980, Houston,</w:t>
            </w:r>
          </w:p>
        </w:tc>
      </w:tr>
      <w:tr>
        <w:trPr>
          <w:trHeight w:val="250"/>
        </w:trPr>
        <w:tc>
          <w:tcPr>
            <w:tcW w:w="1280" w:type="dxa"/>
            <w:vAlign w:val="bottom"/>
          </w:tcPr>
          <w:p>
            <w:pPr>
              <w:spacing w:after="0"/>
              <w:rPr>
                <w:sz w:val="21"/>
                <w:szCs w:val="21"/>
                <w:color w:val="auto"/>
              </w:rPr>
            </w:pPr>
          </w:p>
        </w:tc>
        <w:tc>
          <w:tcPr>
            <w:tcW w:w="9900" w:type="dxa"/>
            <w:vAlign w:val="bottom"/>
            <w:gridSpan w:val="21"/>
          </w:tcPr>
          <w:p>
            <w:pPr>
              <w:ind w:left="440"/>
              <w:spacing w:after="0"/>
              <w:rPr>
                <w:sz w:val="20"/>
                <w:szCs w:val="20"/>
                <w:color w:val="auto"/>
              </w:rPr>
            </w:pPr>
            <w:r>
              <w:rPr>
                <w:rFonts w:ascii="Arial" w:cs="Arial" w:eastAsia="Arial" w:hAnsi="Arial"/>
                <w:sz w:val="20"/>
                <w:szCs w:val="20"/>
                <w:color w:val="auto"/>
              </w:rPr>
              <w:t>Texas 77002.</w:t>
            </w: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900" w:type="dxa"/>
            <w:vAlign w:val="bottom"/>
            <w:gridSpan w:val="21"/>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80" w:type="dxa"/>
            <w:vAlign w:val="bottom"/>
          </w:tcPr>
          <w:p>
            <w:pPr>
              <w:spacing w:after="0"/>
              <w:rPr>
                <w:sz w:val="24"/>
                <w:szCs w:val="24"/>
                <w:color w:val="auto"/>
              </w:rPr>
            </w:pPr>
          </w:p>
        </w:tc>
        <w:tc>
          <w:tcPr>
            <w:tcW w:w="9900" w:type="dxa"/>
            <w:vAlign w:val="bottom"/>
            <w:gridSpan w:val="21"/>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15"/>
        </w:trPr>
        <w:tc>
          <w:tcPr>
            <w:tcW w:w="12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(i)</w:t>
            </w:r>
          </w:p>
        </w:tc>
        <w:tc>
          <w:tcPr>
            <w:tcW w:w="8780" w:type="dxa"/>
            <w:vAlign w:val="bottom"/>
            <w:gridSpan w:val="20"/>
          </w:tcPr>
          <w:p>
            <w:pPr>
              <w:ind w:left="120"/>
              <w:spacing w:after="0"/>
              <w:rPr>
                <w:sz w:val="20"/>
                <w:szCs w:val="20"/>
                <w:color w:val="auto"/>
              </w:rPr>
            </w:pPr>
            <w:r>
              <w:rPr>
                <w:rFonts w:ascii="Arial" w:cs="Arial" w:eastAsia="Arial" w:hAnsi="Arial"/>
                <w:sz w:val="20"/>
                <w:szCs w:val="20"/>
                <w:color w:val="auto"/>
                <w:w w:val="87"/>
              </w:rPr>
              <w:t>Centerbridge Credit Partners, L.P., a Delaware limited partnership ("CCP"), with respect to the Common Shares</w:t>
            </w: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20" w:type="dxa"/>
            <w:vAlign w:val="bottom"/>
            <w:gridSpan w:val="7"/>
          </w:tcPr>
          <w:p>
            <w:pPr>
              <w:ind w:left="120"/>
              <w:spacing w:after="0"/>
              <w:rPr>
                <w:sz w:val="20"/>
                <w:szCs w:val="20"/>
                <w:color w:val="auto"/>
              </w:rPr>
            </w:pPr>
            <w:r>
              <w:rPr>
                <w:rFonts w:ascii="Arial" w:cs="Arial" w:eastAsia="Arial" w:hAnsi="Arial"/>
                <w:sz w:val="20"/>
                <w:szCs w:val="20"/>
                <w:color w:val="auto"/>
              </w:rPr>
              <w:t>(as defined in Item 2(d) below) beneficially owned by it;</w:t>
            </w:r>
          </w:p>
        </w:tc>
        <w:tc>
          <w:tcPr>
            <w:tcW w:w="360" w:type="dxa"/>
            <w:vAlign w:val="bottom"/>
            <w:tcBorders>
              <w:top w:val="single" w:sz="8" w:color="auto"/>
            </w:tcBorders>
            <w:gridSpan w:val="2"/>
          </w:tcPr>
          <w:p>
            <w:pPr>
              <w:spacing w:after="0"/>
              <w:rPr>
                <w:sz w:val="20"/>
                <w:szCs w:val="20"/>
                <w:color w:val="auto"/>
              </w:rPr>
            </w:pPr>
          </w:p>
        </w:tc>
        <w:tc>
          <w:tcPr>
            <w:tcW w:w="3000" w:type="dxa"/>
            <w:vAlign w:val="bottom"/>
            <w:gridSpan w:val="11"/>
          </w:tcPr>
          <w:p>
            <w:pPr>
              <w:spacing w:after="0"/>
              <w:rPr>
                <w:sz w:val="20"/>
                <w:szCs w:val="20"/>
                <w:color w:val="auto"/>
              </w:rPr>
            </w:pP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(ii)</w:t>
            </w:r>
          </w:p>
        </w:tc>
        <w:tc>
          <w:tcPr>
            <w:tcW w:w="8780" w:type="dxa"/>
            <w:vAlign w:val="bottom"/>
            <w:gridSpan w:val="20"/>
          </w:tcPr>
          <w:p>
            <w:pPr>
              <w:ind w:left="120"/>
              <w:spacing w:after="0" w:line="206" w:lineRule="exact"/>
              <w:rPr>
                <w:sz w:val="20"/>
                <w:szCs w:val="20"/>
                <w:color w:val="auto"/>
              </w:rPr>
            </w:pPr>
            <w:r>
              <w:rPr>
                <w:rFonts w:ascii="Arial" w:cs="Arial" w:eastAsia="Arial" w:hAnsi="Arial"/>
                <w:sz w:val="20"/>
                <w:szCs w:val="20"/>
                <w:color w:val="auto"/>
                <w:w w:val="91"/>
              </w:rPr>
              <w:t>Centerbridge Credit Partners General Partner, L.P., a Delaware limited partnership ("CCPGP"), as general</w:t>
            </w: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80" w:type="dxa"/>
            <w:vAlign w:val="bottom"/>
            <w:gridSpan w:val="11"/>
          </w:tcPr>
          <w:p>
            <w:pPr>
              <w:ind w:left="120"/>
              <w:spacing w:after="0"/>
              <w:rPr>
                <w:sz w:val="20"/>
                <w:szCs w:val="20"/>
                <w:color w:val="auto"/>
              </w:rPr>
            </w:pPr>
            <w:r>
              <w:rPr>
                <w:rFonts w:ascii="Arial" w:cs="Arial" w:eastAsia="Arial" w:hAnsi="Arial"/>
                <w:sz w:val="20"/>
                <w:szCs w:val="20"/>
                <w:color w:val="auto"/>
                <w:w w:val="91"/>
              </w:rPr>
              <w:t>partner of CCP, with respect to the Common Shares beneficially owned by CCP;</w:t>
            </w:r>
          </w:p>
        </w:tc>
        <w:tc>
          <w:tcPr>
            <w:tcW w:w="620" w:type="dxa"/>
            <w:vAlign w:val="bottom"/>
            <w:tcBorders>
              <w:top w:val="single" w:sz="8" w:color="auto"/>
            </w:tcBorders>
            <w:gridSpan w:val="4"/>
          </w:tcPr>
          <w:p>
            <w:pPr>
              <w:spacing w:after="0"/>
              <w:rPr>
                <w:sz w:val="20"/>
                <w:szCs w:val="20"/>
                <w:color w:val="auto"/>
              </w:rPr>
            </w:pPr>
          </w:p>
        </w:tc>
        <w:tc>
          <w:tcPr>
            <w:tcW w:w="1480" w:type="dxa"/>
            <w:vAlign w:val="bottom"/>
            <w:gridSpan w:val="5"/>
          </w:tcPr>
          <w:p>
            <w:pPr>
              <w:spacing w:after="0"/>
              <w:rPr>
                <w:sz w:val="20"/>
                <w:szCs w:val="20"/>
                <w:color w:val="auto"/>
              </w:rPr>
            </w:pP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(iii)</w:t>
            </w:r>
          </w:p>
        </w:tc>
        <w:tc>
          <w:tcPr>
            <w:tcW w:w="8780" w:type="dxa"/>
            <w:vAlign w:val="bottom"/>
            <w:gridSpan w:val="20"/>
          </w:tcPr>
          <w:p>
            <w:pPr>
              <w:ind w:left="120"/>
              <w:spacing w:after="0" w:line="206" w:lineRule="exact"/>
              <w:rPr>
                <w:sz w:val="20"/>
                <w:szCs w:val="20"/>
                <w:color w:val="auto"/>
              </w:rPr>
            </w:pPr>
            <w:r>
              <w:rPr>
                <w:rFonts w:ascii="Arial" w:cs="Arial" w:eastAsia="Arial" w:hAnsi="Arial"/>
                <w:sz w:val="20"/>
                <w:szCs w:val="20"/>
                <w:color w:val="auto"/>
                <w:w w:val="90"/>
              </w:rPr>
              <w:t>Centerbridge Credit GP Investors, L.L.C., a Delaware limited liability company ("CCGPI"), as general partner</w:t>
            </w: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80" w:type="dxa"/>
            <w:vAlign w:val="bottom"/>
            <w:gridSpan w:val="10"/>
          </w:tcPr>
          <w:p>
            <w:pPr>
              <w:ind w:left="120"/>
              <w:spacing w:after="0"/>
              <w:rPr>
                <w:sz w:val="20"/>
                <w:szCs w:val="20"/>
                <w:color w:val="auto"/>
              </w:rPr>
            </w:pPr>
            <w:r>
              <w:rPr>
                <w:rFonts w:ascii="Arial" w:cs="Arial" w:eastAsia="Arial" w:hAnsi="Arial"/>
                <w:sz w:val="20"/>
                <w:szCs w:val="20"/>
                <w:color w:val="auto"/>
                <w:w w:val="94"/>
              </w:rPr>
              <w:t>of CCPGP, with respect to the Common Shares beneficially owned by CCP;</w:t>
            </w:r>
          </w:p>
        </w:tc>
        <w:tc>
          <w:tcPr>
            <w:tcW w:w="580" w:type="dxa"/>
            <w:vAlign w:val="bottom"/>
            <w:tcBorders>
              <w:top w:val="single" w:sz="8" w:color="auto"/>
            </w:tcBorders>
            <w:gridSpan w:val="2"/>
          </w:tcPr>
          <w:p>
            <w:pPr>
              <w:spacing w:after="0"/>
              <w:rPr>
                <w:sz w:val="20"/>
                <w:szCs w:val="20"/>
                <w:color w:val="auto"/>
              </w:rPr>
            </w:pPr>
          </w:p>
        </w:tc>
        <w:tc>
          <w:tcPr>
            <w:tcW w:w="1720" w:type="dxa"/>
            <w:vAlign w:val="bottom"/>
            <w:gridSpan w:val="8"/>
          </w:tcPr>
          <w:p>
            <w:pPr>
              <w:spacing w:after="0"/>
              <w:rPr>
                <w:sz w:val="20"/>
                <w:szCs w:val="20"/>
                <w:color w:val="auto"/>
              </w:rPr>
            </w:pP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(iv)</w:t>
            </w:r>
          </w:p>
        </w:tc>
        <w:tc>
          <w:tcPr>
            <w:tcW w:w="8780" w:type="dxa"/>
            <w:vAlign w:val="bottom"/>
            <w:gridSpan w:val="20"/>
          </w:tcPr>
          <w:p>
            <w:pPr>
              <w:ind w:left="120"/>
              <w:spacing w:after="0" w:line="206" w:lineRule="exact"/>
              <w:rPr>
                <w:sz w:val="20"/>
                <w:szCs w:val="20"/>
                <w:color w:val="auto"/>
              </w:rPr>
            </w:pPr>
            <w:r>
              <w:rPr>
                <w:rFonts w:ascii="Arial" w:cs="Arial" w:eastAsia="Arial" w:hAnsi="Arial"/>
                <w:sz w:val="20"/>
                <w:szCs w:val="20"/>
                <w:color w:val="auto"/>
                <w:w w:val="91"/>
              </w:rPr>
              <w:t>Centerbridge Credit Partners Master, L.P., a Cayman Islands exempted limited partnership ("CCPM"), with</w:t>
            </w: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300" w:type="dxa"/>
            <w:vAlign w:val="bottom"/>
            <w:gridSpan w:val="15"/>
          </w:tcPr>
          <w:p>
            <w:pPr>
              <w:ind w:left="120"/>
              <w:spacing w:after="0"/>
              <w:rPr>
                <w:sz w:val="20"/>
                <w:szCs w:val="20"/>
                <w:color w:val="auto"/>
              </w:rPr>
            </w:pPr>
            <w:r>
              <w:rPr>
                <w:rFonts w:ascii="Arial" w:cs="Arial" w:eastAsia="Arial" w:hAnsi="Arial"/>
                <w:sz w:val="20"/>
                <w:szCs w:val="20"/>
                <w:color w:val="auto"/>
              </w:rPr>
              <w:t>respect to the Common Shares beneficially owned by it;</w:t>
            </w:r>
          </w:p>
        </w:tc>
        <w:tc>
          <w:tcPr>
            <w:tcW w:w="540" w:type="dxa"/>
            <w:vAlign w:val="bottom"/>
            <w:tcBorders>
              <w:top w:val="single" w:sz="8" w:color="auto"/>
            </w:tcBorders>
            <w:gridSpan w:val="2"/>
          </w:tcPr>
          <w:p>
            <w:pPr>
              <w:spacing w:after="0"/>
              <w:rPr>
                <w:sz w:val="20"/>
                <w:szCs w:val="20"/>
                <w:color w:val="auto"/>
              </w:rPr>
            </w:pPr>
          </w:p>
        </w:tc>
        <w:tc>
          <w:tcPr>
            <w:tcW w:w="940" w:type="dxa"/>
            <w:vAlign w:val="bottom"/>
            <w:gridSpan w:val="3"/>
          </w:tcPr>
          <w:p>
            <w:pPr>
              <w:spacing w:after="0"/>
              <w:rPr>
                <w:sz w:val="20"/>
                <w:szCs w:val="20"/>
                <w:color w:val="auto"/>
              </w:rPr>
            </w:pP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(v)</w:t>
            </w:r>
          </w:p>
        </w:tc>
        <w:tc>
          <w:tcPr>
            <w:tcW w:w="8780" w:type="dxa"/>
            <w:vAlign w:val="bottom"/>
            <w:gridSpan w:val="20"/>
          </w:tcPr>
          <w:p>
            <w:pPr>
              <w:ind w:left="120"/>
              <w:spacing w:after="0" w:line="206" w:lineRule="exact"/>
              <w:rPr>
                <w:sz w:val="20"/>
                <w:szCs w:val="20"/>
                <w:color w:val="auto"/>
              </w:rPr>
            </w:pPr>
            <w:r>
              <w:rPr>
                <w:rFonts w:ascii="Arial" w:cs="Arial" w:eastAsia="Arial" w:hAnsi="Arial"/>
                <w:sz w:val="20"/>
                <w:szCs w:val="20"/>
                <w:color w:val="auto"/>
                <w:w w:val="88"/>
              </w:rPr>
              <w:t>Centerbridge Credit Partners Offshore General Partner, L.P., a Delaware limited partnership ("CCPOGP"), with</w:t>
            </w: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0" w:type="dxa"/>
            <w:vAlign w:val="bottom"/>
            <w:gridSpan w:val="16"/>
          </w:tcPr>
          <w:p>
            <w:pPr>
              <w:ind w:left="120"/>
              <w:spacing w:after="0"/>
              <w:rPr>
                <w:sz w:val="20"/>
                <w:szCs w:val="20"/>
                <w:color w:val="auto"/>
              </w:rPr>
            </w:pPr>
            <w:r>
              <w:rPr>
                <w:rFonts w:ascii="Arial" w:cs="Arial" w:eastAsia="Arial" w:hAnsi="Arial"/>
                <w:sz w:val="20"/>
                <w:szCs w:val="20"/>
                <w:color w:val="auto"/>
              </w:rPr>
              <w:t>respect to the Common Shares beneficially owned by CCPM;</w:t>
            </w:r>
          </w:p>
        </w:tc>
        <w:tc>
          <w:tcPr>
            <w:tcW w:w="760" w:type="dxa"/>
            <w:vAlign w:val="bottom"/>
            <w:tcBorders>
              <w:top w:val="single" w:sz="8" w:color="auto"/>
            </w:tcBorders>
            <w:gridSpan w:val="3"/>
          </w:tcPr>
          <w:p>
            <w:pPr>
              <w:spacing w:after="0"/>
              <w:rPr>
                <w:sz w:val="20"/>
                <w:szCs w:val="20"/>
                <w:color w:val="auto"/>
              </w:rPr>
            </w:pPr>
          </w:p>
        </w:tc>
        <w:tc>
          <w:tcPr>
            <w:tcW w:w="620" w:type="dxa"/>
            <w:vAlign w:val="bottom"/>
          </w:tcPr>
          <w:p>
            <w:pPr>
              <w:spacing w:after="0"/>
              <w:rPr>
                <w:sz w:val="20"/>
                <w:szCs w:val="20"/>
                <w:color w:val="auto"/>
              </w:rPr>
            </w:pP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(vi)</w:t>
            </w:r>
          </w:p>
        </w:tc>
        <w:tc>
          <w:tcPr>
            <w:tcW w:w="8780" w:type="dxa"/>
            <w:vAlign w:val="bottom"/>
            <w:gridSpan w:val="20"/>
          </w:tcPr>
          <w:p>
            <w:pPr>
              <w:ind w:left="120"/>
              <w:spacing w:after="0" w:line="206" w:lineRule="exact"/>
              <w:rPr>
                <w:sz w:val="20"/>
                <w:szCs w:val="20"/>
                <w:color w:val="auto"/>
              </w:rPr>
            </w:pPr>
            <w:r>
              <w:rPr>
                <w:rFonts w:ascii="Arial" w:cs="Arial" w:eastAsia="Arial" w:hAnsi="Arial"/>
                <w:sz w:val="20"/>
                <w:szCs w:val="20"/>
                <w:color w:val="auto"/>
                <w:w w:val="94"/>
              </w:rPr>
              <w:t>Centerbridge Credit Offshore GP Investors, L.L.C., a Delaware limited liability company ("CCOGPI"), as</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80" w:type="dxa"/>
            <w:vAlign w:val="bottom"/>
            <w:gridSpan w:val="20"/>
          </w:tcPr>
          <w:p>
            <w:pPr>
              <w:ind w:left="120"/>
              <w:spacing w:after="0"/>
              <w:rPr>
                <w:sz w:val="20"/>
                <w:szCs w:val="20"/>
                <w:color w:val="auto"/>
              </w:rPr>
            </w:pPr>
            <w:r>
              <w:rPr>
                <w:rFonts w:ascii="Arial" w:cs="Arial" w:eastAsia="Arial" w:hAnsi="Arial"/>
                <w:sz w:val="20"/>
                <w:szCs w:val="20"/>
                <w:color w:val="auto"/>
              </w:rPr>
              <w:t>general partner of CCPOGP, with respect to the Common Shares beneficially owned by CCPM;</w:t>
            </w: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(vii)</w:t>
            </w:r>
          </w:p>
        </w:tc>
        <w:tc>
          <w:tcPr>
            <w:tcW w:w="8780" w:type="dxa"/>
            <w:vAlign w:val="bottom"/>
            <w:gridSpan w:val="20"/>
          </w:tcPr>
          <w:p>
            <w:pPr>
              <w:ind w:left="120"/>
              <w:spacing w:after="0" w:line="206" w:lineRule="exact"/>
              <w:rPr>
                <w:sz w:val="20"/>
                <w:szCs w:val="20"/>
                <w:color w:val="auto"/>
              </w:rPr>
            </w:pPr>
            <w:r>
              <w:rPr>
                <w:rFonts w:ascii="Arial" w:cs="Arial" w:eastAsia="Arial" w:hAnsi="Arial"/>
                <w:sz w:val="20"/>
                <w:szCs w:val="20"/>
                <w:color w:val="auto"/>
                <w:w w:val="89"/>
              </w:rPr>
              <w:t>Mark T. Gallogly ("Mr. Gallogly"), as managing member of CCGPI and CCOGPI, with respect to the Common</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80" w:type="dxa"/>
            <w:vAlign w:val="bottom"/>
            <w:gridSpan w:val="20"/>
          </w:tcPr>
          <w:p>
            <w:pPr>
              <w:ind w:left="120"/>
              <w:spacing w:after="0"/>
              <w:rPr>
                <w:sz w:val="20"/>
                <w:szCs w:val="20"/>
                <w:color w:val="auto"/>
              </w:rPr>
            </w:pPr>
            <w:r>
              <w:rPr>
                <w:rFonts w:ascii="Arial" w:cs="Arial" w:eastAsia="Arial" w:hAnsi="Arial"/>
                <w:sz w:val="20"/>
                <w:szCs w:val="20"/>
                <w:color w:val="auto"/>
              </w:rPr>
              <w:t>Shares beneficially owned by CCP and CCPM; and</w:t>
            </w: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(viii)</w:t>
            </w:r>
          </w:p>
        </w:tc>
        <w:tc>
          <w:tcPr>
            <w:tcW w:w="8780" w:type="dxa"/>
            <w:vAlign w:val="bottom"/>
            <w:gridSpan w:val="20"/>
          </w:tcPr>
          <w:p>
            <w:pPr>
              <w:ind w:left="120"/>
              <w:spacing w:after="0" w:line="206" w:lineRule="exact"/>
              <w:rPr>
                <w:sz w:val="20"/>
                <w:szCs w:val="20"/>
                <w:color w:val="auto"/>
              </w:rPr>
            </w:pPr>
            <w:r>
              <w:rPr>
                <w:rFonts w:ascii="Arial" w:cs="Arial" w:eastAsia="Arial" w:hAnsi="Arial"/>
                <w:sz w:val="20"/>
                <w:szCs w:val="20"/>
                <w:color w:val="auto"/>
                <w:w w:val="95"/>
              </w:rPr>
              <w:t>Jeffrey H. Aronson ("Mr. Aronson"), as managing member of CCGPI and CCOGPI, with respect to the</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r>
      <w:tr>
        <w:trPr>
          <w:trHeight w:val="254"/>
        </w:trPr>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780" w:type="dxa"/>
            <w:vAlign w:val="bottom"/>
            <w:gridSpan w:val="20"/>
          </w:tcPr>
          <w:p>
            <w:pPr>
              <w:ind w:left="120"/>
              <w:spacing w:after="0"/>
              <w:rPr>
                <w:sz w:val="20"/>
                <w:szCs w:val="20"/>
                <w:color w:val="auto"/>
              </w:rPr>
            </w:pPr>
            <w:r>
              <w:rPr>
                <w:rFonts w:ascii="Arial" w:cs="Arial" w:eastAsia="Arial" w:hAnsi="Arial"/>
                <w:sz w:val="20"/>
                <w:szCs w:val="20"/>
                <w:color w:val="auto"/>
              </w:rPr>
              <w:t>Common Shares beneficially owned by CCP and CCPM.</w:t>
            </w:r>
          </w:p>
        </w:tc>
      </w:tr>
      <w:tr>
        <w:trPr>
          <w:trHeight w:val="415"/>
        </w:trPr>
        <w:tc>
          <w:tcPr>
            <w:tcW w:w="1280" w:type="dxa"/>
            <w:vAlign w:val="bottom"/>
          </w:tcPr>
          <w:p>
            <w:pPr>
              <w:spacing w:after="0"/>
              <w:rPr>
                <w:sz w:val="24"/>
                <w:szCs w:val="24"/>
                <w:color w:val="auto"/>
              </w:rPr>
            </w:pPr>
          </w:p>
        </w:tc>
        <w:tc>
          <w:tcPr>
            <w:tcW w:w="9900" w:type="dxa"/>
            <w:vAlign w:val="bottom"/>
            <w:gridSpan w:val="21"/>
          </w:tcPr>
          <w:p>
            <w:pPr>
              <w:ind w:left="440"/>
              <w:spacing w:after="0"/>
              <w:rPr>
                <w:sz w:val="20"/>
                <w:szCs w:val="20"/>
                <w:color w:val="auto"/>
              </w:rPr>
            </w:pPr>
            <w:r>
              <w:rPr>
                <w:rFonts w:ascii="Arial" w:cs="Arial" w:eastAsia="Arial" w:hAnsi="Arial"/>
                <w:sz w:val="20"/>
                <w:szCs w:val="20"/>
                <w:color w:val="auto"/>
                <w:w w:val="91"/>
              </w:rPr>
              <w:t>The foregoing persons are hereinafter sometimes collectively referred to as the "Reporting Persons." Any disclosures</w:t>
            </w:r>
          </w:p>
        </w:tc>
      </w:tr>
      <w:tr>
        <w:trPr>
          <w:trHeight w:val="20"/>
        </w:trPr>
        <w:tc>
          <w:tcPr>
            <w:tcW w:w="1280" w:type="dxa"/>
            <w:vAlign w:val="bottom"/>
          </w:tcPr>
          <w:p>
            <w:pPr>
              <w:spacing w:after="0" w:line="20" w:lineRule="exact"/>
              <w:rPr>
                <w:sz w:val="1"/>
                <w:szCs w:val="1"/>
                <w:color w:val="auto"/>
              </w:rPr>
            </w:pPr>
          </w:p>
        </w:tc>
        <w:tc>
          <w:tcPr>
            <w:tcW w:w="6800" w:type="dxa"/>
            <w:vAlign w:val="bottom"/>
            <w:gridSpan w:val="9"/>
          </w:tcPr>
          <w:p>
            <w:pPr>
              <w:spacing w:after="0" w:line="20" w:lineRule="exact"/>
              <w:rPr>
                <w:sz w:val="1"/>
                <w:szCs w:val="1"/>
                <w:color w:val="auto"/>
              </w:rPr>
            </w:pPr>
          </w:p>
        </w:tc>
        <w:tc>
          <w:tcPr>
            <w:tcW w:w="1460" w:type="dxa"/>
            <w:vAlign w:val="bottom"/>
            <w:gridSpan w:val="5"/>
            <w:shd w:val="clear" w:color="auto" w:fill="000000"/>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r>
      <w:tr>
        <w:trPr>
          <w:trHeight w:val="233"/>
        </w:trPr>
        <w:tc>
          <w:tcPr>
            <w:tcW w:w="1280" w:type="dxa"/>
            <w:vAlign w:val="bottom"/>
          </w:tcPr>
          <w:p>
            <w:pPr>
              <w:spacing w:after="0"/>
              <w:rPr>
                <w:sz w:val="20"/>
                <w:szCs w:val="20"/>
                <w:color w:val="auto"/>
              </w:rPr>
            </w:pPr>
          </w:p>
        </w:tc>
        <w:tc>
          <w:tcPr>
            <w:tcW w:w="9900" w:type="dxa"/>
            <w:vAlign w:val="bottom"/>
            <w:gridSpan w:val="21"/>
          </w:tcPr>
          <w:p>
            <w:pPr>
              <w:ind w:left="440"/>
              <w:spacing w:after="0"/>
              <w:rPr>
                <w:sz w:val="20"/>
                <w:szCs w:val="20"/>
                <w:color w:val="auto"/>
              </w:rPr>
            </w:pPr>
            <w:r>
              <w:rPr>
                <w:rFonts w:ascii="Arial" w:cs="Arial" w:eastAsia="Arial" w:hAnsi="Arial"/>
                <w:sz w:val="20"/>
                <w:szCs w:val="20"/>
                <w:color w:val="auto"/>
                <w:w w:val="94"/>
              </w:rPr>
              <w:t>herein with respect to persons other than the Reporting Persons are made on information and belief after making</w:t>
            </w:r>
          </w:p>
        </w:tc>
      </w:tr>
      <w:tr>
        <w:trPr>
          <w:trHeight w:val="250"/>
        </w:trPr>
        <w:tc>
          <w:tcPr>
            <w:tcW w:w="1280" w:type="dxa"/>
            <w:vAlign w:val="bottom"/>
          </w:tcPr>
          <w:p>
            <w:pPr>
              <w:spacing w:after="0"/>
              <w:rPr>
                <w:sz w:val="21"/>
                <w:szCs w:val="21"/>
                <w:color w:val="auto"/>
              </w:rPr>
            </w:pPr>
          </w:p>
        </w:tc>
        <w:tc>
          <w:tcPr>
            <w:tcW w:w="9900" w:type="dxa"/>
            <w:vAlign w:val="bottom"/>
            <w:gridSpan w:val="21"/>
          </w:tcPr>
          <w:p>
            <w:pPr>
              <w:ind w:left="440"/>
              <w:spacing w:after="0"/>
              <w:rPr>
                <w:sz w:val="20"/>
                <w:szCs w:val="20"/>
                <w:color w:val="auto"/>
              </w:rPr>
            </w:pPr>
            <w:r>
              <w:rPr>
                <w:rFonts w:ascii="Arial" w:cs="Arial" w:eastAsia="Arial" w:hAnsi="Arial"/>
                <w:sz w:val="20"/>
                <w:szCs w:val="20"/>
                <w:color w:val="auto"/>
              </w:rPr>
              <w:t>inquiry to the appropriate party.</w:t>
            </w: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900" w:type="dxa"/>
            <w:vAlign w:val="bottom"/>
            <w:gridSpan w:val="21"/>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38"/>
        </w:trPr>
        <w:tc>
          <w:tcPr>
            <w:tcW w:w="1280" w:type="dxa"/>
            <w:vAlign w:val="bottom"/>
          </w:tcPr>
          <w:p>
            <w:pPr>
              <w:spacing w:after="0"/>
              <w:rPr>
                <w:sz w:val="24"/>
                <w:szCs w:val="24"/>
                <w:color w:val="auto"/>
              </w:rPr>
            </w:pPr>
          </w:p>
        </w:tc>
        <w:tc>
          <w:tcPr>
            <w:tcW w:w="9900" w:type="dxa"/>
            <w:vAlign w:val="bottom"/>
            <w:gridSpan w:val="21"/>
          </w:tcPr>
          <w:p>
            <w:pPr>
              <w:ind w:left="440"/>
              <w:spacing w:after="0"/>
              <w:rPr>
                <w:sz w:val="20"/>
                <w:szCs w:val="20"/>
                <w:color w:val="auto"/>
              </w:rPr>
            </w:pPr>
            <w:r>
              <w:rPr>
                <w:rFonts w:ascii="Arial" w:cs="Arial" w:eastAsia="Arial" w:hAnsi="Arial"/>
                <w:sz w:val="20"/>
                <w:szCs w:val="20"/>
                <w:color w:val="auto"/>
                <w:w w:val="92"/>
              </w:rPr>
              <w:t>The address of the business office of each of the Reporting Persons is 375 Park Avenue, 12th Floor, New York, NY</w:t>
            </w:r>
          </w:p>
        </w:tc>
      </w:tr>
      <w:tr>
        <w:trPr>
          <w:trHeight w:val="250"/>
        </w:trPr>
        <w:tc>
          <w:tcPr>
            <w:tcW w:w="1280" w:type="dxa"/>
            <w:vAlign w:val="bottom"/>
          </w:tcPr>
          <w:p>
            <w:pPr>
              <w:spacing w:after="0"/>
              <w:rPr>
                <w:sz w:val="21"/>
                <w:szCs w:val="21"/>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10152.</w:t>
            </w: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sectPr>
          <w:pgSz w:w="11900" w:h="16838" w:orient="portrait"/>
          <w:cols w:equalWidth="0" w:num="1">
            <w:col w:w="11420"/>
          </w:cols>
          <w:pgMar w:left="240" w:top="220" w:right="239" w:bottom="1440" w:gutter="0" w:footer="0" w:header="0"/>
          <w:type w:val="continuous"/>
        </w:sectPr>
      </w:pPr>
    </w:p>
    <w:bookmarkStart w:id="10" w:name="page11"/>
    <w:bookmarkEnd w:id="10"/>
    <w:p>
      <w:pPr>
        <w:spacing w:after="0"/>
        <w:tabs>
          <w:tab w:leader="none" w:pos="5500" w:val="left"/>
          <w:tab w:leader="none" w:pos="9620" w:val="left"/>
        </w:tabs>
        <w:rPr>
          <w:sz w:val="20"/>
          <w:szCs w:val="20"/>
          <w:color w:val="auto"/>
        </w:rPr>
      </w:pPr>
      <w:r>
        <w:rPr>
          <w:rFonts w:ascii="Arial" w:cs="Arial" w:eastAsia="Arial" w:hAnsi="Arial"/>
          <w:sz w:val="22"/>
          <w:szCs w:val="22"/>
          <w:b w:val="1"/>
          <w:bCs w:val="1"/>
          <w:color w:val="auto"/>
        </w:rPr>
        <w:t>CUSIP No. 17878Y108</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11 of 15 Pages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235" w:lineRule="exact"/>
        <w:rPr>
          <w:sz w:val="20"/>
          <w:szCs w:val="20"/>
          <w:color w:val="auto"/>
        </w:rPr>
      </w:pPr>
    </w:p>
    <w:p>
      <w:pPr>
        <w:ind w:left="1820" w:right="220"/>
        <w:spacing w:after="0" w:line="246" w:lineRule="auto"/>
        <w:rPr>
          <w:sz w:val="20"/>
          <w:szCs w:val="20"/>
          <w:color w:val="auto"/>
        </w:rPr>
      </w:pPr>
      <w:r>
        <w:rPr>
          <w:rFonts w:ascii="Arial" w:cs="Arial" w:eastAsia="Arial" w:hAnsi="Arial"/>
          <w:sz w:val="20"/>
          <w:szCs w:val="20"/>
          <w:color w:val="auto"/>
        </w:rPr>
        <w:t>CCP, CCPGP and CCPOGP are limited partnerships organized under the laws of the State of Delaware. CCPM is an exempted limited partnership organized under the laws of the Cayman Islands. CCGPI and CCOGPI are limited liability companies organized under the laws of the State of Delaware. Messrs. Gallogly and Aronson are citizens of the United States.</w:t>
      </w:r>
    </w:p>
    <w:p>
      <w:pPr>
        <w:spacing w:after="0" w:line="199"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4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80" w:type="dxa"/>
            <w:vAlign w:val="bottom"/>
          </w:tcPr>
          <w:p>
            <w:pPr>
              <w:spacing w:after="0"/>
              <w:rPr>
                <w:sz w:val="24"/>
                <w:szCs w:val="24"/>
                <w:color w:val="auto"/>
              </w:rPr>
            </w:pPr>
          </w:p>
        </w:tc>
        <w:tc>
          <w:tcPr>
            <w:tcW w:w="9940" w:type="dxa"/>
            <w:vAlign w:val="bottom"/>
            <w:gridSpan w:val="5"/>
          </w:tcPr>
          <w:p>
            <w:pPr>
              <w:ind w:left="440"/>
              <w:spacing w:after="0"/>
              <w:rPr>
                <w:sz w:val="20"/>
                <w:szCs w:val="20"/>
                <w:color w:val="auto"/>
              </w:rPr>
            </w:pPr>
            <w:r>
              <w:rPr>
                <w:rFonts w:ascii="Arial" w:cs="Arial" w:eastAsia="Arial" w:hAnsi="Arial"/>
                <w:sz w:val="20"/>
                <w:szCs w:val="20"/>
                <w:color w:val="auto"/>
              </w:rPr>
              <w:t>Common Shares, no par value (the "Common Shares").</w:t>
            </w:r>
          </w:p>
        </w:tc>
      </w:tr>
      <w:tr>
        <w:trPr>
          <w:trHeight w:val="484"/>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336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c>
          <w:tcPr>
            <w:tcW w:w="1320" w:type="dxa"/>
            <w:vAlign w:val="bottom"/>
            <w:tcBorders>
              <w:top w:val="single" w:sz="8" w:color="auto"/>
            </w:tcBorders>
          </w:tcPr>
          <w:p>
            <w:pPr>
              <w:spacing w:after="0"/>
              <w:rPr>
                <w:sz w:val="24"/>
                <w:szCs w:val="24"/>
                <w:color w:val="auto"/>
              </w:rPr>
            </w:pPr>
          </w:p>
        </w:tc>
        <w:tc>
          <w:tcPr>
            <w:tcW w:w="526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1560" w:type="dxa"/>
            <w:vAlign w:val="bottom"/>
            <w:gridSpan w:val="2"/>
          </w:tcPr>
          <w:p>
            <w:pPr>
              <w:ind w:left="440"/>
              <w:spacing w:after="0"/>
              <w:rPr>
                <w:sz w:val="20"/>
                <w:szCs w:val="20"/>
                <w:color w:val="auto"/>
              </w:rPr>
            </w:pPr>
            <w:r>
              <w:rPr>
                <w:rFonts w:ascii="Arial" w:cs="Arial" w:eastAsia="Arial" w:hAnsi="Arial"/>
                <w:sz w:val="20"/>
                <w:szCs w:val="20"/>
                <w:color w:val="auto"/>
              </w:rPr>
              <w:t>17878Y108</w:t>
            </w: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40" w:type="dxa"/>
            <w:vAlign w:val="bottom"/>
            <w:gridSpan w:val="5"/>
          </w:tcPr>
          <w:p>
            <w:pPr>
              <w:ind w:left="440"/>
              <w:spacing w:after="0"/>
              <w:rPr>
                <w:sz w:val="20"/>
                <w:szCs w:val="20"/>
                <w:color w:val="auto"/>
              </w:rPr>
            </w:pPr>
            <w:r>
              <w:rPr>
                <w:rFonts w:ascii="Arial" w:cs="Arial" w:eastAsia="Arial" w:hAnsi="Arial"/>
                <w:sz w:val="20"/>
                <w:szCs w:val="20"/>
                <w:b w:val="1"/>
                <w:bCs w:val="1"/>
                <w:color w:val="auto"/>
                <w:w w:val="99"/>
              </w:rPr>
              <w:t>IF THIS STATEMENT IS FILED PURSUANT TO Rules 13d-1(b), OR 13d-2(b) OR (c), CHECK WHETHER</w:t>
            </w:r>
          </w:p>
        </w:tc>
      </w:tr>
      <w:tr>
        <w:trPr>
          <w:trHeight w:val="256"/>
        </w:trPr>
        <w:tc>
          <w:tcPr>
            <w:tcW w:w="1280" w:type="dxa"/>
            <w:vAlign w:val="bottom"/>
          </w:tcPr>
          <w:p>
            <w:pPr>
              <w:spacing w:after="0"/>
              <w:rPr>
                <w:sz w:val="22"/>
                <w:szCs w:val="22"/>
                <w:color w:val="auto"/>
              </w:rPr>
            </w:pPr>
          </w:p>
        </w:tc>
        <w:tc>
          <w:tcPr>
            <w:tcW w:w="9940" w:type="dxa"/>
            <w:vAlign w:val="bottom"/>
            <w:gridSpan w:val="5"/>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(a)</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(b)</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(c)</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(d)</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(e)</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(f)</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8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(g)</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8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(h)</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 savings association as defined in Section 3(b) of the Federal Deposit Insurance Act;</w:t>
            </w:r>
          </w:p>
        </w:tc>
      </w:tr>
      <w:tr>
        <w:trPr>
          <w:trHeight w:val="403"/>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(i)</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w w:val="91"/>
              </w:rPr>
              <w:t>A church plan that is excluded from the definition of an investment company under Section 3(c)(14) of</w:t>
            </w:r>
          </w:p>
        </w:tc>
      </w:tr>
      <w:tr>
        <w:trPr>
          <w:trHeight w:val="250"/>
        </w:trPr>
        <w:tc>
          <w:tcPr>
            <w:tcW w:w="1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the Investment Company Act;</w:t>
            </w:r>
          </w:p>
        </w:tc>
      </w:tr>
      <w:tr>
        <w:trPr>
          <w:trHeight w:val="495"/>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(j)</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 non-U.S. institution in accordance with Rule 13d-1(b)(1)(ii)(J);</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(k)</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Group, in accordance with Rule 13d-1(b)(1)(ii)(K).</w:t>
            </w:r>
          </w:p>
        </w:tc>
      </w:tr>
    </w:tbl>
    <w:p>
      <w:pPr>
        <w:spacing w:after="0" w:line="173" w:lineRule="exact"/>
        <w:rPr>
          <w:sz w:val="20"/>
          <w:szCs w:val="20"/>
          <w:color w:val="auto"/>
        </w:rPr>
      </w:pPr>
    </w:p>
    <w:p>
      <w:pPr>
        <w:ind w:left="1820" w:right="304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1" w:name="page12"/>
    <w:bookmarkEnd w:id="11"/>
    <w:p>
      <w:pPr>
        <w:spacing w:after="0"/>
        <w:tabs>
          <w:tab w:leader="none" w:pos="5500" w:val="left"/>
          <w:tab w:leader="none" w:pos="9600" w:val="left"/>
        </w:tabs>
        <w:rPr>
          <w:sz w:val="20"/>
          <w:szCs w:val="20"/>
          <w:color w:val="auto"/>
        </w:rPr>
      </w:pPr>
      <w:r>
        <w:rPr>
          <w:rFonts w:ascii="Arial" w:cs="Arial" w:eastAsia="Arial" w:hAnsi="Arial"/>
          <w:sz w:val="22"/>
          <w:szCs w:val="22"/>
          <w:b w:val="1"/>
          <w:bCs w:val="1"/>
          <w:color w:val="auto"/>
        </w:rPr>
        <w:t>CUSIP No. 17878Y108</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12 of 15 Pages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35" w:lineRule="exact"/>
        <w:rPr>
          <w:sz w:val="20"/>
          <w:szCs w:val="20"/>
          <w:color w:val="auto"/>
        </w:rPr>
      </w:pPr>
    </w:p>
    <w:p>
      <w:pPr>
        <w:ind w:left="1140" w:right="280"/>
        <w:spacing w:after="0" w:line="260" w:lineRule="auto"/>
        <w:rPr>
          <w:sz w:val="20"/>
          <w:szCs w:val="20"/>
          <w:color w:val="auto"/>
        </w:rPr>
      </w:pPr>
      <w:r>
        <w:rPr>
          <w:rFonts w:ascii="Arial" w:cs="Arial" w:eastAsia="Arial" w:hAnsi="Arial"/>
          <w:sz w:val="20"/>
          <w:szCs w:val="20"/>
          <w:color w:val="auto"/>
        </w:rPr>
        <w:t>This Schedule 13G reports beneficial ownership of the Common Shares beneficially owned by the Reporting Persons as of the date hereof.</w:t>
      </w:r>
    </w:p>
    <w:p>
      <w:pPr>
        <w:spacing w:after="0" w:line="190" w:lineRule="exact"/>
        <w:rPr>
          <w:sz w:val="20"/>
          <w:szCs w:val="20"/>
          <w:color w:val="auto"/>
        </w:rPr>
      </w:pPr>
    </w:p>
    <w:p>
      <w:pPr>
        <w:ind w:left="1740" w:right="660" w:hanging="589"/>
        <w:spacing w:after="0" w:line="247" w:lineRule="auto"/>
        <w:tabs>
          <w:tab w:leader="none" w:pos="1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Centerbridge Credit Partners, L.P., Centerbridge Credit Partners General Partner, L.P. and Centerbridge Credit GP Investors, L.L.C.</w:t>
      </w:r>
    </w:p>
    <w:p>
      <w:pPr>
        <w:spacing w:after="0" w:line="1" w:lineRule="exact"/>
        <w:rPr>
          <w:rFonts w:ascii="Arial" w:cs="Arial" w:eastAsia="Arial" w:hAnsi="Arial"/>
          <w:sz w:val="20"/>
          <w:szCs w:val="20"/>
          <w:color w:val="auto"/>
        </w:rPr>
      </w:pPr>
    </w:p>
    <w:p>
      <w:pPr>
        <w:ind w:left="2860" w:hanging="561"/>
        <w:spacing w:after="0"/>
        <w:tabs>
          <w:tab w:leader="none" w:pos="2860" w:val="left"/>
        </w:tabs>
        <w:numPr>
          <w:ilvl w:val="1"/>
          <w:numId w:val="2"/>
        </w:numPr>
        <w:rPr>
          <w:rFonts w:ascii="Arial" w:cs="Arial" w:eastAsia="Arial" w:hAnsi="Arial"/>
          <w:sz w:val="20"/>
          <w:szCs w:val="20"/>
          <w:color w:val="auto"/>
        </w:rPr>
      </w:pPr>
      <w:r>
        <w:rPr>
          <w:rFonts w:ascii="Arial" w:cs="Arial" w:eastAsia="Arial" w:hAnsi="Arial"/>
          <w:sz w:val="20"/>
          <w:szCs w:val="20"/>
          <w:color w:val="auto"/>
        </w:rPr>
        <w:t>Amount beneficially owned: 2,232,559</w:t>
      </w:r>
    </w:p>
    <w:p>
      <w:pPr>
        <w:jc w:val="both"/>
        <w:ind w:left="2860" w:right="100" w:hanging="561"/>
        <w:spacing w:after="0" w:line="239" w:lineRule="auto"/>
        <w:tabs>
          <w:tab w:leader="none" w:pos="2860" w:val="left"/>
        </w:tabs>
        <w:numPr>
          <w:ilvl w:val="1"/>
          <w:numId w:val="2"/>
        </w:numPr>
        <w:rPr>
          <w:rFonts w:ascii="Arial" w:cs="Arial" w:eastAsia="Arial" w:hAnsi="Arial"/>
          <w:sz w:val="20"/>
          <w:szCs w:val="20"/>
          <w:color w:val="auto"/>
        </w:rPr>
      </w:pPr>
      <w:r>
        <w:rPr>
          <w:rFonts w:ascii="Arial" w:cs="Arial" w:eastAsia="Arial" w:hAnsi="Arial"/>
          <w:sz w:val="20"/>
          <w:szCs w:val="20"/>
          <w:color w:val="auto"/>
        </w:rPr>
        <w:t>Percent of class: 2.1%. The percentages used herein and in the rest of Item 4 are calculated based upon the 107,465,397 Common Shares issued and outstanding as of October 26, 2015, as disclosed in the Company's Quarterly Report on Form 10-Q for the quarterly period ended September 30, 2015 filed with the Securities and Exchange Commission on November 3, 2015.</w:t>
      </w:r>
    </w:p>
    <w:p>
      <w:pPr>
        <w:spacing w:after="0" w:line="2" w:lineRule="exact"/>
        <w:rPr>
          <w:rFonts w:ascii="Arial" w:cs="Arial" w:eastAsia="Arial" w:hAnsi="Arial"/>
          <w:sz w:val="20"/>
          <w:szCs w:val="20"/>
          <w:color w:val="auto"/>
        </w:rPr>
      </w:pPr>
    </w:p>
    <w:p>
      <w:pPr>
        <w:ind w:left="2860" w:hanging="561"/>
        <w:spacing w:after="0"/>
        <w:tabs>
          <w:tab w:leader="none" w:pos="2860" w:val="left"/>
        </w:tabs>
        <w:numPr>
          <w:ilvl w:val="1"/>
          <w:numId w:val="2"/>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540" w:hanging="673"/>
        <w:spacing w:after="0"/>
        <w:tabs>
          <w:tab w:leader="none" w:pos="3540" w:val="left"/>
        </w:tabs>
        <w:numPr>
          <w:ilvl w:val="2"/>
          <w:numId w:val="2"/>
        </w:numPr>
        <w:rPr>
          <w:rFonts w:ascii="Arial" w:cs="Arial" w:eastAsia="Arial" w:hAnsi="Arial"/>
          <w:sz w:val="20"/>
          <w:szCs w:val="20"/>
          <w:color w:val="auto"/>
        </w:rPr>
      </w:pPr>
      <w:r>
        <w:rPr>
          <w:rFonts w:ascii="Arial" w:cs="Arial" w:eastAsia="Arial" w:hAnsi="Arial"/>
          <w:sz w:val="20"/>
          <w:szCs w:val="20"/>
          <w:color w:val="auto"/>
        </w:rPr>
        <w:t>Shared power to vote or direct the vote: 2,232,559</w:t>
      </w:r>
    </w:p>
    <w:p>
      <w:pPr>
        <w:ind w:left="3540" w:hanging="673"/>
        <w:spacing w:after="0"/>
        <w:tabs>
          <w:tab w:leader="none" w:pos="3540" w:val="left"/>
        </w:tabs>
        <w:numPr>
          <w:ilvl w:val="2"/>
          <w:numId w:val="2"/>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540" w:hanging="673"/>
        <w:spacing w:after="0"/>
        <w:tabs>
          <w:tab w:leader="none" w:pos="3540" w:val="left"/>
        </w:tabs>
        <w:numPr>
          <w:ilvl w:val="2"/>
          <w:numId w:val="2"/>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2,232,559</w:t>
      </w:r>
    </w:p>
    <w:p>
      <w:pPr>
        <w:spacing w:after="0" w:line="213" w:lineRule="exact"/>
        <w:rPr>
          <w:sz w:val="20"/>
          <w:szCs w:val="20"/>
          <w:color w:val="auto"/>
        </w:rPr>
      </w:pPr>
    </w:p>
    <w:p>
      <w:pPr>
        <w:ind w:left="1740" w:right="120"/>
        <w:spacing w:after="0" w:line="274" w:lineRule="auto"/>
        <w:rPr>
          <w:sz w:val="20"/>
          <w:szCs w:val="20"/>
          <w:color w:val="auto"/>
        </w:rPr>
      </w:pPr>
      <w:r>
        <w:rPr>
          <w:rFonts w:ascii="Arial" w:cs="Arial" w:eastAsia="Arial" w:hAnsi="Arial"/>
          <w:sz w:val="18"/>
          <w:szCs w:val="18"/>
          <w:color w:val="auto"/>
        </w:rPr>
        <w:t>CCP has the power to dispose of and the power to vote the Common Shares beneficially owned by it, which powers may also be exercised by CCPGP, its general partner and by CCGPI, the general partner of CCPGP. Neither of CCPGP nor CCGPI directly owns any of the Common Shares. By reason of the provisions of Rule 13d-3 of the Act, each may be deemed to beneficially own the Common Shares beneficially owned by CCP. However, none of the foregoing should be construed in and of itself as an admission by CCPGP or CCGPI or by any Reporting Person as to beneficial ownership of the Common Shares owned by another Reporting Person. In addition, each of CCPGP and CCGPI expressly disclaims beneficial ownership of the Common Shares owned by CCP.</w:t>
      </w:r>
    </w:p>
    <w:p>
      <w:pPr>
        <w:spacing w:after="0" w:line="183" w:lineRule="exact"/>
        <w:rPr>
          <w:sz w:val="20"/>
          <w:szCs w:val="20"/>
          <w:color w:val="auto"/>
        </w:rPr>
      </w:pPr>
    </w:p>
    <w:p>
      <w:pPr>
        <w:ind w:left="1740" w:right="180" w:hanging="589"/>
        <w:spacing w:after="0" w:line="247" w:lineRule="auto"/>
        <w:tabs>
          <w:tab w:leader="none" w:pos="1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Centerbridge Credit Partners Master, L.P., Centerbridge Credit Partners Offshore General Partner, L.P. and Centerbridge Credit Offshore GP Investors, L.L.C.</w:t>
      </w:r>
    </w:p>
    <w:p>
      <w:pPr>
        <w:spacing w:after="0" w:line="1" w:lineRule="exact"/>
        <w:rPr>
          <w:rFonts w:ascii="Arial" w:cs="Arial" w:eastAsia="Arial" w:hAnsi="Arial"/>
          <w:sz w:val="20"/>
          <w:szCs w:val="20"/>
          <w:color w:val="auto"/>
        </w:rPr>
      </w:pPr>
    </w:p>
    <w:p>
      <w:pPr>
        <w:ind w:left="2980" w:hanging="681"/>
        <w:spacing w:after="0"/>
        <w:tabs>
          <w:tab w:leader="none" w:pos="2980" w:val="left"/>
        </w:tabs>
        <w:numPr>
          <w:ilvl w:val="1"/>
          <w:numId w:val="3"/>
        </w:numPr>
        <w:rPr>
          <w:rFonts w:ascii="Arial" w:cs="Arial" w:eastAsia="Arial" w:hAnsi="Arial"/>
          <w:sz w:val="20"/>
          <w:szCs w:val="20"/>
          <w:color w:val="auto"/>
        </w:rPr>
      </w:pPr>
      <w:r>
        <w:rPr>
          <w:rFonts w:ascii="Arial" w:cs="Arial" w:eastAsia="Arial" w:hAnsi="Arial"/>
          <w:sz w:val="20"/>
          <w:szCs w:val="20"/>
          <w:color w:val="auto"/>
        </w:rPr>
        <w:t>Amount beneficially owned: 4,146,351</w:t>
      </w:r>
    </w:p>
    <w:p>
      <w:pPr>
        <w:ind w:left="2980" w:hanging="681"/>
        <w:spacing w:after="0"/>
        <w:tabs>
          <w:tab w:leader="none" w:pos="2980" w:val="left"/>
        </w:tabs>
        <w:numPr>
          <w:ilvl w:val="1"/>
          <w:numId w:val="3"/>
        </w:numPr>
        <w:rPr>
          <w:rFonts w:ascii="Arial" w:cs="Arial" w:eastAsia="Arial" w:hAnsi="Arial"/>
          <w:sz w:val="20"/>
          <w:szCs w:val="20"/>
          <w:color w:val="auto"/>
        </w:rPr>
      </w:pPr>
      <w:r>
        <w:rPr>
          <w:rFonts w:ascii="Arial" w:cs="Arial" w:eastAsia="Arial" w:hAnsi="Arial"/>
          <w:sz w:val="20"/>
          <w:szCs w:val="20"/>
          <w:color w:val="auto"/>
        </w:rPr>
        <w:t>Percent of class: 3.9%</w:t>
      </w:r>
    </w:p>
    <w:p>
      <w:pPr>
        <w:ind w:left="2980" w:hanging="681"/>
        <w:spacing w:after="0"/>
        <w:tabs>
          <w:tab w:leader="none" w:pos="2980" w:val="left"/>
        </w:tabs>
        <w:numPr>
          <w:ilvl w:val="1"/>
          <w:numId w:val="3"/>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640" w:hanging="672"/>
        <w:spacing w:after="0"/>
        <w:tabs>
          <w:tab w:leader="none" w:pos="3640" w:val="left"/>
        </w:tabs>
        <w:numPr>
          <w:ilvl w:val="2"/>
          <w:numId w:val="3"/>
        </w:numPr>
        <w:rPr>
          <w:rFonts w:ascii="Arial" w:cs="Arial" w:eastAsia="Arial" w:hAnsi="Arial"/>
          <w:sz w:val="20"/>
          <w:szCs w:val="20"/>
          <w:color w:val="auto"/>
        </w:rPr>
      </w:pPr>
      <w:r>
        <w:rPr>
          <w:rFonts w:ascii="Arial" w:cs="Arial" w:eastAsia="Arial" w:hAnsi="Arial"/>
          <w:sz w:val="20"/>
          <w:szCs w:val="20"/>
          <w:color w:val="auto"/>
        </w:rPr>
        <w:t>Shared power to vote or direct the vote: 4,146,351</w:t>
      </w:r>
    </w:p>
    <w:p>
      <w:pPr>
        <w:ind w:left="3640" w:hanging="672"/>
        <w:spacing w:after="0"/>
        <w:tabs>
          <w:tab w:leader="none" w:pos="3640" w:val="left"/>
        </w:tabs>
        <w:numPr>
          <w:ilvl w:val="2"/>
          <w:numId w:val="3"/>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640" w:hanging="672"/>
        <w:spacing w:after="0"/>
        <w:tabs>
          <w:tab w:leader="none" w:pos="3640" w:val="left"/>
        </w:tabs>
        <w:numPr>
          <w:ilvl w:val="2"/>
          <w:numId w:val="3"/>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4,146,351</w:t>
      </w:r>
    </w:p>
    <w:p>
      <w:pPr>
        <w:spacing w:after="0" w:line="213" w:lineRule="exact"/>
        <w:rPr>
          <w:sz w:val="20"/>
          <w:szCs w:val="20"/>
          <w:color w:val="auto"/>
        </w:rPr>
      </w:pPr>
    </w:p>
    <w:p>
      <w:pPr>
        <w:ind w:left="1740" w:right="100"/>
        <w:spacing w:after="0" w:line="274" w:lineRule="auto"/>
        <w:rPr>
          <w:sz w:val="20"/>
          <w:szCs w:val="20"/>
          <w:color w:val="auto"/>
        </w:rPr>
      </w:pPr>
      <w:r>
        <w:rPr>
          <w:rFonts w:ascii="Arial" w:cs="Arial" w:eastAsia="Arial" w:hAnsi="Arial"/>
          <w:sz w:val="18"/>
          <w:szCs w:val="18"/>
          <w:color w:val="auto"/>
        </w:rPr>
        <w:t>CCPM has the power to dispose of and the power to vote the Common Shares beneficially owned by it, which powers may also be exercised by CCPOGP, its general partner, and CCOGPI, the general partner of CCPOGP. Neither CCOGPI nor CCPOGP directly owns any of the Common Shares. By reason of the provisions of Rule 13d-3 of the Act, each may be deemed to beneficially own the Common Shares beneficially owned by CCPM. However, none of the foregoing should be construed in and of itself as an admission by CCOGPI or CCPOGP or by any Reporting Person as to beneficial ownership of Common Shares owned by another Reporting Person. In addition, each of CCOGPI and CCPOGP expressly disclaims beneficial ownership of Common Shares owned by CCPM.</w:t>
      </w:r>
    </w:p>
    <w:p>
      <w:pPr>
        <w:sectPr>
          <w:pgSz w:w="11900" w:h="16838" w:orient="portrait"/>
          <w:cols w:equalWidth="0" w:num="1">
            <w:col w:w="11420"/>
          </w:cols>
          <w:pgMar w:left="240" w:top="220" w:right="239" w:bottom="1440" w:gutter="0" w:footer="0" w:header="0"/>
          <w:type w:val="continuous"/>
        </w:sectPr>
      </w:pPr>
    </w:p>
    <w:bookmarkStart w:id="12" w:name="page13"/>
    <w:bookmarkEnd w:id="12"/>
    <w:p>
      <w:pPr>
        <w:spacing w:after="0"/>
        <w:tabs>
          <w:tab w:leader="none" w:pos="5500" w:val="left"/>
          <w:tab w:leader="none" w:pos="9600" w:val="left"/>
        </w:tabs>
        <w:rPr>
          <w:sz w:val="20"/>
          <w:szCs w:val="20"/>
          <w:color w:val="auto"/>
        </w:rPr>
      </w:pPr>
      <w:r>
        <w:rPr>
          <w:rFonts w:ascii="Arial" w:cs="Arial" w:eastAsia="Arial" w:hAnsi="Arial"/>
          <w:sz w:val="22"/>
          <w:szCs w:val="22"/>
          <w:b w:val="1"/>
          <w:bCs w:val="1"/>
          <w:color w:val="auto"/>
        </w:rPr>
        <w:t>CUSIP No. 17878Y108</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13 of 15 Pages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1740" w:hanging="589"/>
        <w:spacing w:after="0"/>
        <w:tabs>
          <w:tab w:leader="none" w:pos="1740" w:val="left"/>
        </w:tabs>
        <w:numPr>
          <w:ilvl w:val="0"/>
          <w:numId w:val="4"/>
        </w:numPr>
        <w:rPr>
          <w:rFonts w:ascii="Arial" w:cs="Arial" w:eastAsia="Arial" w:hAnsi="Arial"/>
          <w:sz w:val="20"/>
          <w:szCs w:val="20"/>
          <w:color w:val="auto"/>
        </w:rPr>
      </w:pPr>
      <w:r>
        <w:rPr>
          <w:rFonts w:ascii="Arial" w:cs="Arial" w:eastAsia="Arial" w:hAnsi="Arial"/>
          <w:sz w:val="20"/>
          <w:szCs w:val="20"/>
          <w:color w:val="auto"/>
        </w:rPr>
        <w:t>Mark T. Gallogly and Jeffrey Aronson</w:t>
      </w:r>
    </w:p>
    <w:p>
      <w:pPr>
        <w:spacing w:after="0" w:line="15" w:lineRule="exact"/>
        <w:rPr>
          <w:rFonts w:ascii="Arial" w:cs="Arial" w:eastAsia="Arial" w:hAnsi="Arial"/>
          <w:sz w:val="20"/>
          <w:szCs w:val="20"/>
          <w:color w:val="auto"/>
        </w:rPr>
      </w:pPr>
    </w:p>
    <w:p>
      <w:pPr>
        <w:ind w:left="2860" w:hanging="561"/>
        <w:spacing w:after="0"/>
        <w:tabs>
          <w:tab w:leader="none" w:pos="2860" w:val="left"/>
        </w:tabs>
        <w:numPr>
          <w:ilvl w:val="1"/>
          <w:numId w:val="4"/>
        </w:numPr>
        <w:rPr>
          <w:rFonts w:ascii="Arial" w:cs="Arial" w:eastAsia="Arial" w:hAnsi="Arial"/>
          <w:sz w:val="20"/>
          <w:szCs w:val="20"/>
          <w:color w:val="auto"/>
        </w:rPr>
      </w:pPr>
      <w:r>
        <w:rPr>
          <w:rFonts w:ascii="Arial" w:cs="Arial" w:eastAsia="Arial" w:hAnsi="Arial"/>
          <w:sz w:val="20"/>
          <w:szCs w:val="20"/>
          <w:color w:val="auto"/>
        </w:rPr>
        <w:t>Amount beneficially owned: 6,378,910</w:t>
      </w:r>
    </w:p>
    <w:p>
      <w:pPr>
        <w:ind w:left="2860" w:hanging="561"/>
        <w:spacing w:after="0"/>
        <w:tabs>
          <w:tab w:leader="none" w:pos="2860" w:val="left"/>
        </w:tabs>
        <w:numPr>
          <w:ilvl w:val="1"/>
          <w:numId w:val="4"/>
        </w:numPr>
        <w:rPr>
          <w:rFonts w:ascii="Arial" w:cs="Arial" w:eastAsia="Arial" w:hAnsi="Arial"/>
          <w:sz w:val="20"/>
          <w:szCs w:val="20"/>
          <w:color w:val="auto"/>
        </w:rPr>
      </w:pPr>
      <w:r>
        <w:rPr>
          <w:rFonts w:ascii="Arial" w:cs="Arial" w:eastAsia="Arial" w:hAnsi="Arial"/>
          <w:sz w:val="20"/>
          <w:szCs w:val="20"/>
          <w:color w:val="auto"/>
        </w:rPr>
        <w:t>Percent of class: 5.9%</w:t>
      </w:r>
    </w:p>
    <w:p>
      <w:pPr>
        <w:ind w:left="2860" w:hanging="561"/>
        <w:spacing w:after="0"/>
        <w:tabs>
          <w:tab w:leader="none" w:pos="2860" w:val="left"/>
        </w:tabs>
        <w:numPr>
          <w:ilvl w:val="1"/>
          <w:numId w:val="4"/>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540" w:hanging="673"/>
        <w:spacing w:after="0"/>
        <w:tabs>
          <w:tab w:leader="none" w:pos="3540" w:val="left"/>
        </w:tabs>
        <w:numPr>
          <w:ilvl w:val="2"/>
          <w:numId w:val="4"/>
        </w:numPr>
        <w:rPr>
          <w:rFonts w:ascii="Arial" w:cs="Arial" w:eastAsia="Arial" w:hAnsi="Arial"/>
          <w:sz w:val="20"/>
          <w:szCs w:val="20"/>
          <w:color w:val="auto"/>
        </w:rPr>
      </w:pPr>
      <w:r>
        <w:rPr>
          <w:rFonts w:ascii="Arial" w:cs="Arial" w:eastAsia="Arial" w:hAnsi="Arial"/>
          <w:sz w:val="20"/>
          <w:szCs w:val="20"/>
          <w:color w:val="auto"/>
        </w:rPr>
        <w:t>Shared power to vote or direct the vote: 6,378,910</w:t>
      </w:r>
    </w:p>
    <w:p>
      <w:pPr>
        <w:ind w:left="3540" w:hanging="673"/>
        <w:spacing w:after="0"/>
        <w:tabs>
          <w:tab w:leader="none" w:pos="3540" w:val="left"/>
        </w:tabs>
        <w:numPr>
          <w:ilvl w:val="2"/>
          <w:numId w:val="4"/>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540" w:hanging="673"/>
        <w:spacing w:after="0"/>
        <w:tabs>
          <w:tab w:leader="none" w:pos="3540" w:val="left"/>
        </w:tabs>
        <w:numPr>
          <w:ilvl w:val="2"/>
          <w:numId w:val="4"/>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6,378,910</w:t>
      </w:r>
    </w:p>
    <w:p>
      <w:pPr>
        <w:spacing w:after="0" w:line="213" w:lineRule="exact"/>
        <w:rPr>
          <w:sz w:val="20"/>
          <w:szCs w:val="20"/>
          <w:color w:val="auto"/>
        </w:rPr>
      </w:pPr>
    </w:p>
    <w:p>
      <w:pPr>
        <w:ind w:left="1740" w:right="300"/>
        <w:spacing w:after="0" w:line="274" w:lineRule="auto"/>
        <w:rPr>
          <w:sz w:val="20"/>
          <w:szCs w:val="20"/>
          <w:color w:val="auto"/>
        </w:rPr>
      </w:pPr>
      <w:r>
        <w:rPr>
          <w:rFonts w:ascii="Arial" w:cs="Arial" w:eastAsia="Arial" w:hAnsi="Arial"/>
          <w:sz w:val="18"/>
          <w:szCs w:val="18"/>
          <w:color w:val="auto"/>
        </w:rPr>
        <w:t>Messrs. Gallogly and Aronson, as managing members of CCGPI and CCOGPI, share power to vote the Common Shares beneficially owned by CCP and CCPM. Neither Mr. Gallogly nor Mr. Aronson directly owns any of the Common Shares. By reason of the provisions of Rule 13d-3 of the Act, each may be deemed to beneficially own the Common Shares beneficially owned by CCP and CCPM. However, none of the foregoing should be construed in and of itself as an admission by Messrs. Gallogly or Aronson or by any Reporting Person as to beneficial ownership of the Common Shares owned by another Reporting Person. In addition, each of Mr. Gallogly and Mr. Aronson expressly disclaims beneficial ownership of the Common Shares owned by any of CCP and CCPM.</w:t>
      </w:r>
    </w:p>
    <w:p>
      <w:pPr>
        <w:spacing w:after="0" w:line="177"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BEING REPORTED ON BY THE PARENT HOLDING COMPANY OR CONTROL PERSON</w:t>
      </w:r>
    </w:p>
    <w:p>
      <w:pPr>
        <w:spacing w:after="0" w:line="213"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820" w:right="260"/>
        <w:spacing w:after="0" w:line="246" w:lineRule="auto"/>
        <w:rPr>
          <w:sz w:val="20"/>
          <w:szCs w:val="20"/>
          <w:color w:val="auto"/>
        </w:rPr>
      </w:pPr>
      <w:r>
        <w:rPr>
          <w:rFonts w:ascii="Arial" w:cs="Arial" w:eastAsia="Arial" w:hAnsi="Arial"/>
          <w:sz w:val="20"/>
          <w:szCs w:val="20"/>
          <w:color w:val="auto"/>
        </w:rPr>
        <w:t>By signing below each of the Reporting Persons certifies that, to the best of its or his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0" w:right="239" w:bottom="1440" w:gutter="0" w:footer="0" w:header="0"/>
          <w:type w:val="continuous"/>
        </w:sectPr>
      </w:pPr>
    </w:p>
    <w:bookmarkStart w:id="13" w:name="page14"/>
    <w:bookmarkEnd w:id="13"/>
    <w:p>
      <w:pPr>
        <w:spacing w:after="0"/>
        <w:tabs>
          <w:tab w:leader="none" w:pos="5500" w:val="left"/>
          <w:tab w:leader="none" w:pos="9600" w:val="left"/>
        </w:tabs>
        <w:rPr>
          <w:sz w:val="20"/>
          <w:szCs w:val="20"/>
          <w:color w:val="auto"/>
        </w:rPr>
      </w:pPr>
      <w:r>
        <w:rPr>
          <w:rFonts w:ascii="Arial" w:cs="Arial" w:eastAsia="Arial" w:hAnsi="Arial"/>
          <w:sz w:val="22"/>
          <w:szCs w:val="22"/>
          <w:b w:val="1"/>
          <w:bCs w:val="1"/>
          <w:color w:val="auto"/>
        </w:rPr>
        <w:t>CUSIP No. 17878Y108</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14 of 15 Pages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December 18 , 2015</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CENTERBRIDGE CREDIT PARTNERS, L.P.</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9"/>
          <w:szCs w:val="19"/>
          <w:color w:val="auto"/>
        </w:rPr>
        <w:t>By: Centerbridge Credit Partners General Partner, L.P., its general</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partner</w:t>
      </w: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9"/>
          <w:szCs w:val="19"/>
          <w:color w:val="auto"/>
        </w:rPr>
        <w:t>By: Centerbridge Credit GP Investors, L.L.C., its general partner</w:t>
      </w:r>
    </w:p>
    <w:p>
      <w:pPr>
        <w:spacing w:after="0" w:line="200" w:lineRule="exact"/>
        <w:rPr>
          <w:sz w:val="20"/>
          <w:szCs w:val="20"/>
          <w:color w:val="auto"/>
        </w:rPr>
      </w:pPr>
    </w:p>
    <w:p>
      <w:pPr>
        <w:spacing w:after="0" w:line="270"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5820"/>
        <w:spacing w:after="0"/>
        <w:rPr>
          <w:sz w:val="20"/>
          <w:szCs w:val="20"/>
          <w:color w:val="auto"/>
        </w:rPr>
      </w:pPr>
      <w:r>
        <w:rPr>
          <w:rFonts w:ascii="Arial" w:cs="Arial" w:eastAsia="Arial" w:hAnsi="Arial"/>
          <w:sz w:val="19"/>
          <w:szCs w:val="19"/>
          <w:color w:val="auto"/>
        </w:rPr>
        <w:t>CENTERBRIDGE CREDIT PARTNERS GENERAL PARTNER,</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L.P.</w:t>
      </w: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9"/>
          <w:szCs w:val="19"/>
          <w:color w:val="auto"/>
        </w:rPr>
        <w:t>By: Centerbridge Credit GP Investors, L.L.C., its general partner</w:t>
      </w:r>
    </w:p>
    <w:p>
      <w:pPr>
        <w:spacing w:after="0" w:line="200" w:lineRule="exact"/>
        <w:rPr>
          <w:sz w:val="20"/>
          <w:szCs w:val="20"/>
          <w:color w:val="auto"/>
        </w:rPr>
      </w:pPr>
    </w:p>
    <w:p>
      <w:pPr>
        <w:spacing w:after="0" w:line="270"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CENTERBRIDGE CREDIT GP INVESTORS, L.L.C.</w:t>
      </w:r>
    </w:p>
    <w:p>
      <w:pPr>
        <w:spacing w:after="0" w:line="200" w:lineRule="exact"/>
        <w:rPr>
          <w:sz w:val="20"/>
          <w:szCs w:val="20"/>
          <w:color w:val="auto"/>
        </w:rPr>
      </w:pPr>
    </w:p>
    <w:p>
      <w:pPr>
        <w:spacing w:after="0" w:line="25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11420"/>
          </w:cols>
          <w:pgMar w:left="240" w:top="220" w:right="239" w:bottom="1440" w:gutter="0" w:footer="0" w:header="0"/>
        </w:sectPr>
      </w:pPr>
    </w:p>
    <w:bookmarkStart w:id="14" w:name="page15"/>
    <w:bookmarkEnd w:id="14"/>
    <w:p>
      <w:pPr>
        <w:ind w:left="4620"/>
        <w:spacing w:after="0"/>
        <w:rPr>
          <w:sz w:val="20"/>
          <w:szCs w:val="20"/>
          <w:color w:val="auto"/>
        </w:rPr>
      </w:pPr>
      <w:r>
        <w:rPr>
          <w:rFonts w:ascii="Arial" w:cs="Arial" w:eastAsia="Arial" w:hAnsi="Arial"/>
          <w:sz w:val="20"/>
          <w:szCs w:val="20"/>
          <w:color w:val="auto"/>
        </w:rPr>
        <w:t>CENTERBRIDGE CREDIT PARTNERS MASTER, L.P.</w:t>
      </w:r>
    </w:p>
    <w:p>
      <w:pPr>
        <w:spacing w:after="0" w:line="229" w:lineRule="exact"/>
        <w:rPr>
          <w:sz w:val="20"/>
          <w:szCs w:val="20"/>
          <w:color w:val="auto"/>
        </w:rPr>
      </w:pPr>
    </w:p>
    <w:p>
      <w:pPr>
        <w:ind w:left="4620"/>
        <w:spacing w:after="0" w:line="260" w:lineRule="auto"/>
        <w:rPr>
          <w:sz w:val="20"/>
          <w:szCs w:val="20"/>
          <w:color w:val="auto"/>
        </w:rPr>
      </w:pPr>
      <w:r>
        <w:rPr>
          <w:rFonts w:ascii="Arial" w:cs="Arial" w:eastAsia="Arial" w:hAnsi="Arial"/>
          <w:sz w:val="20"/>
          <w:szCs w:val="20"/>
          <w:color w:val="auto"/>
        </w:rPr>
        <w:t>By: Centerbridge Credit Partners Offshore General Partner, L.P., its general partner</w:t>
      </w:r>
    </w:p>
    <w:p>
      <w:pPr>
        <w:spacing w:after="0" w:line="190" w:lineRule="exact"/>
        <w:rPr>
          <w:sz w:val="20"/>
          <w:szCs w:val="20"/>
          <w:color w:val="auto"/>
        </w:rPr>
      </w:pPr>
    </w:p>
    <w:p>
      <w:pPr>
        <w:ind w:left="4620" w:right="60"/>
        <w:spacing w:after="0" w:line="260" w:lineRule="auto"/>
        <w:rPr>
          <w:sz w:val="20"/>
          <w:szCs w:val="20"/>
          <w:color w:val="auto"/>
        </w:rPr>
      </w:pPr>
      <w:r>
        <w:rPr>
          <w:rFonts w:ascii="Arial" w:cs="Arial" w:eastAsia="Arial" w:hAnsi="Arial"/>
          <w:sz w:val="20"/>
          <w:szCs w:val="20"/>
          <w:color w:val="auto"/>
        </w:rPr>
        <w:t>By: Centerbridge Credit Offshore GP Investors, L.L.C., its general partner</w:t>
      </w:r>
    </w:p>
    <w:p>
      <w:pPr>
        <w:spacing w:after="0" w:line="200" w:lineRule="exact"/>
        <w:rPr>
          <w:sz w:val="20"/>
          <w:szCs w:val="20"/>
          <w:color w:val="auto"/>
        </w:rPr>
      </w:pPr>
    </w:p>
    <w:p>
      <w:pPr>
        <w:spacing w:after="0" w:line="220"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620" w:right="40"/>
        <w:spacing w:after="0" w:line="260" w:lineRule="auto"/>
        <w:rPr>
          <w:sz w:val="20"/>
          <w:szCs w:val="20"/>
          <w:color w:val="auto"/>
        </w:rPr>
      </w:pPr>
      <w:r>
        <w:rPr>
          <w:rFonts w:ascii="Arial" w:cs="Arial" w:eastAsia="Arial" w:hAnsi="Arial"/>
          <w:sz w:val="20"/>
          <w:szCs w:val="20"/>
          <w:color w:val="auto"/>
        </w:rPr>
        <w:t>CENTERBRIDGE CREDIT PARTNERS OFFSHORE GENERAL PARTNER, L.P.</w:t>
      </w:r>
    </w:p>
    <w:p>
      <w:pPr>
        <w:spacing w:after="0" w:line="190" w:lineRule="exact"/>
        <w:rPr>
          <w:sz w:val="20"/>
          <w:szCs w:val="20"/>
          <w:color w:val="auto"/>
        </w:rPr>
      </w:pPr>
    </w:p>
    <w:p>
      <w:pPr>
        <w:ind w:left="4620" w:right="60"/>
        <w:spacing w:after="0" w:line="260" w:lineRule="auto"/>
        <w:rPr>
          <w:sz w:val="20"/>
          <w:szCs w:val="20"/>
          <w:color w:val="auto"/>
        </w:rPr>
      </w:pPr>
      <w:r>
        <w:rPr>
          <w:rFonts w:ascii="Arial" w:cs="Arial" w:eastAsia="Arial" w:hAnsi="Arial"/>
          <w:sz w:val="20"/>
          <w:szCs w:val="20"/>
          <w:color w:val="auto"/>
        </w:rPr>
        <w:t>By: Centerbridge Credit Offshore GP Investors, L.L.C., its general partner</w:t>
      </w:r>
    </w:p>
    <w:p>
      <w:pPr>
        <w:spacing w:after="0" w:line="200" w:lineRule="exact"/>
        <w:rPr>
          <w:sz w:val="20"/>
          <w:szCs w:val="20"/>
          <w:color w:val="auto"/>
        </w:rPr>
      </w:pPr>
    </w:p>
    <w:p>
      <w:pPr>
        <w:spacing w:after="0" w:line="220"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CENTERBRIDGE CREDIT OFFSHORE GP INVESTORS, L.L.C.</w:t>
      </w:r>
    </w:p>
    <w:p>
      <w:pPr>
        <w:spacing w:after="0" w:line="200" w:lineRule="exact"/>
        <w:rPr>
          <w:sz w:val="20"/>
          <w:szCs w:val="20"/>
          <w:color w:val="auto"/>
        </w:rPr>
      </w:pPr>
    </w:p>
    <w:p>
      <w:pPr>
        <w:spacing w:after="0" w:line="282"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MARK T. GALLOGLY</w:t>
      </w:r>
    </w:p>
    <w:p>
      <w:pPr>
        <w:spacing w:after="0" w:line="200" w:lineRule="exact"/>
        <w:rPr>
          <w:sz w:val="20"/>
          <w:szCs w:val="20"/>
          <w:color w:val="auto"/>
        </w:rPr>
      </w:pPr>
    </w:p>
    <w:p>
      <w:pPr>
        <w:spacing w:after="0" w:line="259"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Mark T. Gallogly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JEFFREY H. ARONSON</w:t>
      </w:r>
    </w:p>
    <w:p>
      <w:pPr>
        <w:spacing w:after="0" w:line="200" w:lineRule="exact"/>
        <w:rPr>
          <w:sz w:val="20"/>
          <w:szCs w:val="20"/>
          <w:color w:val="auto"/>
        </w:rPr>
      </w:pPr>
    </w:p>
    <w:p>
      <w:pPr>
        <w:spacing w:after="0" w:line="259"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0000"/>
          </w:cols>
          <w:pgMar w:left="1440" w:top="1163" w:right="459" w:bottom="1440" w:gutter="0" w:footer="0" w:header="0"/>
        </w:sectPr>
      </w:pPr>
    </w:p>
    <w:bookmarkStart w:id="15" w:name="page16"/>
    <w:bookmarkEnd w:id="15"/>
    <w:p>
      <w:pPr>
        <w:spacing w:after="0"/>
        <w:tabs>
          <w:tab w:leader="none" w:pos="5500" w:val="left"/>
          <w:tab w:leader="none" w:pos="9600" w:val="left"/>
        </w:tabs>
        <w:rPr>
          <w:sz w:val="20"/>
          <w:szCs w:val="20"/>
          <w:color w:val="auto"/>
        </w:rPr>
      </w:pPr>
      <w:r>
        <w:rPr>
          <w:rFonts w:ascii="Arial" w:cs="Arial" w:eastAsia="Arial" w:hAnsi="Arial"/>
          <w:sz w:val="22"/>
          <w:szCs w:val="22"/>
          <w:b w:val="1"/>
          <w:bCs w:val="1"/>
          <w:color w:val="auto"/>
        </w:rPr>
        <w:t>CUSIP No. 17878Y108</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15 of 15 Pages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FILING AGREEMENT</w:t>
      </w:r>
    </w:p>
    <w:p>
      <w:pPr>
        <w:jc w:val="center"/>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DATED: December 18, 2015</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CENTERBRIDGE CREDIT PARTNERS, L.P.</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9"/>
          <w:szCs w:val="19"/>
          <w:color w:val="auto"/>
        </w:rPr>
        <w:t>By: Centerbridge Credit Partners General Partner, L.P., its general</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partner</w:t>
      </w: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9"/>
          <w:szCs w:val="19"/>
          <w:color w:val="auto"/>
        </w:rPr>
        <w:t>By: Centerbridge Credit GP Investors, L.L.C., its general partner</w:t>
      </w:r>
    </w:p>
    <w:p>
      <w:pPr>
        <w:spacing w:after="0" w:line="200" w:lineRule="exact"/>
        <w:rPr>
          <w:sz w:val="20"/>
          <w:szCs w:val="20"/>
          <w:color w:val="auto"/>
        </w:rPr>
      </w:pPr>
    </w:p>
    <w:p>
      <w:pPr>
        <w:spacing w:after="0" w:line="270"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5820"/>
        <w:spacing w:after="0"/>
        <w:rPr>
          <w:sz w:val="20"/>
          <w:szCs w:val="20"/>
          <w:color w:val="auto"/>
        </w:rPr>
      </w:pPr>
      <w:r>
        <w:rPr>
          <w:rFonts w:ascii="Arial" w:cs="Arial" w:eastAsia="Arial" w:hAnsi="Arial"/>
          <w:sz w:val="19"/>
          <w:szCs w:val="19"/>
          <w:color w:val="auto"/>
        </w:rPr>
        <w:t>CENTERBRIDGE CREDIT PARTNERS GENERAL PARTNER,</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L.P.</w:t>
      </w: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9"/>
          <w:szCs w:val="19"/>
          <w:color w:val="auto"/>
        </w:rPr>
        <w:t>By: Centerbridge Credit GP Investors, L.L.C., its general partner</w:t>
      </w:r>
    </w:p>
    <w:p>
      <w:pPr>
        <w:spacing w:after="0" w:line="200" w:lineRule="exact"/>
        <w:rPr>
          <w:sz w:val="20"/>
          <w:szCs w:val="20"/>
          <w:color w:val="auto"/>
        </w:rPr>
      </w:pPr>
    </w:p>
    <w:p>
      <w:pPr>
        <w:spacing w:after="0" w:line="270"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CENTERBRIDGE CREDIT GP INVESTORS, L.L.C.</w:t>
      </w:r>
    </w:p>
    <w:p>
      <w:pPr>
        <w:spacing w:after="0" w:line="200" w:lineRule="exact"/>
        <w:rPr>
          <w:sz w:val="20"/>
          <w:szCs w:val="20"/>
          <w:color w:val="auto"/>
        </w:rPr>
      </w:pPr>
    </w:p>
    <w:p>
      <w:pPr>
        <w:spacing w:after="0" w:line="25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11420"/>
          </w:cols>
          <w:pgMar w:left="240" w:top="220" w:right="239" w:bottom="1440" w:gutter="0" w:footer="0" w:header="0"/>
        </w:sectPr>
      </w:pPr>
    </w:p>
    <w:bookmarkStart w:id="16" w:name="page17"/>
    <w:bookmarkEnd w:id="16"/>
    <w:p>
      <w:pPr>
        <w:ind w:left="4620"/>
        <w:spacing w:after="0"/>
        <w:rPr>
          <w:sz w:val="20"/>
          <w:szCs w:val="20"/>
          <w:color w:val="auto"/>
        </w:rPr>
      </w:pPr>
      <w:r>
        <w:rPr>
          <w:rFonts w:ascii="Arial" w:cs="Arial" w:eastAsia="Arial" w:hAnsi="Arial"/>
          <w:sz w:val="20"/>
          <w:szCs w:val="20"/>
          <w:color w:val="auto"/>
        </w:rPr>
        <w:t>CENTERBRIDGE CREDIT PARTNERS MASTER, L.P.</w:t>
      </w:r>
    </w:p>
    <w:p>
      <w:pPr>
        <w:spacing w:after="0" w:line="229" w:lineRule="exact"/>
        <w:rPr>
          <w:sz w:val="20"/>
          <w:szCs w:val="20"/>
          <w:color w:val="auto"/>
        </w:rPr>
      </w:pPr>
    </w:p>
    <w:p>
      <w:pPr>
        <w:ind w:left="4620"/>
        <w:spacing w:after="0" w:line="260" w:lineRule="auto"/>
        <w:rPr>
          <w:sz w:val="20"/>
          <w:szCs w:val="20"/>
          <w:color w:val="auto"/>
        </w:rPr>
      </w:pPr>
      <w:r>
        <w:rPr>
          <w:rFonts w:ascii="Arial" w:cs="Arial" w:eastAsia="Arial" w:hAnsi="Arial"/>
          <w:sz w:val="20"/>
          <w:szCs w:val="20"/>
          <w:color w:val="auto"/>
        </w:rPr>
        <w:t>By: Centerbridge Credit Partners Offshore General Partner, L.P., its general partner</w:t>
      </w:r>
    </w:p>
    <w:p>
      <w:pPr>
        <w:spacing w:after="0" w:line="190" w:lineRule="exact"/>
        <w:rPr>
          <w:sz w:val="20"/>
          <w:szCs w:val="20"/>
          <w:color w:val="auto"/>
        </w:rPr>
      </w:pPr>
    </w:p>
    <w:p>
      <w:pPr>
        <w:ind w:left="4620" w:right="60"/>
        <w:spacing w:after="0" w:line="260" w:lineRule="auto"/>
        <w:rPr>
          <w:sz w:val="20"/>
          <w:szCs w:val="20"/>
          <w:color w:val="auto"/>
        </w:rPr>
      </w:pPr>
      <w:r>
        <w:rPr>
          <w:rFonts w:ascii="Arial" w:cs="Arial" w:eastAsia="Arial" w:hAnsi="Arial"/>
          <w:sz w:val="20"/>
          <w:szCs w:val="20"/>
          <w:color w:val="auto"/>
        </w:rPr>
        <w:t>By: Centerbridge Credit Offshore GP Investors, L.L.C., its general partner</w:t>
      </w:r>
    </w:p>
    <w:p>
      <w:pPr>
        <w:spacing w:after="0" w:line="200" w:lineRule="exact"/>
        <w:rPr>
          <w:sz w:val="20"/>
          <w:szCs w:val="20"/>
          <w:color w:val="auto"/>
        </w:rPr>
      </w:pPr>
    </w:p>
    <w:p>
      <w:pPr>
        <w:spacing w:after="0" w:line="220"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620" w:right="40"/>
        <w:spacing w:after="0" w:line="260" w:lineRule="auto"/>
        <w:rPr>
          <w:sz w:val="20"/>
          <w:szCs w:val="20"/>
          <w:color w:val="auto"/>
        </w:rPr>
      </w:pPr>
      <w:r>
        <w:rPr>
          <w:rFonts w:ascii="Arial" w:cs="Arial" w:eastAsia="Arial" w:hAnsi="Arial"/>
          <w:sz w:val="20"/>
          <w:szCs w:val="20"/>
          <w:color w:val="auto"/>
        </w:rPr>
        <w:t>CENTERBRIDGE CREDIT PARTNERS OFFSHORE GENERAL PARTNER, L.P.</w:t>
      </w:r>
    </w:p>
    <w:p>
      <w:pPr>
        <w:spacing w:after="0" w:line="190" w:lineRule="exact"/>
        <w:rPr>
          <w:sz w:val="20"/>
          <w:szCs w:val="20"/>
          <w:color w:val="auto"/>
        </w:rPr>
      </w:pPr>
    </w:p>
    <w:p>
      <w:pPr>
        <w:ind w:left="4620" w:right="60"/>
        <w:spacing w:after="0" w:line="260" w:lineRule="auto"/>
        <w:rPr>
          <w:sz w:val="20"/>
          <w:szCs w:val="20"/>
          <w:color w:val="auto"/>
        </w:rPr>
      </w:pPr>
      <w:r>
        <w:rPr>
          <w:rFonts w:ascii="Arial" w:cs="Arial" w:eastAsia="Arial" w:hAnsi="Arial"/>
          <w:sz w:val="20"/>
          <w:szCs w:val="20"/>
          <w:color w:val="auto"/>
        </w:rPr>
        <w:t>By: Centerbridge Credit Offshore GP Investors, L.L.C., its general partner</w:t>
      </w:r>
    </w:p>
    <w:p>
      <w:pPr>
        <w:spacing w:after="0" w:line="200" w:lineRule="exact"/>
        <w:rPr>
          <w:sz w:val="20"/>
          <w:szCs w:val="20"/>
          <w:color w:val="auto"/>
        </w:rPr>
      </w:pPr>
    </w:p>
    <w:p>
      <w:pPr>
        <w:spacing w:after="0" w:line="220"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CENTERBRIDGE CREDIT OFFSHORE GP INVESTORS, L.L.C.</w:t>
      </w:r>
    </w:p>
    <w:p>
      <w:pPr>
        <w:spacing w:after="0" w:line="200" w:lineRule="exact"/>
        <w:rPr>
          <w:sz w:val="20"/>
          <w:szCs w:val="20"/>
          <w:color w:val="auto"/>
        </w:rPr>
      </w:pPr>
    </w:p>
    <w:p>
      <w:pPr>
        <w:spacing w:after="0" w:line="282"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MARK T. GALLOGLY</w:t>
      </w:r>
    </w:p>
    <w:p>
      <w:pPr>
        <w:spacing w:after="0" w:line="200" w:lineRule="exact"/>
        <w:rPr>
          <w:sz w:val="20"/>
          <w:szCs w:val="20"/>
          <w:color w:val="auto"/>
        </w:rPr>
      </w:pPr>
    </w:p>
    <w:p>
      <w:pPr>
        <w:spacing w:after="0" w:line="259"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Mark T. Gallogly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JEFFREY H. ARONSON</w:t>
      </w:r>
    </w:p>
    <w:p>
      <w:pPr>
        <w:spacing w:after="0" w:line="200" w:lineRule="exact"/>
        <w:rPr>
          <w:sz w:val="20"/>
          <w:szCs w:val="20"/>
          <w:color w:val="auto"/>
        </w:rPr>
      </w:pPr>
    </w:p>
    <w:p>
      <w:pPr>
        <w:spacing w:after="0" w:line="259"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sectPr>
      <w:pgSz w:w="11900" w:h="16838" w:orient="portrait"/>
      <w:cols w:equalWidth="0" w:num="1">
        <w:col w:w="10000"/>
      </w:cols>
      <w:pgMar w:left="1440" w:top="93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
    <w:nsid w:val="2AE8944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3">
    <w:nsid w:val="625558EC"/>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2019-12-16T08:30:36Z</dcterms:created>
  <dcterms:modified xsi:type="dcterms:W3CDTF">2019-12-16T08:30:36Z</dcterms:modified>
</cp:coreProperties>
</file>