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July 17,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333-196292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REGISTRATION STATEMENT</w:t>
      </w:r>
    </w:p>
    <w:p>
      <w:pPr>
        <w:spacing w:after="0" w:line="3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UNDER</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1860"/>
        <w:spacing w:after="0"/>
        <w:tabs>
          <w:tab w:leader="none" w:pos="8120" w:val="left"/>
        </w:tabs>
        <w:rPr>
          <w:sz w:val="20"/>
          <w:szCs w:val="20"/>
          <w:color w:val="auto"/>
        </w:rPr>
      </w:pPr>
      <w:r>
        <w:rPr>
          <w:rFonts w:ascii="Arial" w:cs="Arial" w:eastAsia="Arial" w:hAnsi="Arial"/>
          <w:sz w:val="18"/>
          <w:szCs w:val="18"/>
          <w:b w:val="1"/>
          <w:bCs w:val="1"/>
          <w:color w:val="auto"/>
        </w:rPr>
        <w:t>British Columbia, Canada</w:t>
      </w:r>
      <w:r>
        <w:rPr>
          <w:sz w:val="20"/>
          <w:szCs w:val="20"/>
          <w:color w:val="auto"/>
        </w:rPr>
        <w:tab/>
      </w:r>
      <w:r>
        <w:rPr>
          <w:rFonts w:ascii="Arial" w:cs="Arial" w:eastAsia="Arial" w:hAnsi="Arial"/>
          <w:sz w:val="16"/>
          <w:szCs w:val="16"/>
          <w:b w:val="1"/>
          <w:bCs w:val="1"/>
          <w:color w:val="auto"/>
        </w:rPr>
        <w:t>98-1253716</w:t>
      </w:r>
    </w:p>
    <w:p>
      <w:pPr>
        <w:spacing w:after="0" w:line="229" w:lineRule="exact"/>
        <w:rPr>
          <w:sz w:val="24"/>
          <w:szCs w:val="24"/>
          <w:color w:val="auto"/>
        </w:rPr>
      </w:pPr>
    </w:p>
    <w:p>
      <w:pPr>
        <w:ind w:left="1760"/>
        <w:spacing w:after="0"/>
        <w:tabs>
          <w:tab w:leader="none" w:pos="7080"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6"/>
          <w:szCs w:val="16"/>
          <w:color w:val="auto"/>
        </w:rPr>
        <w:t>(I.R.S. Employer Identification Number)</w:t>
      </w:r>
    </w:p>
    <w:p>
      <w:pPr>
        <w:spacing w:after="0" w:line="23"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Incorporation or Organization)</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Three Allen Center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2014 Equity Participation Plan of Civeo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Bradley J. Dodson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510-2400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Tull R. Florey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Baker Botts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910 Louisiana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229-1379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p>
      <w:pPr>
        <w:spacing w:after="0" w:line="207" w:lineRule="exact"/>
        <w:tabs>
          <w:tab w:leader="none" w:pos="2180" w:val="left"/>
          <w:tab w:leader="none" w:pos="8340" w:val="left"/>
          <w:tab w:leader="none" w:pos="111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tabs>
          <w:tab w:leader="none" w:pos="2180" w:val="left"/>
          <w:tab w:leader="none" w:pos="8340" w:val="left"/>
          <w:tab w:leader="none" w:pos="1112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26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229" w:right="239" w:bottom="267"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Post-Effective Amendment No. 1 to Registration Statement on Form S-8, Registration No. 333-196292 (this “Post-Effective Amendment”), is being filed pursuant to Rule 414 under the Securities Act of 1933, as amended (the “Securities Act”), by Civeo Corporation, a British Columbia, Canada limited company (“Civeo Canada”), as successor issuer to Civeo USA Corp., a Delaware corporation formerly named Civeo Corporation (“Civeo US”), following a merger (the “Merger”) that became effective on July 17, 2015. The Merger was effected pursuant to the Agreement and Plan of Merger, between Civeo Canada, Civeo US and Civeo US Merger Co, a Delaware corporation and wholly owned subsidiary of Civeo Canada (“US Merger Co”), dated as of April 6, 2015 (the “Merger Agreement”), under which US Merger Co merged with and into Civeo US, with Civeo US surviving as a wholly owned subsidiary of Civeo Canada. Pursuant to the Merger Agreement, each issued share of Civeo US common stock, other than those shares of Civeo US common stock held by Civeo US in treasury, was effectively transferred to Civeo Canada and converted into one common share of Civeo Canada. Through the Merger, the 2014 Equity Participation Plan of Civeo Corporation (the “Plan”) was assumed by Civeo Canada. Civeo Canada common shares will henceforth be issuable under the Plan in lieu of the Civeo US common stock. Civeo Canada hereby expressly adopts the Registration Statement on Form S-8 (Registration No. 333-196292) filed by Civeo US with the United States Securities and Exchange Commission (the “Commission”) as its own Registration Statement for all purposes of the Securities Act and the Securities Exchange Act of 1934, as amended (the “Exchange Act”).</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5"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Note: The document(s) containing the employee benefit plan information required by Item 1 of Form S-8 and the statement of availability of registrant information and any other information required by Item 2 of Form S-8 will be sent or given to participants as specified by Rule 428 under the Securities Act. In accordance with Rule 428 and the requirements of Part I of Form S-8, such documents are not being filed with the Commission either as part of this Post-Effective Amendment or as prospectuses or prospectus supplements pursuant to Rule 424 under the Securities Act. The registrant will maintain a file of such documents in accordance with the provisions of Rule 428. Upon request, the registrant will furnish to the Commission or its staff a copy of any or all of the documents included in such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which Civeo US or Civeo Canada has filed with the Commission pursuant to the Exchange Act, are incorporated in this Post-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Effective Amendment by reference and shall be deemed to be a part hereof:</w:t>
      </w:r>
    </w:p>
    <w:p>
      <w:pPr>
        <w:spacing w:after="0" w:line="211" w:lineRule="exact"/>
        <w:rPr>
          <w:sz w:val="20"/>
          <w:szCs w:val="20"/>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Civeo US’s annual report on Form 10-K for the year ended December 31, 2014, as filed with the Commission on March 13, 2015;</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Civeo US’s quarterly report on Form 10-Q for the quarter ended March 31, 2015, as filed with the Commission on April 30, 2015;</w:t>
      </w:r>
    </w:p>
    <w:p>
      <w:pPr>
        <w:spacing w:after="0" w:line="225" w:lineRule="exact"/>
        <w:rPr>
          <w:rFonts w:ascii="Arial" w:cs="Arial" w:eastAsia="Arial" w:hAnsi="Arial"/>
          <w:sz w:val="18"/>
          <w:szCs w:val="18"/>
          <w:color w:val="auto"/>
        </w:rPr>
      </w:pPr>
    </w:p>
    <w:p>
      <w:pPr>
        <w:ind w:left="700" w:right="80" w:hanging="341"/>
        <w:spacing w:after="0" w:line="277"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Civeo US’s Current Reports on Form 8-K, as filed with the Commission (other than for information furnished rather than filed) on January 5, 2015, February 17, 2015, March 13, 2015, April 9, 2015, April 30, 2015, May 7, 2015, May 15, 2015 and May 19, 2015.</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Civeo Canada’s Current Report on Form 8-K, as filed with the Commission on July 17, 2015 (the “Form 8-K”).</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Civeo Canada’s share capital contained in Item 8.01 of the Form 8-K.</w:t>
      </w:r>
    </w:p>
    <w:p>
      <w:pPr>
        <w:spacing w:after="0" w:line="200" w:lineRule="exact"/>
        <w:rPr>
          <w:sz w:val="20"/>
          <w:szCs w:val="20"/>
          <w:color w:val="auto"/>
        </w:rPr>
      </w:pPr>
    </w:p>
    <w:p>
      <w:pPr>
        <w:spacing w:after="0" w:line="24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Each document filed by Civeo Canada with the Commission pursuant to Sections 13(a), 13(c), 14 and 15(d) of the Exchange Act subsequent to the date of this Post-Effective Amendment and prior to the filing of any further post-effective amendment to this Registration Statement which indicates that all securities offered hereby have been sold or which deregisters all securities then remaining unsold, shall be deemed to be incorporated in this Post-Effective Amendment by reference and to be a part hereof from the date of filing of such documents.</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Any statement contained in this Post-Effective Amendment, in any amendment hereto or in a document incorporated by reference herein shall be deemed to be modified or superseded for purposes of this Post-Effective Amendment to the extent that a statement contained herein or in any subsequently-filed amendment to this Post-Effective Amendment or in any document that also is incorporated by reference herein modifies or supersedes such statement. Any statement so modified or superseded shall not be deemed, except as so modified or superseded, to constitute a part of this Post-Effective Amendment.</w:t>
      </w:r>
    </w:p>
    <w:p>
      <w:pPr>
        <w:spacing w:after="0" w:line="33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Under Section 160 of British Columbia’s Business Corporations Act (the “BCA”), Civeo Canada may indemnify an eligible party including but not limited to a director or officer of Civeo Canada, a former director or officer of Civeo Canada or another individual who acts or acted at Civeo Canada’s request as a director or officer, or an individual acting in a similar capacity, against all judgments, penalties or fines awarded or imposed in, or an amount paid in settlement of a proceeding in which a party or any of the heirs and personal or other legal representatives of the eligible party, by reason of such party having been a director or officer of, or holding or having held a position equivalent to that of a director or officer of, the company or an associated corporation, to which the such party is or may be liable. Indemnification will be prohibited if (i) giving indemnity or paying expenses is or was prohibited in the memorandum or articles, (ii) if in relation to the subject matter of the eligible proceeding, the eligible party did not act honestly and in good faith with a view to the best interests of Civeo Canada or, (iii) in the case of an eligible proceeding other than a civil proceeding, if the eligible party did not have reasonable grounds for believing that the eligible party’s conduct in respect of which the proceeding was brought was lawful. The BCA also provides, under Section 162, that Civeo Canada may also advance moneys to a director, officer or other individual for costs, charges and expenses reasonably incurred in connection with such a proceeding; however, the individual must agree in writing to undertake that if it is ultimately determined that the payment of expenses is prohibited by either conditions (i), (ii) or (iii) above, the eligible party will repay the amounts advanced.</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4" w:name="page5"/>
    <w:bookmarkEnd w:id="4"/>
    <w:p>
      <w:pPr>
        <w:spacing w:after="0" w:line="259" w:lineRule="auto"/>
        <w:rPr>
          <w:sz w:val="20"/>
          <w:szCs w:val="20"/>
          <w:color w:val="auto"/>
        </w:rPr>
      </w:pPr>
      <w:r>
        <w:rPr>
          <w:rFonts w:ascii="Arial" w:cs="Arial" w:eastAsia="Arial" w:hAnsi="Arial"/>
          <w:sz w:val="18"/>
          <w:szCs w:val="18"/>
          <w:color w:val="auto"/>
        </w:rPr>
        <w:t>Civeo Canada’s articles provide that Civeo Canada shall indemnify, and pay expenses in advance of the final disposition of a proceeding of, a director or officer, a former director or officer or a person who acts or acted at Civeo Canada’s requests as a director or officer, or in a similar capacity of another entity, and the heirs and person or other legal representatives of such a person so long as the individual signs the requisite undertaking, in accordance, and to the fullest extent and in all circumstances permitted by the BCA.</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Civeo Canada has entered into and, in the future, will enter into indemnification agreements with its officers and directors in respect of any legal claims or actions initiated against them in their capacity as officers and directors of Civeo Canada or Civeo Canada’s subsidiaries in accordance with applicable law. These agreements include bearing the reasonable cost of legal representation in any legal or regulatory action in which they may become involved in their capacity as Civeo Canada’s officers and directors. Pursuant to such indemnities, Civeo Canada bears the cost of the representation of certain officers and directors.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Civeo Canada maintains insurance for certain liabilities incurred by its directors and officers in their capacity with Civeo Canada or its subsidiaries.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registration statement or incorporated by reference herein:</w:t>
      </w:r>
    </w:p>
    <w:p>
      <w:pPr>
        <w:sectPr>
          <w:pgSz w:w="11900" w:h="16838" w:orient="portrait"/>
          <w:cols w:equalWidth="0" w:num="1">
            <w:col w:w="11280"/>
          </w:cols>
          <w:pgMar w:left="240" w:top="584" w:right="3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4320"/>
        <w:spacing w:after="0"/>
        <w:rPr>
          <w:sz w:val="20"/>
          <w:szCs w:val="20"/>
          <w:color w:val="auto"/>
        </w:rPr>
      </w:pPr>
      <w:r>
        <w:rPr>
          <w:rFonts w:ascii="Arial" w:cs="Arial" w:eastAsia="Arial" w:hAnsi="Arial"/>
          <w:sz w:val="17"/>
          <w:szCs w:val="17"/>
          <w:color w:val="auto"/>
        </w:rPr>
        <w:t>Exhibit</w:t>
      </w:r>
    </w:p>
    <w:p>
      <w:pPr>
        <w:spacing w:after="0" w:line="35" w:lineRule="exact"/>
        <w:rPr>
          <w:sz w:val="20"/>
          <w:szCs w:val="20"/>
          <w:color w:val="auto"/>
        </w:rPr>
      </w:pPr>
    </w:p>
    <w:p>
      <w:pPr>
        <w:jc w:val="center"/>
        <w:ind w:right="4320"/>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68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800"/>
        <w:spacing w:after="0"/>
        <w:rPr>
          <w:sz w:val="20"/>
          <w:szCs w:val="20"/>
          <w:color w:val="auto"/>
        </w:rPr>
      </w:pP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-3138170</wp:posOffset>
            </wp:positionH>
            <wp:positionV relativeFrom="paragraph">
              <wp:posOffset>29210</wp:posOffset>
            </wp:positionV>
            <wp:extent cx="68091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4920" w:space="720"/>
            <w:col w:w="5640"/>
          </w:cols>
          <w:pgMar w:left="240" w:top="584" w:right="379" w:bottom="1440" w:gutter="0" w:footer="0" w:header="0"/>
          <w:type w:val="continuous"/>
        </w:sectPr>
      </w:pPr>
    </w:p>
    <w:p>
      <w:pPr>
        <w:spacing w:after="0" w:line="24"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Notice of Articles of Civeo Corporation (incorporated by reference to Exhibit 3.1 to the Form 8-K).</w:t>
      </w:r>
    </w:p>
    <w:p>
      <w:pPr>
        <w:spacing w:after="0" w:line="22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Articles of Civeo Corporation (incorporated by reference to Exhibit 3.2 to the Form 8-K).</w:t>
      </w:r>
    </w:p>
    <w:p>
      <w:pPr>
        <w:spacing w:after="0" w:line="22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2014 Equity Participation Plan of Civeo Corporation (incorporated by reference to Exhibit 10.2 to the Form 8-K).</w:t>
      </w:r>
    </w:p>
    <w:p>
      <w:pPr>
        <w:spacing w:after="0" w:line="225" w:lineRule="exact"/>
        <w:rPr>
          <w:sz w:val="20"/>
          <w:szCs w:val="20"/>
          <w:color w:val="auto"/>
        </w:rPr>
      </w:pPr>
    </w:p>
    <w:p>
      <w:pPr>
        <w:ind w:left="180"/>
        <w:spacing w:after="0"/>
        <w:tabs>
          <w:tab w:leader="none" w:pos="6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Bennett Jones LLP regarding the legality of securities being registered.</w:t>
      </w:r>
    </w:p>
    <w:p>
      <w:pPr>
        <w:spacing w:after="0" w:line="22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22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Bennett Jones LLP (included in Exhibit 5.1).</w:t>
      </w:r>
    </w:p>
    <w:p>
      <w:pPr>
        <w:spacing w:after="0" w:line="225" w:lineRule="exact"/>
        <w:rPr>
          <w:sz w:val="20"/>
          <w:szCs w:val="20"/>
          <w:color w:val="auto"/>
        </w:rPr>
      </w:pPr>
    </w:p>
    <w:p>
      <w:pPr>
        <w:ind w:left="140"/>
        <w:spacing w:after="0"/>
        <w:tabs>
          <w:tab w:leader="none" w:pos="6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in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5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Incorporated by reference as indicated.</w:t>
      </w: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type w:val="continuous"/>
        </w:sectPr>
      </w:pPr>
    </w:p>
    <w:bookmarkStart w:id="5" w:name="page6"/>
    <w:bookmarkEnd w:id="5"/>
    <w:p>
      <w:pPr>
        <w:spacing w:after="0"/>
        <w:tabs>
          <w:tab w:leader="none" w:pos="6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360" w:hanging="352"/>
        <w:spacing w:after="0"/>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60" w:hanging="563"/>
        <w:spacing w:after="0"/>
        <w:tabs>
          <w:tab w:leader="none" w:pos="12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260" w:hanging="563"/>
        <w:spacing w:after="0" w:line="255" w:lineRule="auto"/>
        <w:tabs>
          <w:tab w:leader="none" w:pos="12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a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9" w:lineRule="exact"/>
        <w:rPr>
          <w:rFonts w:ascii="Arial" w:cs="Arial" w:eastAsia="Arial" w:hAnsi="Arial"/>
          <w:sz w:val="18"/>
          <w:szCs w:val="18"/>
          <w:color w:val="auto"/>
        </w:rPr>
      </w:pPr>
    </w:p>
    <w:p>
      <w:pPr>
        <w:ind w:left="1260" w:right="20" w:hanging="563"/>
        <w:spacing w:after="0" w:line="257" w:lineRule="auto"/>
        <w:tabs>
          <w:tab w:leader="none" w:pos="1260" w:val="left"/>
        </w:tabs>
        <w:numPr>
          <w:ilvl w:val="2"/>
          <w:numId w:val="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 provided, however, that the undertakings set forth in paragraphs (a)(1)(i) and (a)(1)(ii)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spacing w:after="0" w:line="188" w:lineRule="exact"/>
        <w:rPr>
          <w:rFonts w:ascii="Arial" w:cs="Arial" w:eastAsia="Arial" w:hAnsi="Arial"/>
          <w:sz w:val="18"/>
          <w:szCs w:val="18"/>
          <w:color w:val="auto"/>
        </w:rPr>
      </w:pPr>
    </w:p>
    <w:p>
      <w:pPr>
        <w:ind w:left="700" w:right="140" w:hanging="341"/>
        <w:spacing w:after="0" w:line="264" w:lineRule="auto"/>
        <w:tabs>
          <w:tab w:leader="none" w:pos="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700" w:right="120" w:hanging="341"/>
        <w:spacing w:after="0" w:line="277" w:lineRule="auto"/>
        <w:tabs>
          <w:tab w:leader="none" w:pos="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360" w:right="160" w:hanging="352"/>
        <w:spacing w:after="0" w:line="257"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left="360" w:right="40" w:hanging="352"/>
        <w:spacing w:after="0" w:line="254" w:lineRule="auto"/>
        <w:tabs>
          <w:tab w:leader="none" w:pos="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Post-Effective Amendment to Registration Statement on Form S-8 to be signed on its behalf by the undersigned, thereunto duly authorized, in Houston, Texas, on July 17, 2015.</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Bradley J. Dodson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-130810</wp:posOffset>
            </wp:positionV>
            <wp:extent cx="2667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Each of the undersigned, in his or her capacity as an officer or director of Civeo Corporation, does hereby appoint Bradley J. Dodson and Frank C. Steininger, each of whom may act without the joinder of the other, as his or her true and lawful attorneys-in-fact and agents with power to act and with full power of substitution and resubstitution, to execute in his or her name, place and stead, in his or her capacity as a director of the Company, the Post-Effective Amendment to Registration Statement on Form S-8 and all instruments necessary or incidental in connection therewith, with such amendment or amendments thereto in each case as said attorneys-in-fact and agents or any of them shall deem necessary or appropriate, together with any and all exhibits and other documents relating thereto as said attorneys-in-fact and agents or any of them shall deem necessary or appropriate or incidental in connection therewith, and to file the same or cause the same to be filed with the Commission. Said attorneys-in-fact and agents shall have full power and authority to do and perform in the name and on behalf of each of the undersigned, in any and all capacities, every act whatsoever necessary or desirable to be done to the premises, as fully and to all intents and purposes as each of the undersigned might or could do in person, each of the undersigned hereby ratifying and approving the acts of said attorneys-in-fact and agents or any of them or their substitutes.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to Registration Statement on Form S-8 has been signed by the following persons in the capacities indicated on the 17th day of July, 2015.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720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432"/>
        </w:trPr>
        <w:tc>
          <w:tcPr>
            <w:tcW w:w="42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/s/ Bradley J. Dodson</w:t>
            </w:r>
          </w:p>
        </w:tc>
        <w:tc>
          <w:tcPr>
            <w:tcW w:w="7200" w:type="dxa"/>
            <w:vAlign w:val="bottom"/>
          </w:tcPr>
          <w:p>
            <w:pPr>
              <w:jc w:val="center"/>
              <w:spacing w:after="0"/>
              <w:rPr>
                <w:sz w:val="20"/>
                <w:szCs w:val="20"/>
                <w:color w:val="auto"/>
              </w:rPr>
            </w:pPr>
            <w:r>
              <w:rPr>
                <w:rFonts w:ascii="Arial" w:cs="Arial" w:eastAsia="Arial" w:hAnsi="Arial"/>
                <w:sz w:val="18"/>
                <w:szCs w:val="18"/>
                <w:color w:val="auto"/>
                <w:w w:val="92"/>
              </w:rPr>
              <w:t>President, Chief Executive Officer</w:t>
            </w:r>
          </w:p>
        </w:tc>
      </w:tr>
      <w:tr>
        <w:trPr>
          <w:trHeight w:val="195"/>
        </w:trPr>
        <w:tc>
          <w:tcPr>
            <w:tcW w:w="426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1"/>
              </w:rPr>
              <w:t>Bradley J. Dodson</w:t>
            </w:r>
          </w:p>
        </w:tc>
        <w:tc>
          <w:tcPr>
            <w:tcW w:w="7200" w:type="dxa"/>
            <w:vAlign w:val="bottom"/>
          </w:tcPr>
          <w:p>
            <w:pPr>
              <w:jc w:val="center"/>
              <w:spacing w:after="0" w:line="195" w:lineRule="exact"/>
              <w:rPr>
                <w:sz w:val="20"/>
                <w:szCs w:val="20"/>
                <w:color w:val="auto"/>
              </w:rPr>
            </w:pPr>
            <w:r>
              <w:rPr>
                <w:rFonts w:ascii="Arial" w:cs="Arial" w:eastAsia="Arial" w:hAnsi="Arial"/>
                <w:sz w:val="18"/>
                <w:szCs w:val="18"/>
                <w:color w:val="auto"/>
                <w:w w:val="93"/>
              </w:rPr>
              <w:t>and Director</w:t>
            </w:r>
          </w:p>
        </w:tc>
      </w:tr>
      <w:tr>
        <w:trPr>
          <w:trHeight w:val="216"/>
        </w:trPr>
        <w:tc>
          <w:tcPr>
            <w:tcW w:w="4260" w:type="dxa"/>
            <w:vAlign w:val="bottom"/>
          </w:tcPr>
          <w:p>
            <w:pPr>
              <w:spacing w:after="0"/>
              <w:rPr>
                <w:sz w:val="18"/>
                <w:szCs w:val="18"/>
                <w:color w:val="auto"/>
              </w:rPr>
            </w:pPr>
          </w:p>
        </w:tc>
        <w:tc>
          <w:tcPr>
            <w:tcW w:w="72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 and</w:t>
            </w:r>
          </w:p>
        </w:tc>
      </w:tr>
      <w:tr>
        <w:trPr>
          <w:trHeight w:val="230"/>
        </w:trPr>
        <w:tc>
          <w:tcPr>
            <w:tcW w:w="4260" w:type="dxa"/>
            <w:vAlign w:val="bottom"/>
          </w:tcPr>
          <w:p>
            <w:pPr>
              <w:spacing w:after="0"/>
              <w:rPr>
                <w:sz w:val="20"/>
                <w:szCs w:val="20"/>
                <w:color w:val="auto"/>
              </w:rPr>
            </w:pPr>
          </w:p>
        </w:tc>
        <w:tc>
          <w:tcPr>
            <w:tcW w:w="7200" w:type="dxa"/>
            <w:vAlign w:val="bottom"/>
          </w:tcPr>
          <w:p>
            <w:pPr>
              <w:jc w:val="center"/>
              <w:spacing w:after="0"/>
              <w:rPr>
                <w:sz w:val="20"/>
                <w:szCs w:val="20"/>
                <w:color w:val="auto"/>
              </w:rPr>
            </w:pPr>
            <w:r>
              <w:rPr>
                <w:rFonts w:ascii="Arial" w:cs="Arial" w:eastAsia="Arial" w:hAnsi="Arial"/>
                <w:sz w:val="18"/>
                <w:szCs w:val="18"/>
                <w:color w:val="auto"/>
                <w:w w:val="90"/>
              </w:rPr>
              <w:t>Authorized Representative in the United States)</w:t>
            </w:r>
          </w:p>
        </w:tc>
      </w:tr>
      <w:tr>
        <w:trPr>
          <w:trHeight w:val="648"/>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Frank C. Steininger</w:t>
            </w:r>
          </w:p>
        </w:tc>
        <w:tc>
          <w:tcPr>
            <w:tcW w:w="7200" w:type="dxa"/>
            <w:vAlign w:val="bottom"/>
          </w:tcPr>
          <w:p>
            <w:pPr>
              <w:ind w:left="2800"/>
              <w:spacing w:after="0"/>
              <w:rPr>
                <w:sz w:val="20"/>
                <w:szCs w:val="20"/>
                <w:color w:val="auto"/>
              </w:rPr>
            </w:pPr>
            <w:r>
              <w:rPr>
                <w:rFonts w:ascii="Arial" w:cs="Arial" w:eastAsia="Arial" w:hAnsi="Arial"/>
                <w:sz w:val="18"/>
                <w:szCs w:val="18"/>
                <w:color w:val="auto"/>
              </w:rPr>
              <w:t>Senior Vice President,</w:t>
            </w:r>
          </w:p>
        </w:tc>
      </w:tr>
      <w:tr>
        <w:trPr>
          <w:trHeight w:val="195"/>
        </w:trPr>
        <w:tc>
          <w:tcPr>
            <w:tcW w:w="4260" w:type="dxa"/>
            <w:vAlign w:val="bottom"/>
          </w:tcPr>
          <w:p>
            <w:pPr>
              <w:jc w:val="center"/>
              <w:spacing w:after="0" w:line="195" w:lineRule="exact"/>
              <w:rPr>
                <w:sz w:val="20"/>
                <w:szCs w:val="20"/>
                <w:color w:val="auto"/>
              </w:rPr>
            </w:pPr>
            <w:r>
              <w:rPr>
                <w:rFonts w:ascii="Arial" w:cs="Arial" w:eastAsia="Arial" w:hAnsi="Arial"/>
                <w:sz w:val="18"/>
                <w:szCs w:val="18"/>
                <w:color w:val="auto"/>
                <w:w w:val="91"/>
              </w:rPr>
              <w:t>Frank C. Steininger</w:t>
            </w:r>
          </w:p>
        </w:tc>
        <w:tc>
          <w:tcPr>
            <w:tcW w:w="7200" w:type="dxa"/>
            <w:vAlign w:val="bottom"/>
          </w:tcPr>
          <w:p>
            <w:pPr>
              <w:jc w:val="center"/>
              <w:spacing w:after="0" w:line="195" w:lineRule="exact"/>
              <w:rPr>
                <w:sz w:val="20"/>
                <w:szCs w:val="20"/>
                <w:color w:val="auto"/>
              </w:rPr>
            </w:pPr>
            <w:r>
              <w:rPr>
                <w:rFonts w:ascii="Arial" w:cs="Arial" w:eastAsia="Arial" w:hAnsi="Arial"/>
                <w:sz w:val="18"/>
                <w:szCs w:val="18"/>
                <w:color w:val="auto"/>
                <w:w w:val="92"/>
              </w:rPr>
              <w:t>Chief Financial Officer and Treasurer</w:t>
            </w:r>
          </w:p>
        </w:tc>
      </w:tr>
      <w:tr>
        <w:trPr>
          <w:trHeight w:val="230"/>
        </w:trPr>
        <w:tc>
          <w:tcPr>
            <w:tcW w:w="4260" w:type="dxa"/>
            <w:vAlign w:val="bottom"/>
          </w:tcPr>
          <w:p>
            <w:pPr>
              <w:spacing w:after="0"/>
              <w:rPr>
                <w:sz w:val="20"/>
                <w:szCs w:val="20"/>
                <w:color w:val="auto"/>
              </w:rPr>
            </w:pPr>
          </w:p>
        </w:tc>
        <w:tc>
          <w:tcPr>
            <w:tcW w:w="720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648"/>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Douglas E. Swanson</w:t>
            </w:r>
          </w:p>
        </w:tc>
        <w:tc>
          <w:tcPr>
            <w:tcW w:w="7200" w:type="dxa"/>
            <w:vAlign w:val="bottom"/>
          </w:tcPr>
          <w:p>
            <w:pPr>
              <w:jc w:val="center"/>
              <w:spacing w:after="0"/>
              <w:rPr>
                <w:sz w:val="20"/>
                <w:szCs w:val="20"/>
                <w:color w:val="auto"/>
              </w:rPr>
            </w:pPr>
            <w:r>
              <w:rPr>
                <w:rFonts w:ascii="Arial" w:cs="Arial" w:eastAsia="Arial" w:hAnsi="Arial"/>
                <w:sz w:val="18"/>
                <w:szCs w:val="18"/>
                <w:color w:val="auto"/>
                <w:w w:val="90"/>
              </w:rPr>
              <w:t>Chairman of the Board</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89"/>
              </w:rPr>
              <w:t>Douglas E. Swanson</w:t>
            </w:r>
          </w:p>
        </w:tc>
        <w:tc>
          <w:tcPr>
            <w:tcW w:w="7200" w:type="dxa"/>
            <w:vAlign w:val="bottom"/>
          </w:tcPr>
          <w:p>
            <w:pPr>
              <w:spacing w:after="0"/>
              <w:rPr>
                <w:sz w:val="19"/>
                <w:szCs w:val="19"/>
                <w:color w:val="auto"/>
              </w:rPr>
            </w:pPr>
          </w:p>
        </w:tc>
      </w:tr>
      <w:tr>
        <w:trPr>
          <w:trHeight w:val="418"/>
        </w:trPr>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 Ronald Blankenship</w:t>
            </w:r>
          </w:p>
        </w:tc>
        <w:tc>
          <w:tcPr>
            <w:tcW w:w="72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4260" w:type="dxa"/>
            <w:vAlign w:val="bottom"/>
          </w:tcPr>
          <w:p>
            <w:pPr>
              <w:jc w:val="center"/>
              <w:spacing w:after="0"/>
              <w:rPr>
                <w:sz w:val="20"/>
                <w:szCs w:val="20"/>
                <w:color w:val="auto"/>
              </w:rPr>
            </w:pPr>
            <w:r>
              <w:rPr>
                <w:rFonts w:ascii="Arial" w:cs="Arial" w:eastAsia="Arial" w:hAnsi="Arial"/>
                <w:sz w:val="18"/>
                <w:szCs w:val="18"/>
                <w:color w:val="auto"/>
                <w:w w:val="91"/>
              </w:rPr>
              <w:t>C. Ronald Blankenship</w:t>
            </w:r>
          </w:p>
        </w:tc>
        <w:tc>
          <w:tcPr>
            <w:tcW w:w="7200" w:type="dxa"/>
            <w:vAlign w:val="bottom"/>
          </w:tcPr>
          <w:p>
            <w:pPr>
              <w:spacing w:after="0"/>
              <w:rPr>
                <w:sz w:val="19"/>
                <w:szCs w:val="19"/>
                <w:color w:val="auto"/>
              </w:rPr>
            </w:pPr>
          </w:p>
        </w:tc>
      </w:tr>
      <w:tr>
        <w:trPr>
          <w:trHeight w:val="715"/>
        </w:trPr>
        <w:tc>
          <w:tcPr>
            <w:tcW w:w="4260" w:type="dxa"/>
            <w:vAlign w:val="bottom"/>
          </w:tcPr>
          <w:p>
            <w:pPr>
              <w:spacing w:after="0"/>
              <w:rPr>
                <w:sz w:val="24"/>
                <w:szCs w:val="24"/>
                <w:color w:val="auto"/>
              </w:rPr>
            </w:pPr>
          </w:p>
        </w:tc>
        <w:tc>
          <w:tcPr>
            <w:tcW w:w="7200" w:type="dxa"/>
            <w:vAlign w:val="bottom"/>
          </w:tcPr>
          <w:p>
            <w:pPr>
              <w:ind w:left="1320"/>
              <w:spacing w:after="0"/>
              <w:rPr>
                <w:sz w:val="20"/>
                <w:szCs w:val="20"/>
                <w:color w:val="auto"/>
              </w:rPr>
            </w:pPr>
            <w:r>
              <w:rPr>
                <w:rFonts w:ascii="Arial" w:cs="Arial" w:eastAsia="Arial" w:hAnsi="Arial"/>
                <w:sz w:val="18"/>
                <w:szCs w:val="18"/>
                <w:color w:val="auto"/>
              </w:rPr>
              <w:t>II-4</w:t>
            </w:r>
          </w:p>
        </w:tc>
      </w:tr>
      <w:tr>
        <w:trPr>
          <w:trHeight w:val="105"/>
        </w:trPr>
        <w:tc>
          <w:tcPr>
            <w:tcW w:w="4260" w:type="dxa"/>
            <w:vAlign w:val="bottom"/>
          </w:tcPr>
          <w:p>
            <w:pPr>
              <w:spacing w:after="0"/>
              <w:rPr>
                <w:sz w:val="9"/>
                <w:szCs w:val="9"/>
                <w:color w:val="auto"/>
              </w:rPr>
            </w:pPr>
          </w:p>
        </w:tc>
        <w:tc>
          <w:tcPr>
            <w:tcW w:w="7200" w:type="dxa"/>
            <w:vAlign w:val="bottom"/>
          </w:tcPr>
          <w:p>
            <w:pPr>
              <w:spacing w:after="0"/>
              <w:rPr>
                <w:sz w:val="9"/>
                <w:szCs w:val="9"/>
                <w:color w:val="auto"/>
              </w:rPr>
            </w:pPr>
          </w:p>
        </w:tc>
      </w:tr>
      <w:tr>
        <w:trPr>
          <w:trHeight w:val="61"/>
        </w:trPr>
        <w:tc>
          <w:tcPr>
            <w:tcW w:w="4260" w:type="dxa"/>
            <w:vAlign w:val="bottom"/>
            <w:shd w:val="clear" w:color="auto" w:fill="808080"/>
          </w:tcPr>
          <w:p>
            <w:pPr>
              <w:spacing w:after="0"/>
              <w:rPr>
                <w:sz w:val="5"/>
                <w:szCs w:val="5"/>
                <w:color w:val="auto"/>
              </w:rPr>
            </w:pPr>
          </w:p>
        </w:tc>
        <w:tc>
          <w:tcPr>
            <w:tcW w:w="72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Martin A. Lambert</w:t>
            </w:r>
          </w:p>
        </w:tc>
        <w:tc>
          <w:tcPr>
            <w:tcW w:w="7160" w:type="dxa"/>
            <w:vAlign w:val="bottom"/>
          </w:tcPr>
          <w:p>
            <w:pPr>
              <w:ind w:left="3260"/>
              <w:spacing w:after="0"/>
              <w:rPr>
                <w:sz w:val="20"/>
                <w:szCs w:val="20"/>
                <w:color w:val="auto"/>
              </w:rPr>
            </w:pPr>
            <w:r>
              <w:rPr>
                <w:rFonts w:ascii="Arial" w:cs="Arial" w:eastAsia="Arial" w:hAnsi="Arial"/>
                <w:sz w:val="18"/>
                <w:szCs w:val="18"/>
                <w:color w:val="auto"/>
              </w:rPr>
              <w:t>Director</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5"/>
              </w:rPr>
              <w:t>Martin A. Lambert</w:t>
            </w:r>
          </w:p>
        </w:tc>
        <w:tc>
          <w:tcPr>
            <w:tcW w:w="7160" w:type="dxa"/>
            <w:vAlign w:val="bottom"/>
          </w:tcPr>
          <w:p>
            <w:pPr>
              <w:spacing w:after="0"/>
              <w:rPr>
                <w:sz w:val="19"/>
                <w:szCs w:val="19"/>
                <w:color w:val="auto"/>
              </w:rPr>
            </w:pPr>
          </w:p>
        </w:tc>
      </w:tr>
      <w:tr>
        <w:trPr>
          <w:trHeight w:val="41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Constance B. Moore</w:t>
            </w:r>
          </w:p>
        </w:tc>
        <w:tc>
          <w:tcPr>
            <w:tcW w:w="7160" w:type="dxa"/>
            <w:vAlign w:val="bottom"/>
          </w:tcPr>
          <w:p>
            <w:pPr>
              <w:ind w:left="3260"/>
              <w:spacing w:after="0"/>
              <w:rPr>
                <w:sz w:val="20"/>
                <w:szCs w:val="20"/>
                <w:color w:val="auto"/>
              </w:rPr>
            </w:pPr>
            <w:r>
              <w:rPr>
                <w:rFonts w:ascii="Arial" w:cs="Arial" w:eastAsia="Arial" w:hAnsi="Arial"/>
                <w:sz w:val="18"/>
                <w:szCs w:val="18"/>
                <w:color w:val="auto"/>
              </w:rPr>
              <w:t>Director</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0"/>
              </w:rPr>
              <w:t>Constance B. Moore</w:t>
            </w:r>
          </w:p>
        </w:tc>
        <w:tc>
          <w:tcPr>
            <w:tcW w:w="7160" w:type="dxa"/>
            <w:vAlign w:val="bottom"/>
          </w:tcPr>
          <w:p>
            <w:pPr>
              <w:spacing w:after="0"/>
              <w:rPr>
                <w:sz w:val="19"/>
                <w:szCs w:val="19"/>
                <w:color w:val="auto"/>
              </w:rPr>
            </w:pPr>
          </w:p>
        </w:tc>
      </w:tr>
      <w:tr>
        <w:trPr>
          <w:trHeight w:val="41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Richard A. Navarre</w:t>
            </w:r>
          </w:p>
        </w:tc>
        <w:tc>
          <w:tcPr>
            <w:tcW w:w="7160" w:type="dxa"/>
            <w:vAlign w:val="bottom"/>
          </w:tcPr>
          <w:p>
            <w:pPr>
              <w:ind w:left="3260"/>
              <w:spacing w:after="0"/>
              <w:rPr>
                <w:sz w:val="20"/>
                <w:szCs w:val="20"/>
                <w:color w:val="auto"/>
              </w:rPr>
            </w:pPr>
            <w:r>
              <w:rPr>
                <w:rFonts w:ascii="Arial" w:cs="Arial" w:eastAsia="Arial" w:hAnsi="Arial"/>
                <w:sz w:val="18"/>
                <w:szCs w:val="18"/>
                <w:color w:val="auto"/>
              </w:rPr>
              <w:t>Director</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2"/>
              </w:rPr>
              <w:t>Richard A. Navarre</w:t>
            </w:r>
          </w:p>
        </w:tc>
        <w:tc>
          <w:tcPr>
            <w:tcW w:w="7160" w:type="dxa"/>
            <w:vAlign w:val="bottom"/>
          </w:tcPr>
          <w:p>
            <w:pPr>
              <w:spacing w:after="0"/>
              <w:rPr>
                <w:sz w:val="19"/>
                <w:szCs w:val="19"/>
                <w:color w:val="auto"/>
              </w:rPr>
            </w:pPr>
          </w:p>
        </w:tc>
      </w:tr>
      <w:tr>
        <w:trPr>
          <w:trHeight w:val="418"/>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Charles Szalkowski</w:t>
            </w:r>
          </w:p>
        </w:tc>
        <w:tc>
          <w:tcPr>
            <w:tcW w:w="7160" w:type="dxa"/>
            <w:vAlign w:val="bottom"/>
          </w:tcPr>
          <w:p>
            <w:pPr>
              <w:ind w:left="3260"/>
              <w:spacing w:after="0"/>
              <w:rPr>
                <w:sz w:val="20"/>
                <w:szCs w:val="20"/>
                <w:color w:val="auto"/>
              </w:rPr>
            </w:pPr>
            <w:r>
              <w:rPr>
                <w:rFonts w:ascii="Arial" w:cs="Arial" w:eastAsia="Arial" w:hAnsi="Arial"/>
                <w:sz w:val="18"/>
                <w:szCs w:val="18"/>
                <w:color w:val="auto"/>
              </w:rPr>
              <w:t>Director</w:t>
            </w:r>
          </w:p>
        </w:tc>
      </w:tr>
      <w:tr>
        <w:trPr>
          <w:trHeight w:val="224"/>
        </w:trPr>
        <w:tc>
          <w:tcPr>
            <w:tcW w:w="4300" w:type="dxa"/>
            <w:vAlign w:val="bottom"/>
          </w:tcPr>
          <w:p>
            <w:pPr>
              <w:jc w:val="center"/>
              <w:spacing w:after="0"/>
              <w:rPr>
                <w:sz w:val="20"/>
                <w:szCs w:val="20"/>
                <w:color w:val="auto"/>
              </w:rPr>
            </w:pPr>
            <w:r>
              <w:rPr>
                <w:rFonts w:ascii="Arial" w:cs="Arial" w:eastAsia="Arial" w:hAnsi="Arial"/>
                <w:sz w:val="18"/>
                <w:szCs w:val="18"/>
                <w:color w:val="auto"/>
                <w:w w:val="90"/>
              </w:rPr>
              <w:t>Charles Szalkowski</w:t>
            </w:r>
          </w:p>
        </w:tc>
        <w:tc>
          <w:tcPr>
            <w:tcW w:w="7160" w:type="dxa"/>
            <w:vAlign w:val="bottom"/>
          </w:tcPr>
          <w:p>
            <w:pPr>
              <w:spacing w:after="0"/>
              <w:rPr>
                <w:sz w:val="19"/>
                <w:szCs w:val="19"/>
                <w:color w:val="auto"/>
              </w:rPr>
            </w:pPr>
          </w:p>
        </w:tc>
      </w:tr>
      <w:tr>
        <w:trPr>
          <w:trHeight w:val="661"/>
        </w:trPr>
        <w:tc>
          <w:tcPr>
            <w:tcW w:w="4300" w:type="dxa"/>
            <w:vAlign w:val="bottom"/>
          </w:tcPr>
          <w:p>
            <w:pPr>
              <w:spacing w:after="0"/>
              <w:rPr>
                <w:sz w:val="24"/>
                <w:szCs w:val="24"/>
                <w:color w:val="auto"/>
              </w:rPr>
            </w:pPr>
          </w:p>
        </w:tc>
        <w:tc>
          <w:tcPr>
            <w:tcW w:w="7160" w:type="dxa"/>
            <w:vAlign w:val="bottom"/>
          </w:tcPr>
          <w:p>
            <w:pPr>
              <w:ind w:left="1280"/>
              <w:spacing w:after="0"/>
              <w:rPr>
                <w:sz w:val="20"/>
                <w:szCs w:val="20"/>
                <w:color w:val="auto"/>
              </w:rPr>
            </w:pPr>
            <w:r>
              <w:rPr>
                <w:rFonts w:ascii="Arial" w:cs="Arial" w:eastAsia="Arial" w:hAnsi="Arial"/>
                <w:sz w:val="18"/>
                <w:szCs w:val="18"/>
                <w:color w:val="auto"/>
              </w:rPr>
              <w:t>II-5</w:t>
            </w:r>
          </w:p>
        </w:tc>
      </w:tr>
      <w:tr>
        <w:trPr>
          <w:trHeight w:val="105"/>
        </w:trPr>
        <w:tc>
          <w:tcPr>
            <w:tcW w:w="4300" w:type="dxa"/>
            <w:vAlign w:val="bottom"/>
          </w:tcPr>
          <w:p>
            <w:pPr>
              <w:spacing w:after="0"/>
              <w:rPr>
                <w:sz w:val="9"/>
                <w:szCs w:val="9"/>
                <w:color w:val="auto"/>
              </w:rPr>
            </w:pPr>
          </w:p>
        </w:tc>
        <w:tc>
          <w:tcPr>
            <w:tcW w:w="7160" w:type="dxa"/>
            <w:vAlign w:val="bottom"/>
          </w:tcPr>
          <w:p>
            <w:pPr>
              <w:spacing w:after="0"/>
              <w:rPr>
                <w:sz w:val="9"/>
                <w:szCs w:val="9"/>
                <w:color w:val="auto"/>
              </w:rPr>
            </w:pPr>
          </w:p>
        </w:tc>
      </w:tr>
      <w:tr>
        <w:trPr>
          <w:trHeight w:val="61"/>
        </w:trPr>
        <w:tc>
          <w:tcPr>
            <w:tcW w:w="4300" w:type="dxa"/>
            <w:vAlign w:val="bottom"/>
            <w:shd w:val="clear" w:color="auto" w:fill="808080"/>
          </w:tcPr>
          <w:p>
            <w:pPr>
              <w:spacing w:after="0"/>
              <w:rPr>
                <w:sz w:val="5"/>
                <w:szCs w:val="5"/>
                <w:color w:val="auto"/>
              </w:rPr>
            </w:pPr>
          </w:p>
        </w:tc>
        <w:tc>
          <w:tcPr>
            <w:tcW w:w="71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8" w:name="page9"/>
    <w:bookmarkEnd w:id="8"/>
    <w:p>
      <w:pPr>
        <w:ind w:left="50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NDEX TO</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XHIBITS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120"/>
        <w:spacing w:after="0"/>
        <w:tabs>
          <w:tab w:leader="none" w:pos="55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Notice of Articles of Civeo Corporation (incorporated by reference to Exhibit 3.1 to the Form 8-K).</w:t>
      </w:r>
    </w:p>
    <w:p>
      <w:pPr>
        <w:spacing w:after="0" w:line="22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Articles of Civeo Corporation (incorporated by reference to Exhibit 3.2 to the Form 8-K).</w:t>
      </w:r>
    </w:p>
    <w:p>
      <w:pPr>
        <w:spacing w:after="0" w:line="22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2014 Equity Participation Plan of Civeo Corporation (incorporated by reference to Exhibit 10.2 to the Form 8-K).</w:t>
      </w:r>
    </w:p>
    <w:p>
      <w:pPr>
        <w:spacing w:after="0" w:line="225" w:lineRule="exact"/>
        <w:rPr>
          <w:sz w:val="20"/>
          <w:szCs w:val="20"/>
          <w:color w:val="auto"/>
        </w:rPr>
      </w:pPr>
    </w:p>
    <w:p>
      <w:pPr>
        <w:ind w:left="14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Bennett Jones LLP regarding the legality of securities being registered.</w:t>
      </w:r>
    </w:p>
    <w:p>
      <w:pPr>
        <w:spacing w:after="0" w:line="22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22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Bennett Jones LLP (included in Exhibit 5.1).</w:t>
      </w:r>
    </w:p>
    <w:p>
      <w:pPr>
        <w:spacing w:after="0" w:line="225" w:lineRule="exact"/>
        <w:rPr>
          <w:sz w:val="20"/>
          <w:szCs w:val="20"/>
          <w:color w:val="auto"/>
        </w:rPr>
      </w:pPr>
    </w:p>
    <w:p>
      <w:pPr>
        <w:ind w:left="100"/>
        <w:spacing w:after="0"/>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in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368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Incorporated by reference as indicated.</w:t>
      </w:r>
    </w:p>
    <w:p>
      <w:pPr>
        <w:spacing w:after="0" w:line="2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179"/>
          </w:cols>
          <w:pgMar w:left="280" w:top="607"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1038225</wp:posOffset>
            </wp:positionV>
            <wp:extent cx="1715135" cy="514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15135" cy="51435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583565</wp:posOffset>
            </wp:positionV>
            <wp:extent cx="2049780" cy="14319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49780"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Allen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Civeo Corporation – Post-Effective Amendment No. 1 to Form S-8 Registration Statement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acted as counsel to Civeo Corporation, a limited company governed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Post-Effective Amendment No. 1 (the "</w:t>
      </w:r>
      <w:r>
        <w:rPr>
          <w:rFonts w:ascii="Arial" w:cs="Arial" w:eastAsia="Arial" w:hAnsi="Arial"/>
          <w:sz w:val="17"/>
          <w:szCs w:val="17"/>
          <w:b w:val="1"/>
          <w:bCs w:val="1"/>
          <w:color w:val="auto"/>
        </w:rPr>
        <w:t>Amendment</w:t>
      </w:r>
      <w:r>
        <w:rPr>
          <w:rFonts w:ascii="Arial" w:cs="Arial" w:eastAsia="Arial" w:hAnsi="Arial"/>
          <w:sz w:val="17"/>
          <w:szCs w:val="17"/>
          <w:color w:val="auto"/>
        </w:rPr>
        <w:t>") to the Form S-8 Registration Statement filed (Registration No. 333-196292) by the Company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under the U.S. Securities Act of 1933, as amended, on May 27, 2014, as amended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relating to the registration of common shares of the Company (the "</w:t>
      </w:r>
      <w:r>
        <w:rPr>
          <w:rFonts w:ascii="Arial" w:cs="Arial" w:eastAsia="Arial" w:hAnsi="Arial"/>
          <w:sz w:val="17"/>
          <w:szCs w:val="17"/>
          <w:b w:val="1"/>
          <w:bCs w:val="1"/>
          <w:color w:val="auto"/>
        </w:rPr>
        <w:t>Common Shares</w:t>
      </w:r>
      <w:r>
        <w:rPr>
          <w:rFonts w:ascii="Arial" w:cs="Arial" w:eastAsia="Arial" w:hAnsi="Arial"/>
          <w:sz w:val="17"/>
          <w:szCs w:val="17"/>
          <w:color w:val="auto"/>
        </w:rPr>
        <w:t>") that may be delivered pursuant to the 2014 Equity Participation Plan of Civeo Corporation, as amended (the "</w:t>
      </w:r>
      <w:r>
        <w:rPr>
          <w:rFonts w:ascii="Arial" w:cs="Arial" w:eastAsia="Arial" w:hAnsi="Arial"/>
          <w:sz w:val="17"/>
          <w:szCs w:val="17"/>
          <w:b w:val="1"/>
          <w:bCs w:val="1"/>
          <w:color w:val="auto"/>
        </w:rPr>
        <w:t>Plan</w:t>
      </w:r>
      <w:r>
        <w:rPr>
          <w:rFonts w:ascii="Arial" w:cs="Arial" w:eastAsia="Arial" w:hAnsi="Arial"/>
          <w:sz w:val="17"/>
          <w:szCs w:val="17"/>
          <w:color w:val="auto"/>
        </w:rPr>
        <w:t>"), assumed by the Company pursuant to the Agreement and Plan of Merger among the Company, Civeo USA Corp., a Delaware corporation, formerly named Civeo Corporation ("</w:t>
      </w:r>
      <w:r>
        <w:rPr>
          <w:rFonts w:ascii="Arial" w:cs="Arial" w:eastAsia="Arial" w:hAnsi="Arial"/>
          <w:sz w:val="17"/>
          <w:szCs w:val="17"/>
          <w:b w:val="1"/>
          <w:bCs w:val="1"/>
          <w:color w:val="auto"/>
        </w:rPr>
        <w:t>Civeo US</w:t>
      </w:r>
      <w:r>
        <w:rPr>
          <w:rFonts w:ascii="Arial" w:cs="Arial" w:eastAsia="Arial" w:hAnsi="Arial"/>
          <w:sz w:val="17"/>
          <w:szCs w:val="17"/>
          <w:color w:val="auto"/>
        </w:rPr>
        <w:t>"), and Civeo US Merger Co, a Delaware corporation, dated as of April 6, 2015 (the "</w:t>
      </w:r>
      <w:r>
        <w:rPr>
          <w:rFonts w:ascii="Arial" w:cs="Arial" w:eastAsia="Arial" w:hAnsi="Arial"/>
          <w:sz w:val="17"/>
          <w:szCs w:val="17"/>
          <w:b w:val="1"/>
          <w:bCs w:val="1"/>
          <w:color w:val="auto"/>
        </w:rPr>
        <w:t>Merger Agreement</w:t>
      </w:r>
      <w:r>
        <w:rPr>
          <w:rFonts w:ascii="Arial" w:cs="Arial" w:eastAsia="Arial" w:hAnsi="Arial"/>
          <w:sz w:val="17"/>
          <w:szCs w:val="17"/>
          <w:color w:val="auto"/>
        </w:rPr>
        <w:t>").</w:t>
      </w:r>
    </w:p>
    <w:p>
      <w:pPr>
        <w:spacing w:after="0" w:line="17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examined a copy of the Plan, the Amendment, the Registration Statement, the Merger Agreement, resolutions adopted April 6, 2015 by the Board of Directors of Civeo US and resolutions adopted July 13, 2015 by the Board of Directors of the Company that authorized the Company to assume all outstanding awards granted under the Plan. We have additionally examined all such corporate and public records, statutes, regulations and other documents as we have deemed relevant and have considered such questions of law as we have considered relevant and necessary in order to give the opinion hereinafter set forth. We have additionally advised the Company in connection with the preparation of the Notice of Articles and Articles of the Company.</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to various questions of fact material to such opinion which were not independently established, we have relied upon certificates of public officials and officers of the Company. In reviewing all documents relevant to the opinions herein expressed, we have assumed the genuineness of all signatures, the legal capacity at all relevant times of all natural persons signing such documents, the veracity of the information contained therein, the authenticity of all documents submitted to us as originals, and the conformity to authentic or original documents of all documents submitted to us as certified, notarial, facsimile, or true copies or reproductions.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qualified to practice law in the Province of British Columbia and this opinion is rendered solely with respect to the laws of the Province of British Columbia and the federal laws of Canada applicable therein.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Based upon and subject to the qualifications and assumptions herein expressed, we are of the opinion that upon (i) effectiveness of the Amendment, (ii) issuance of the Common Shares in accordance with the terms of the Plan, and (iii) receipt by the Company of the consideration specified in the Plan for the Common Shares, the Common Shares will be validly issued, fully paid and non-assessable shares of the Company.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opinions expressed herein are given as at the date hereof and are based upon laws in effect and facts in existence as at the date hereof. The opinions expressed herein are given as at the date hereof, we express no opinion as to the effect of future laws or judicial or regulatory decisions on the subject matter hereof, and we specifically disclaim any obligation and make no undertaking to advise any person of any change in law or fact that may come to our attention after the date hereof.</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filing of this opinion as an exhibit to the Amendment. In giving such consent, we do not thereby admit that we are included in the category of persons whose consent is required under Section 7 of the U.S. Securities Act of 1933, as amended, or the rules and regulations of the SEC thereunder.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BENNETT JONES LLP</w:t>
      </w:r>
    </w:p>
    <w:p>
      <w:pPr>
        <w:sectPr>
          <w:pgSz w:w="11900" w:h="16838" w:orient="portrait"/>
          <w:cols w:equalWidth="0" w:num="1">
            <w:col w:w="11420"/>
          </w:cols>
          <w:pgMar w:left="240" w:top="12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consent to the incorporation by reference in this Post-Effective Amendment No. 1 to Registration Statement No. 333-196292 being filed by Civeo Corporation, a British Columbia, Canada limited company, on Form S-8 pertaining to the 2014 Equity Participation Plan of Civeo Corporation of our report dated March 13, 2015, with respect to the consolidated financial statements of Civeo Corporation, a Delaware corporation, included in its Annual Report (Form 10-K) for the year ended December 31, 2014, filed with the Securities and Exchange Commission.</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17, 2015</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2019-12-09T04:24:50Z</dcterms:created>
  <dcterms:modified xsi:type="dcterms:W3CDTF">2019-12-09T04:24:50Z</dcterms:modified>
</cp:coreProperties>
</file>