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20"/>
        <w:spacing w:after="0"/>
        <w:rPr>
          <w:sz w:val="20"/>
          <w:szCs w:val="20"/>
          <w:color w:val="auto"/>
        </w:rPr>
      </w:pPr>
      <w:r>
        <w:rPr>
          <w:rFonts w:ascii="Arial" w:cs="Arial" w:eastAsia="Arial" w:hAnsi="Arial"/>
          <w:sz w:val="25"/>
          <w:szCs w:val="25"/>
          <w:color w:val="auto"/>
        </w:rPr>
        <w:t>______________________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20"/>
        <w:spacing w:after="0"/>
        <w:rPr>
          <w:sz w:val="20"/>
          <w:szCs w:val="20"/>
          <w:color w:val="auto"/>
        </w:rPr>
      </w:pPr>
      <w:r>
        <w:rPr>
          <w:rFonts w:ascii="Arial" w:cs="Arial" w:eastAsia="Arial" w:hAnsi="Arial"/>
          <w:sz w:val="25"/>
          <w:szCs w:val="25"/>
          <w:color w:val="auto"/>
        </w:rPr>
        <w:t>______________________</w:t>
      </w:r>
    </w:p>
    <w:p>
      <w:pPr>
        <w:spacing w:after="0" w:line="23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248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7" w:lineRule="exact"/>
        <w:rPr>
          <w:sz w:val="24"/>
          <w:szCs w:val="24"/>
          <w:color w:val="auto"/>
        </w:rPr>
      </w:pPr>
    </w:p>
    <w:p>
      <w:pPr>
        <w:ind w:left="2720"/>
        <w:spacing w:after="0"/>
        <w:rPr>
          <w:sz w:val="20"/>
          <w:szCs w:val="20"/>
          <w:color w:val="auto"/>
        </w:rPr>
      </w:pPr>
      <w:r>
        <w:rPr>
          <w:rFonts w:ascii="Arial" w:cs="Arial" w:eastAsia="Arial" w:hAnsi="Arial"/>
          <w:sz w:val="19"/>
          <w:szCs w:val="19"/>
          <w:color w:val="auto"/>
        </w:rPr>
        <w:t>Date of Report (Date of earliest event Reported): February 24, 2016</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Civeo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ectPr>
          <w:pgSz w:w="11900" w:h="16838" w:orient="portrait"/>
          <w:cols w:equalWidth="0" w:num="1">
            <w:col w:w="11420"/>
          </w:cols>
          <w:pgMar w:left="240" w:top="549" w:right="239" w:bottom="1440" w:gutter="0" w:footer="0" w:header="0"/>
        </w:sectPr>
      </w:pP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British Columbia Canada</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(State or Other Jurisdiction of</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1-36246</w:t>
      </w:r>
    </w:p>
    <w:p>
      <w:pPr>
        <w:spacing w:after="0" w:line="14" w:lineRule="exact"/>
        <w:rPr>
          <w:sz w:val="24"/>
          <w:szCs w:val="24"/>
          <w:color w:val="auto"/>
        </w:rPr>
      </w:pPr>
    </w:p>
    <w:p>
      <w:pPr>
        <w:jc w:val="center"/>
        <w:ind w:right="14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98-1253716</w:t>
      </w:r>
    </w:p>
    <w:p>
      <w:pPr>
        <w:spacing w:after="0" w:line="14" w:lineRule="exact"/>
        <w:rPr>
          <w:sz w:val="24"/>
          <w:szCs w:val="24"/>
          <w:color w:val="auto"/>
        </w:rPr>
      </w:pPr>
    </w:p>
    <w:p>
      <w:pPr>
        <w:jc w:val="center"/>
        <w:ind w:right="120"/>
        <w:spacing w:after="0"/>
        <w:rPr>
          <w:sz w:val="20"/>
          <w:szCs w:val="20"/>
          <w:color w:val="auto"/>
        </w:rPr>
      </w:pPr>
      <w:r>
        <w:rPr>
          <w:rFonts w:ascii="Arial" w:cs="Arial" w:eastAsia="Arial" w:hAnsi="Arial"/>
          <w:sz w:val="19"/>
          <w:szCs w:val="19"/>
          <w:color w:val="auto"/>
        </w:rPr>
        <w:t>(I.R.S. Employer Identification Number)</w:t>
      </w:r>
    </w:p>
    <w:p>
      <w:pPr>
        <w:spacing w:after="0" w:line="38" w:lineRule="exact"/>
        <w:rPr>
          <w:sz w:val="24"/>
          <w:szCs w:val="24"/>
          <w:color w:val="auto"/>
        </w:rPr>
      </w:pPr>
    </w:p>
    <w:p>
      <w:pPr>
        <w:sectPr>
          <w:pgSz w:w="11900" w:h="16838" w:orient="portrait"/>
          <w:cols w:equalWidth="0" w:num="3">
            <w:col w:w="3800" w:space="720"/>
            <w:col w:w="2540" w:space="720"/>
            <w:col w:w="3640"/>
          </w:cols>
          <w:pgMar w:left="240" w:top="549" w:right="239" w:bottom="1440" w:gutter="0" w:footer="0" w:header="0"/>
          <w:type w:val="continuous"/>
        </w:sectPr>
      </w:pPr>
    </w:p>
    <w:p>
      <w:pPr>
        <w:ind w:left="1260"/>
        <w:spacing w:after="0"/>
        <w:rPr>
          <w:sz w:val="20"/>
          <w:szCs w:val="20"/>
          <w:color w:val="auto"/>
        </w:rPr>
      </w:pPr>
      <w:r>
        <w:rPr>
          <w:rFonts w:ascii="Arial" w:cs="Arial" w:eastAsia="Arial" w:hAnsi="Arial"/>
          <w:sz w:val="19"/>
          <w:szCs w:val="19"/>
          <w:color w:val="auto"/>
        </w:rPr>
        <w:t>Incorporation)</w:t>
      </w:r>
    </w:p>
    <w:p>
      <w:pPr>
        <w:sectPr>
          <w:pgSz w:w="11900" w:h="16838" w:orient="portrait"/>
          <w:cols w:equalWidth="0" w:num="1">
            <w:col w:w="11420"/>
          </w:cols>
          <w:pgMar w:left="240" w:top="549"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333 Clay Street, Suite 4980, Houston, Texas 77002</w:t>
      </w:r>
    </w:p>
    <w:p>
      <w:pPr>
        <w:jc w:val="center"/>
        <w:spacing w:after="0"/>
        <w:rPr>
          <w:sz w:val="20"/>
          <w:szCs w:val="20"/>
          <w:color w:val="auto"/>
        </w:rPr>
      </w:pPr>
      <w:r>
        <w:rPr>
          <w:rFonts w:ascii="Arial" w:cs="Arial" w:eastAsia="Arial" w:hAnsi="Arial"/>
          <w:sz w:val="22"/>
          <w:szCs w:val="22"/>
          <w:color w:val="auto"/>
        </w:rPr>
        <w:t>(Address of Principal Executive Offices) (Zip Code)</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(713) 510-2400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6"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jc w:val="right"/>
              <w:spacing w:after="0"/>
              <w:rPr>
                <w:sz w:val="20"/>
                <w:szCs w:val="20"/>
                <w:color w:val="auto"/>
              </w:rPr>
            </w:pPr>
            <w:r>
              <w:rPr>
                <w:rFonts w:ascii="Arial" w:cs="Arial" w:eastAsia="Arial" w:hAnsi="Arial"/>
                <w:sz w:val="22"/>
                <w:szCs w:val="22"/>
                <w:color w:val="auto"/>
              </w:rPr>
              <w:t>[</w:t>
            </w: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60" w:type="dxa"/>
            <w:vAlign w:val="bottom"/>
          </w:tcPr>
          <w:p>
            <w:pPr>
              <w:ind w:left="180"/>
              <w:spacing w:after="0"/>
              <w:rPr>
                <w:sz w:val="20"/>
                <w:szCs w:val="20"/>
                <w:color w:val="auto"/>
              </w:rPr>
            </w:pPr>
            <w:r>
              <w:rPr>
                <w:rFonts w:ascii="Arial" w:cs="Arial" w:eastAsia="Arial" w:hAnsi="Arial"/>
                <w:sz w:val="22"/>
                <w:szCs w:val="22"/>
                <w:color w:val="auto"/>
              </w:rPr>
              <w:t>Written communications pursuant to Rule 425 under the Securities Act (17 CFR 230.425)</w:t>
            </w:r>
          </w:p>
        </w:tc>
      </w:tr>
      <w:tr>
        <w:trPr>
          <w:trHeight w:val="243"/>
        </w:trPr>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660" w:type="dxa"/>
            <w:vAlign w:val="bottom"/>
          </w:tcPr>
          <w:p>
            <w:pPr>
              <w:ind w:left="18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243"/>
        </w:trPr>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660" w:type="dxa"/>
            <w:vAlign w:val="bottom"/>
          </w:tcPr>
          <w:p>
            <w:pPr>
              <w:ind w:left="180"/>
              <w:spacing w:after="0" w:line="243" w:lineRule="exact"/>
              <w:rPr>
                <w:sz w:val="20"/>
                <w:szCs w:val="20"/>
                <w:color w:val="auto"/>
              </w:rPr>
            </w:pPr>
            <w:r>
              <w:rPr>
                <w:rFonts w:ascii="Arial" w:cs="Arial" w:eastAsia="Arial" w:hAnsi="Arial"/>
                <w:sz w:val="22"/>
                <w:szCs w:val="22"/>
                <w:color w:val="auto"/>
                <w:w w:val="96"/>
              </w:rPr>
              <w:t>Pre-commencement communications pursuant to Rule 14d-2(b) under the Exchange Act (17 CFR 240.14d-2(b))</w:t>
            </w:r>
          </w:p>
        </w:tc>
      </w:tr>
      <w:tr>
        <w:trPr>
          <w:trHeight w:val="275"/>
        </w:trPr>
        <w:tc>
          <w:tcPr>
            <w:tcW w:w="440" w:type="dxa"/>
            <w:vAlign w:val="bottom"/>
          </w:tcPr>
          <w:p>
            <w:pPr>
              <w:jc w:val="right"/>
              <w:spacing w:after="0"/>
              <w:rPr>
                <w:sz w:val="20"/>
                <w:szCs w:val="20"/>
                <w:color w:val="auto"/>
              </w:rPr>
            </w:pPr>
            <w:r>
              <w:rPr>
                <w:rFonts w:ascii="Arial" w:cs="Arial" w:eastAsia="Arial" w:hAnsi="Arial"/>
                <w:sz w:val="22"/>
                <w:szCs w:val="22"/>
                <w:color w:val="auto"/>
              </w:rPr>
              <w:t>[</w:t>
            </w: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60" w:type="dxa"/>
            <w:vAlign w:val="bottom"/>
          </w:tcPr>
          <w:p>
            <w:pPr>
              <w:ind w:left="180"/>
              <w:spacing w:after="0"/>
              <w:rPr>
                <w:sz w:val="20"/>
                <w:szCs w:val="20"/>
                <w:color w:val="auto"/>
              </w:rPr>
            </w:pPr>
            <w:r>
              <w:rPr>
                <w:rFonts w:ascii="Arial" w:cs="Arial" w:eastAsia="Arial" w:hAnsi="Arial"/>
                <w:sz w:val="22"/>
                <w:szCs w:val="22"/>
                <w:color w:val="auto"/>
                <w:w w:val="96"/>
              </w:rPr>
              <w:t>Pre-commencement communications pursuant to Rule 13e-4(c) under the Exchange Act (17 CFR 240.13e-4(c))</w:t>
            </w:r>
          </w:p>
        </w:tc>
      </w:tr>
      <w:tr>
        <w:trPr>
          <w:trHeight w:val="206"/>
        </w:trPr>
        <w:tc>
          <w:tcPr>
            <w:tcW w:w="4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60" w:type="dxa"/>
            <w:vAlign w:val="bottom"/>
            <w:tcBorders>
              <w:bottom w:val="single" w:sz="8" w:color="auto"/>
            </w:tcBorders>
          </w:tcPr>
          <w:p>
            <w:pPr>
              <w:spacing w:after="0"/>
              <w:rPr>
                <w:sz w:val="17"/>
                <w:szCs w:val="17"/>
                <w:color w:val="auto"/>
              </w:rPr>
            </w:pPr>
          </w:p>
        </w:tc>
      </w:tr>
      <w:tr>
        <w:trPr>
          <w:trHeight w:val="41"/>
        </w:trPr>
        <w:tc>
          <w:tcPr>
            <w:tcW w:w="4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60" w:type="dxa"/>
            <w:vAlign w:val="bottom"/>
            <w:tcBorders>
              <w:bottom w:val="single" w:sz="8" w:color="auto"/>
            </w:tcBorders>
          </w:tcPr>
          <w:p>
            <w:pPr>
              <w:spacing w:after="0"/>
              <w:rPr>
                <w:sz w:val="3"/>
                <w:szCs w:val="3"/>
                <w:color w:val="auto"/>
              </w:rPr>
            </w:pPr>
          </w:p>
        </w:tc>
      </w:tr>
      <w:tr>
        <w:trPr>
          <w:trHeight w:val="361"/>
        </w:trPr>
        <w:tc>
          <w:tcPr>
            <w:tcW w:w="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On February 24, 2016, Civeo Corporation (the “Company”) issued a press release announcing its financial condition and results of operations for the quarter ended December 31, 2015. A copy of the press release is furnished as Exhibit 99.1 to this report on Form 8-K, and is incorporated herein by reference.</w:t>
      </w:r>
    </w:p>
    <w:p>
      <w:pPr>
        <w:spacing w:after="0" w:line="186" w:lineRule="exact"/>
        <w:rPr>
          <w:sz w:val="20"/>
          <w:szCs w:val="20"/>
          <w:color w:val="auto"/>
        </w:rPr>
      </w:pPr>
    </w:p>
    <w:p>
      <w:pPr>
        <w:jc w:val="both"/>
        <w:ind w:right="240"/>
        <w:spacing w:after="0" w:line="238" w:lineRule="auto"/>
        <w:rPr>
          <w:sz w:val="20"/>
          <w:szCs w:val="20"/>
          <w:color w:val="auto"/>
        </w:rPr>
      </w:pPr>
      <w:r>
        <w:rPr>
          <w:rFonts w:ascii="Arial" w:cs="Arial" w:eastAsia="Arial" w:hAnsi="Arial"/>
          <w:sz w:val="22"/>
          <w:szCs w:val="22"/>
          <w:color w:val="auto"/>
        </w:rPr>
        <w:t>The information contained in this report and the exhibit hereto shall not be deemed to be "filed" for purposes of Section 18 of the Securities Exchange Act of 1934, as amended, and shall not be incorporated by reference into any filings made by the Company under the Securities Act of 1933, as amended, or the Exchange Act, except as may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ind w:left="1280" w:hanging="624"/>
        <w:spacing w:after="0"/>
        <w:tabs>
          <w:tab w:leader="none" w:pos="128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2180" w:type="dxa"/>
            <w:vAlign w:val="bottom"/>
          </w:tcPr>
          <w:p>
            <w:pPr>
              <w:spacing w:after="0"/>
              <w:rPr>
                <w:sz w:val="21"/>
                <w:szCs w:val="21"/>
                <w:color w:val="auto"/>
              </w:rPr>
            </w:pPr>
          </w:p>
        </w:tc>
        <w:tc>
          <w:tcPr>
            <w:tcW w:w="7820" w:type="dxa"/>
            <w:vAlign w:val="bottom"/>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720" w:type="dxa"/>
            <w:vAlign w:val="bottom"/>
          </w:tcPr>
          <w:p>
            <w:pPr>
              <w:spacing w:after="0" w:line="224" w:lineRule="exact"/>
              <w:rPr>
                <w:sz w:val="20"/>
                <w:szCs w:val="20"/>
                <w:color w:val="auto"/>
              </w:rPr>
            </w:pPr>
            <w:r>
              <w:rPr>
                <w:rFonts w:ascii="Arial" w:cs="Arial" w:eastAsia="Arial" w:hAnsi="Arial"/>
                <w:sz w:val="22"/>
                <w:szCs w:val="22"/>
                <w:color w:val="auto"/>
                <w:w w:val="89"/>
              </w:rPr>
              <w:t>Number</w:t>
            </w:r>
          </w:p>
        </w:tc>
        <w:tc>
          <w:tcPr>
            <w:tcW w:w="660" w:type="dxa"/>
            <w:vAlign w:val="bottom"/>
          </w:tcPr>
          <w:p>
            <w:pPr>
              <w:spacing w:after="0"/>
              <w:rPr>
                <w:sz w:val="19"/>
                <w:szCs w:val="19"/>
                <w:color w:val="auto"/>
              </w:rPr>
            </w:pPr>
          </w:p>
        </w:tc>
        <w:tc>
          <w:tcPr>
            <w:tcW w:w="10000" w:type="dxa"/>
            <w:vAlign w:val="bottom"/>
            <w:gridSpan w:val="2"/>
          </w:tcPr>
          <w:p>
            <w:pPr>
              <w:spacing w:after="0" w:line="224" w:lineRule="exact"/>
              <w:rPr>
                <w:sz w:val="20"/>
                <w:szCs w:val="20"/>
                <w:color w:val="auto"/>
              </w:rPr>
            </w:pPr>
            <w:r>
              <w:rPr>
                <w:rFonts w:ascii="Arial" w:cs="Arial" w:eastAsia="Arial" w:hAnsi="Arial"/>
                <w:sz w:val="22"/>
                <w:szCs w:val="22"/>
                <w:color w:val="auto"/>
              </w:rPr>
              <w:t>Description of Document</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787"/>
        </w:trPr>
        <w:tc>
          <w:tcPr>
            <w:tcW w:w="4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22"/>
                <w:szCs w:val="22"/>
                <w:color w:val="auto"/>
              </w:rPr>
              <w:t>99.1</w:t>
            </w:r>
          </w:p>
        </w:tc>
        <w:tc>
          <w:tcPr>
            <w:tcW w:w="66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22"/>
                <w:szCs w:val="22"/>
                <w:color w:val="auto"/>
              </w:rPr>
              <w:t>Press Release dated February 24, 2016</w:t>
            </w:r>
          </w:p>
        </w:tc>
      </w:tr>
      <w:tr>
        <w:trPr>
          <w:trHeight w:val="716"/>
        </w:trPr>
        <w:tc>
          <w:tcPr>
            <w:tcW w:w="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820" w:type="dxa"/>
            <w:vAlign w:val="bottom"/>
          </w:tcPr>
          <w:p>
            <w:pPr>
              <w:spacing w:after="0"/>
              <w:rPr>
                <w:sz w:val="24"/>
                <w:szCs w:val="24"/>
                <w:color w:val="auto"/>
              </w:rPr>
            </w:pPr>
          </w:p>
        </w:tc>
        <w:tc>
          <w:tcPr>
            <w:tcW w:w="7600" w:type="dxa"/>
            <w:vAlign w:val="bottom"/>
            <w:gridSpan w:val="3"/>
          </w:tcPr>
          <w:p>
            <w:pPr>
              <w:ind w:left="1700"/>
              <w:spacing w:after="0"/>
              <w:rPr>
                <w:sz w:val="20"/>
                <w:szCs w:val="20"/>
                <w:color w:val="auto"/>
              </w:rPr>
            </w:pPr>
            <w:r>
              <w:rPr>
                <w:rFonts w:ascii="Arial" w:cs="Arial" w:eastAsia="Arial" w:hAnsi="Arial"/>
                <w:sz w:val="22"/>
                <w:szCs w:val="22"/>
                <w:b w:val="1"/>
                <w:bCs w:val="1"/>
                <w:color w:val="auto"/>
              </w:rPr>
              <w:t>Civeo Corporation</w:t>
            </w:r>
          </w:p>
        </w:tc>
      </w:tr>
      <w:tr>
        <w:trPr>
          <w:trHeight w:val="679"/>
        </w:trPr>
        <w:tc>
          <w:tcPr>
            <w:tcW w:w="3820" w:type="dxa"/>
            <w:vAlign w:val="bottom"/>
          </w:tcPr>
          <w:p>
            <w:pPr>
              <w:spacing w:after="0"/>
              <w:rPr>
                <w:sz w:val="20"/>
                <w:szCs w:val="20"/>
                <w:color w:val="auto"/>
              </w:rPr>
            </w:pPr>
            <w:r>
              <w:rPr>
                <w:rFonts w:ascii="Arial" w:cs="Arial" w:eastAsia="Arial" w:hAnsi="Arial"/>
                <w:sz w:val="22"/>
                <w:szCs w:val="22"/>
                <w:color w:val="auto"/>
              </w:rPr>
              <w:t>Date: February 24, 2016</w:t>
            </w:r>
          </w:p>
        </w:tc>
        <w:tc>
          <w:tcPr>
            <w:tcW w:w="7600" w:type="dxa"/>
            <w:vAlign w:val="bottom"/>
            <w:gridSpan w:val="3"/>
          </w:tcPr>
          <w:p>
            <w:pPr>
              <w:ind w:left="1700"/>
              <w:spacing w:after="0"/>
              <w:rPr>
                <w:sz w:val="20"/>
                <w:szCs w:val="20"/>
                <w:color w:val="auto"/>
              </w:rPr>
            </w:pPr>
            <w:r>
              <w:rPr>
                <w:rFonts w:ascii="Arial" w:cs="Arial" w:eastAsia="Arial" w:hAnsi="Arial"/>
                <w:sz w:val="22"/>
                <w:szCs w:val="22"/>
                <w:color w:val="auto"/>
              </w:rPr>
              <w:t>By: /s/ Frank C. Steininger</w:t>
            </w:r>
          </w:p>
        </w:tc>
      </w:tr>
      <w:tr>
        <w:trPr>
          <w:trHeight w:val="242"/>
        </w:trPr>
        <w:tc>
          <w:tcPr>
            <w:tcW w:w="38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44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2"/>
              </w:rPr>
              <w:t>Name: Frank C. Steininger</w:t>
            </w:r>
          </w:p>
        </w:tc>
        <w:tc>
          <w:tcPr>
            <w:tcW w:w="3080" w:type="dxa"/>
            <w:vAlign w:val="bottom"/>
          </w:tcPr>
          <w:p>
            <w:pPr>
              <w:spacing w:after="0"/>
              <w:rPr>
                <w:sz w:val="21"/>
                <w:szCs w:val="21"/>
                <w:color w:val="auto"/>
              </w:rPr>
            </w:pPr>
          </w:p>
        </w:tc>
      </w:tr>
      <w:tr>
        <w:trPr>
          <w:trHeight w:val="243"/>
        </w:trPr>
        <w:tc>
          <w:tcPr>
            <w:tcW w:w="38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520" w:type="dxa"/>
            <w:vAlign w:val="bottom"/>
            <w:gridSpan w:val="2"/>
          </w:tcPr>
          <w:p>
            <w:pPr>
              <w:spacing w:after="0" w:line="243" w:lineRule="exact"/>
              <w:rPr>
                <w:sz w:val="20"/>
                <w:szCs w:val="20"/>
                <w:color w:val="auto"/>
              </w:rPr>
            </w:pPr>
            <w:r>
              <w:rPr>
                <w:rFonts w:ascii="Arial" w:cs="Arial" w:eastAsia="Arial" w:hAnsi="Arial"/>
                <w:sz w:val="22"/>
                <w:szCs w:val="22"/>
                <w:color w:val="auto"/>
              </w:rPr>
              <w:t>Title: Senior Vice President, Chief Financial</w:t>
            </w:r>
          </w:p>
        </w:tc>
      </w:tr>
      <w:tr>
        <w:trPr>
          <w:trHeight w:val="275"/>
        </w:trPr>
        <w:tc>
          <w:tcPr>
            <w:tcW w:w="38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520" w:type="dxa"/>
            <w:vAlign w:val="bottom"/>
            <w:gridSpan w:val="2"/>
          </w:tcPr>
          <w:p>
            <w:pPr>
              <w:spacing w:after="0"/>
              <w:rPr>
                <w:sz w:val="20"/>
                <w:szCs w:val="20"/>
                <w:color w:val="auto"/>
              </w:rPr>
            </w:pPr>
            <w:r>
              <w:rPr>
                <w:rFonts w:ascii="Arial" w:cs="Arial" w:eastAsia="Arial" w:hAnsi="Arial"/>
                <w:sz w:val="22"/>
                <w:szCs w:val="22"/>
                <w:color w:val="auto"/>
              </w:rPr>
              <w:t>Officer and Treasurer</w:t>
            </w:r>
          </w:p>
        </w:tc>
      </w:tr>
      <w:tr>
        <w:trPr>
          <w:trHeight w:val="456"/>
        </w:trPr>
        <w:tc>
          <w:tcPr>
            <w:tcW w:w="38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328" w:right="23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 Number Description of Document</w:t>
      </w:r>
    </w:p>
    <w:p>
      <w:pPr>
        <w:spacing w:after="0" w:line="293"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 dated February 24, 2016</w:t>
      </w:r>
    </w:p>
    <w:p>
      <w:pPr>
        <w:sectPr>
          <w:pgSz w:w="11900" w:h="16838" w:orient="portrait"/>
          <w:cols w:equalWidth="0" w:num="1">
            <w:col w:w="10199"/>
          </w:cols>
          <w:pgMar w:left="260" w:top="32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Reports Fourth Quarter 2015 Results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Announces 2016 Guidance and Amended Credit Facility</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HOUSTON, Feb. 24, 2016 (GLOBE NEWSWIRE) -- Civeo Corporation (NYSE:CVEO) today reported financial and operating results for the fourth quarter ended December 31, 2015 as well as subsequent operational and financial updates.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right="1040"/>
        <w:spacing w:after="0" w:line="239" w:lineRule="auto"/>
        <w:rPr>
          <w:sz w:val="20"/>
          <w:szCs w:val="20"/>
          <w:color w:val="auto"/>
        </w:rPr>
      </w:pPr>
      <w:r>
        <w:rPr>
          <w:rFonts w:ascii="Arial" w:cs="Arial" w:eastAsia="Arial" w:hAnsi="Arial"/>
          <w:sz w:val="22"/>
          <w:szCs w:val="22"/>
          <w:color w:val="auto"/>
        </w:rPr>
        <w:t>Delivered solid operating cash flows after capital expenditures and asset sales in the fourth quarter, driven by cost containment, capital discipline and working capital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Reduced total debt outstanding to $402 million from $775 million at the end of 2014;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Amended existing revolving credit facility to modify certain covenants to provide additional financial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“Despite the challenging market conditions that persisted throughout 2015, we successfully delivered on our strategic objectives to generate free cash flow, adjust our cost structure to match our market opportunities, significantly reduce our debt, win new business and continue to deliver best-in-class services,” said Bradley J. Dodson, President and Chief Executive Officer.</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the fourth quarter, we achieved the results we expected and worked to position the Company to be highly competitive in what is likely to be another challenging year. We expect to generate free cash flow and further reduce debt in 2016. Our confidence is supported by key contracts currently in place, recent contract wins, well-capitalized customers committed to long term projects, and continued pursuit of incremental revenue opportunities and operational efficiencies.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enter 2016 with a consistent three-pronged approach to address current market conditions: drive free cash flow, reduce leverage, and capture organic growth opportunities. We amended our credit facility in February to include new leverage covenants that should give us increased financial flexibility through early 2018. Taken together, our improved financial footing, coupled with our team’s demonstrated ability to deliver on our strategy, positions the Company to manage through this cyclical downturn,” Mr. Dodson said.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2015 Results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fourth quarter of 2015, the Company generated revenues of $97.3 million and Adjusted EBITDA of $22.1 million. Net loss was $10.6 million, or a loss of $0.10 per share, which included $1.9 million in pre-tax charges, or $0.01 per share after-tax, related to costs incurred in connection with the migration to Canada. Excluding these charges, adjusted net loss was $9.4 million, or a loss of $0.09 per share.</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(EBITDA is a non-GAAP financial measure that is defined as net income plus interest, taxes, depreciation and amortization, and Adjusted EBITDA is defined as EBITDA adjusted to exclude impairment charges and certain other costs such as those directly associated with the 2014 spin-off from Oil States International and the migration to Canada. Please see a reconciliation to GAAP measures at the end of this news release.)</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By comparison, in the fourth quarter of 2014, the Company generated revenues of $219.7 million and Adjusted EBITDA of $77.7 million. Net loss for the 2014 fourth quarter was $271.6 million, or $2.54 per share, which included $282.3 million in pre-tax charges, or $2.73 per share after-tax, related to goodwill, fixed asset and intangible assets impairments, transition and migration costs and deferred income taxes. Excluding these charges, the Company generated $18.0 million of adjusted net income, or $0.19 per share.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Revenues and Adjusted EBITDA declined in 2015 as compared to 2014 due to lower occupancy levels resulting from lower customer activity levels in both the Canadian oil sands and Australian mining industries and the unfavorable impact of a stronger U.S. dollar compared to the Canadian and Australian dollars. The Canadian dollar declined by 15% and the Australian dollar declined by 16% compared to the U.S. dollar on a year-over-year basis.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2015 Results</w:t>
      </w:r>
    </w:p>
    <w:p>
      <w:pPr>
        <w:spacing w:after="0" w:line="212"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For the full year 2015, the Company reported revenues of $518.0 million, Adjusted EBITDA of $141.1 million and a net loss of $131.8 million, or a loss of $1.24 per share.</w:t>
      </w:r>
    </w:p>
    <w:p>
      <w:pPr>
        <w:spacing w:after="0" w:line="173"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In 2014, the Company reported revenues of $942.9 million, Adjusted EBITDA of $339.8 million and a net loss of $189.0 million, or a loss of $1.77 per share.</w:t>
      </w:r>
    </w:p>
    <w:p>
      <w:pPr>
        <w:spacing w:after="0" w:line="173"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decline in revenues and Adjusted EBITDA in 2015 as compared to 2014 was largely driven by the weakening of the Canadian and Australian dollars, and lower levels of activity that resulted in decreased occupancy and room rates in both the Canada and Australian segments.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Full year 2015 results included the impact of the following items:</w:t>
      </w:r>
    </w:p>
    <w:p>
      <w:pPr>
        <w:sectPr>
          <w:pgSz w:w="11900" w:h="16838" w:orient="portrait"/>
          <w:cols w:equalWidth="0" w:num="1">
            <w:col w:w="11420"/>
          </w:cols>
          <w:pgMar w:left="240" w:top="112" w:right="239" w:bottom="101" w:gutter="0" w:footer="0" w:header="0"/>
        </w:sectPr>
      </w:pPr>
    </w:p>
    <w:bookmarkStart w:id="5" w:name="page6"/>
    <w:bookmarkEnd w:id="5"/>
    <w:p>
      <w:pPr>
        <w:ind w:left="540" w:right="220"/>
        <w:spacing w:after="0" w:line="239" w:lineRule="auto"/>
        <w:rPr>
          <w:sz w:val="20"/>
          <w:szCs w:val="20"/>
          <w:color w:val="auto"/>
        </w:rPr>
      </w:pPr>
      <w:r>
        <w:rPr>
          <w:rFonts w:ascii="Arial" w:cs="Arial" w:eastAsia="Arial" w:hAnsi="Arial"/>
          <w:sz w:val="22"/>
          <w:szCs w:val="22"/>
          <w:color w:val="auto"/>
        </w:rPr>
        <w:t>A $43.2 million pre-tax loss, or a $0.40 per share after-tax loss, from the impairment of goodwill in our Canadian reporting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60"/>
        <w:spacing w:after="0" w:line="230" w:lineRule="auto"/>
        <w:rPr>
          <w:sz w:val="20"/>
          <w:szCs w:val="20"/>
          <w:color w:val="auto"/>
        </w:rPr>
      </w:pPr>
      <w:r>
        <w:rPr>
          <w:rFonts w:ascii="Arial" w:cs="Arial" w:eastAsia="Arial" w:hAnsi="Arial"/>
          <w:sz w:val="22"/>
          <w:szCs w:val="22"/>
          <w:color w:val="auto"/>
        </w:rPr>
        <w:t>an $80.7 million pre-tax loss, or $0.52 per share after-tax loss, from the impairment of fixed assets and intangible assets; a $7.0 million pre-tax loss, or a $0.05 per share after-tax loss, from costs incurred in connection with the migration to Canada;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 $1.5 million pre-tax loss, or $0.01 per share after-tax loss, from the write-off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Full year 2014 results included the impact of the following items:</w:t>
      </w:r>
    </w:p>
    <w:p>
      <w:pPr>
        <w:spacing w:after="0" w:line="206" w:lineRule="exact"/>
        <w:rPr>
          <w:sz w:val="20"/>
          <w:szCs w:val="20"/>
          <w:color w:val="auto"/>
        </w:rPr>
      </w:pPr>
    </w:p>
    <w:p>
      <w:pPr>
        <w:ind w:left="540" w:right="1180"/>
        <w:spacing w:after="0" w:line="239" w:lineRule="auto"/>
        <w:rPr>
          <w:sz w:val="20"/>
          <w:szCs w:val="20"/>
          <w:color w:val="auto"/>
        </w:rPr>
      </w:pPr>
      <w:r>
        <w:rPr>
          <w:rFonts w:ascii="Arial" w:cs="Arial" w:eastAsia="Arial" w:hAnsi="Arial"/>
          <w:sz w:val="22"/>
          <w:szCs w:val="22"/>
          <w:color w:val="auto"/>
        </w:rPr>
        <w:t>a $290.5 million pre-tax charge, or $2.45 per share after-tax loss, from goodwill, fixed asset and intangible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30" w:lineRule="auto"/>
        <w:rPr>
          <w:sz w:val="20"/>
          <w:szCs w:val="20"/>
          <w:color w:val="auto"/>
        </w:rPr>
      </w:pPr>
      <w:r>
        <w:rPr>
          <w:rFonts w:ascii="Arial" w:cs="Arial" w:eastAsia="Arial" w:hAnsi="Arial"/>
          <w:sz w:val="22"/>
          <w:szCs w:val="22"/>
          <w:color w:val="auto"/>
        </w:rPr>
        <w:t>a $34.9 million after-tax loss, or $0.33 per share after-tax loss, from the establishment of a deferred tax liability related to a portion of the Company's undistributed foreign earnings, which Civeo no longer expects to indefinitely reinvest and a valuation allowance against certain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60"/>
        <w:spacing w:after="0" w:line="230" w:lineRule="auto"/>
        <w:rPr>
          <w:sz w:val="20"/>
          <w:szCs w:val="20"/>
          <w:color w:val="auto"/>
        </w:rPr>
      </w:pPr>
      <w:r>
        <w:rPr>
          <w:rFonts w:ascii="Arial" w:cs="Arial" w:eastAsia="Arial" w:hAnsi="Arial"/>
          <w:sz w:val="22"/>
          <w:szCs w:val="22"/>
          <w:color w:val="auto"/>
        </w:rPr>
        <w:t>a $7.8 million pre-tax expense, or $0.05 per share after-tax loss, related to transition costs and debt extinguishment costs incurred in connection with the spin-off from Oil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30" w:lineRule="auto"/>
        <w:rPr>
          <w:sz w:val="20"/>
          <w:szCs w:val="20"/>
          <w:color w:val="auto"/>
        </w:rPr>
      </w:pPr>
      <w:r>
        <w:rPr>
          <w:rFonts w:ascii="Arial" w:cs="Arial" w:eastAsia="Arial" w:hAnsi="Arial"/>
          <w:sz w:val="22"/>
          <w:szCs w:val="22"/>
          <w:color w:val="auto"/>
        </w:rPr>
        <w:t>a $4.1 million pre-tax expense, or $0.03 per share after-tax loss, from severance costs associated with the termination of an executive;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40"/>
        <w:spacing w:after="0" w:line="237" w:lineRule="auto"/>
        <w:rPr>
          <w:sz w:val="20"/>
          <w:szCs w:val="20"/>
          <w:color w:val="auto"/>
        </w:rPr>
      </w:pPr>
      <w:r>
        <w:rPr>
          <w:rFonts w:ascii="Arial" w:cs="Arial" w:eastAsia="Arial" w:hAnsi="Arial"/>
          <w:sz w:val="22"/>
          <w:szCs w:val="22"/>
          <w:color w:val="auto"/>
        </w:rPr>
        <w:t>a $2.6 million pre-tax expense, or $0.02 per share after-tax loss, from costs associated with the proposed migration 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(Unless otherwise noted, the following discussion compares the quarterly results for the fourth quarter of 2015 to the results for the fourth quarter of 2014. The results discussed below exclude the goodwill and fixed asset impairment and migration related expenses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Canada</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Canadian segment generated revenues of $65.8 million and Adjusted EBITDA of $13.6 million in the fourth quarter of 2015 compared to revenues of $150.5 million and Adjusted EBITDA of $56.4 million in the fourth quarter of 2014. Results were negatively impacted by a weaker Canadian dollar relative to the U.S. dollar, which reduced revenues by $11.5 million and Adjusted EBITDA by $2.3 million. Excluding the year-over-year impact of exchange rates, revenues would have decreased $73.2 million and Adjusted EBITDA would have decreased by $40.5 million. On a constant currency basis, revenues decreased due to reduced occupancy at lodges as well as lower contract camp revenue due to large pipeline projects conducted in 2014 that did not recur in 2015. These items were partially offset by the ramping up of the Company’s Mariana Lake Lodge in the third quarter of 2015 and the Sitka Lodge in the fourth quarter of 2015.</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Australia</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Australian segment generated revenues of $26.7 million and Adjusted EBITDA of $13.7 million in the fourth quarter of 2015, compared to revenues of $49.4 million and Adjusted EBITDA of $25.0 million in the fourth quarter of 2014. Results for the fourth quarter 2015 included a $3.7 million gain in foreign currency translation. Results were negatively impacted by a weaker Australian dollar relative to the U.S. dollar, which reduced revenues by $5.0 million and Adjusted EBITDA by $2.5 million. Excluding the year-over-year impact of exchange rates, revenues would have decreased $17.7 million and Adjusted EBITDA would have decreased by $8.8 million. On a constant currency basis, the revenue and Adjusted EBITDA declines were primarily due to lower occupancy resulting from reduced customer commitments and lower overall customer activity and spending, primarily in the Bowen Basin.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w:t>
      </w:r>
    </w:p>
    <w:p>
      <w:pPr>
        <w:spacing w:after="0" w:line="206"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The U.S. segment generated revenues of $4.8 million and negative Adjusted EBITDA of $2.0 million in the fourth quarter of 2015, compared to revenues of $19.8 million and Adjusted EBITDA of $2.1 million in the fourth quarter of 2014. Results reflect lower U.S. drilling activity in the Bakken, Rockies and Texas markets, increased competition and lower pricing.</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 recognized an income tax benefit of $5.6 million, which resulted in an effective tax rate of 35% in the fourth quarter of 2015. During the fourth quarter 2014, the Company recognized income tax expense of $15.0 million, which resulted in a negative effective tax rate of 5.8%, primarily due to the effect of non-deductible goodwill impairment charges, an $8.8 million valuation allowance against certain deferred tax assets, and the establishment of a $25.3 million deferred tax liability related to a portion of previously undistributed foreign earnings, which the Company no longer expects to indefinitely reinvest due to the expected required reduction in its outstanding indebtedness discussed below.</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ectPr>
          <w:pgSz w:w="11900" w:h="16838" w:orient="portrait"/>
          <w:cols w:equalWidth="0" w:num="1">
            <w:col w:w="11420"/>
          </w:cols>
          <w:pgMar w:left="240" w:top="118" w:right="239" w:bottom="215" w:gutter="0" w:footer="0" w:header="0"/>
        </w:sectPr>
      </w:pPr>
    </w:p>
    <w:bookmarkStart w:id="6" w:name="page7"/>
    <w:bookmarkEnd w:id="6"/>
    <w:p>
      <w:pPr>
        <w:jc w:val="both"/>
        <w:spacing w:after="0" w:line="251" w:lineRule="auto"/>
        <w:rPr>
          <w:sz w:val="20"/>
          <w:szCs w:val="20"/>
          <w:color w:val="auto"/>
        </w:rPr>
      </w:pPr>
      <w:r>
        <w:rPr>
          <w:rFonts w:ascii="Arial" w:cs="Arial" w:eastAsia="Arial" w:hAnsi="Arial"/>
          <w:sz w:val="22"/>
          <w:szCs w:val="22"/>
          <w:color w:val="auto"/>
        </w:rPr>
        <w:t>As of December 31, 2015, the Company had total liquidity of approximately $204.1 million, comprising $196.3 million available under its credit facilities and $7.8 million of cash on hand.</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During 2015, the Company reduced total debt outstanding by 48% to $401.6 million at December 31, 2015, down from $775 million at December 31, 2014.</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Subsequent to year end, on February 18, 2016, Civeo completed an amendment to its revolving bank credit facility that gives the Company additional flexibility to manage through the current cyclical downturn in oil and mining activity. Under the amended credit facility, Civeo’s leverage ratio (Adjusted EBITDA/debt) may reach a maximum of 5.5x in the third and fourth quarters of 2016 before decreasing by 25 basis points every six months thereafter to 4.75x by the first quarter of 2018.</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amendment establishes interest rates for leverage ratios: (1) between 4.75 times and less than 5.0 times and (2) above 5.0 times that are 50 and 100 basis points, respectively, higher than the previously highest rate. In conjunction with this amendment, Civeo repaid $25 million of its U.S. Term Loan and reduced its Canadian revolver by $25 million, thereby reducing total borrowing capacity going forward to $700 million from $750 million. (Additional information on the terms of the amendment can be found in a separate Form 8-K also filed today.)</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invested $18.7 million in capital expenditures during the fourth quarter of 2015, primarily for routine capital maintenance and completion of the Sitka Lodge. For the full year 2015, Civeo’s capital expenditures totaled $62.5 million, compared with $251.2 million in 2014.</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and Full Year 2016 Guidance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first quarter of 2016, the Company expects revenues of $90 million to $95 million and EBITDA of $16 million to $19 million. For the full year of 2016, the Company expects revenues of $385 million to $415 million and EBITDA of $72 million to $82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NYSE Listing Requirements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average closing price of the Company’s common shares over a recent period of 30 consecutive trading days has fallen below $1.00 per share, which is the minimum average closing price per share required to maintain listing on the NYSE. The Company expects to receive a delisting notice from the NYSE with respect to its noncompliance with the listing standards. Under the NYSE rules, a company generally has a period of six months following the receipt of the notice to regain compliance. The Company’s board of directors intends to propose a reverse share split at its 2016 annual shareholders’ meeting to cure the noncompliance. The Company will issue a subsequent press release and file a Form 8-K upon receipt of the notice, as required by applicable SEC and NYSE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Civeo will host a conference call to discuss its fourth quarter 2015 financial results today at 11:00 a.m. Eastern time. This call is being webcast and can be accessed at Civeo’s website at www.civeo.com. Participants may also join the conference call by dialing</w:t>
      </w:r>
    </w:p>
    <w:p>
      <w:pPr>
        <w:spacing w:after="0" w:line="2" w:lineRule="exact"/>
        <w:rPr>
          <w:sz w:val="20"/>
          <w:szCs w:val="20"/>
          <w:color w:val="auto"/>
        </w:rPr>
      </w:pPr>
    </w:p>
    <w:p>
      <w:pPr>
        <w:ind w:firstLine="8"/>
        <w:spacing w:after="0" w:line="308" w:lineRule="auto"/>
        <w:tabs>
          <w:tab w:leader="none" w:pos="523" w:val="left"/>
        </w:tabs>
        <w:numPr>
          <w:ilvl w:val="0"/>
          <w:numId w:val="2"/>
        </w:numPr>
        <w:rPr>
          <w:rFonts w:ascii="Arial" w:cs="Arial" w:eastAsia="Arial" w:hAnsi="Arial"/>
          <w:sz w:val="19"/>
          <w:szCs w:val="19"/>
          <w:color w:val="auto"/>
        </w:rPr>
      </w:pPr>
      <w:r>
        <w:rPr>
          <w:rFonts w:ascii="Arial" w:cs="Arial" w:eastAsia="Arial" w:hAnsi="Arial"/>
          <w:sz w:val="19"/>
          <w:szCs w:val="19"/>
          <w:color w:val="auto"/>
        </w:rPr>
        <w:t>407-0672 in the United States or (412) 902-0003 internationally and asking for the Civeo call. A replay will be available after the call by dialing (877) 660-6853 in the United States or (201) 612-7415 internationally and entering the passcode 13630017#.</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Civeo</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Company’s migration to Canada, including, among other things, risks associated with changes in tax laws or their interpretations, the ability to realize the anticipated benefits thereof, the impact thereof on the Company’s relationships, including with employees, customers, competitors and investors, risks related to our ability to meet the continued listing standards of the NYSE and other factors discussed in the “Business” and “Risk Factors” sections of the Company’s annual report on Form 10-K for the year ended December 31, 2014, and other reports the Company may file from time to time with the U.S. Securities and Exchange Commission. Each forward-looking statement contained in this news release speaks only as of the date of this release.</w:t>
      </w:r>
    </w:p>
    <w:p>
      <w:pPr>
        <w:sectPr>
          <w:pgSz w:w="11900" w:h="16838" w:orient="portrait"/>
          <w:cols w:equalWidth="0" w:num="1">
            <w:col w:w="11420"/>
          </w:cols>
          <w:pgMar w:left="240" w:top="118" w:right="239" w:bottom="0" w:gutter="0" w:footer="0" w:header="0"/>
        </w:sectPr>
      </w:pPr>
    </w:p>
    <w:bookmarkStart w:id="7" w:name="page8"/>
    <w:bookmarkEnd w:id="7"/>
    <w:p>
      <w:pPr>
        <w:spacing w:after="0" w:line="5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Except as required by law, the Company expressly disclaims any intention or obligation to revise or update any forward-looking statements whether as a result of new information, future events or otherwise.</w:t>
      </w:r>
    </w:p>
    <w:p>
      <w:pPr>
        <w:spacing w:after="0" w:line="174" w:lineRule="exact"/>
        <w:rPr>
          <w:sz w:val="20"/>
          <w:szCs w:val="20"/>
          <w:color w:val="auto"/>
        </w:rPr>
      </w:pPr>
    </w:p>
    <w:p>
      <w:pPr>
        <w:ind w:left="4200"/>
        <w:spacing w:after="0"/>
        <w:tabs>
          <w:tab w:leader="none" w:pos="4800" w:val="left"/>
          <w:tab w:leader="none" w:pos="74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Financial Schedules Follow</w:t>
        <w:tab/>
        <w:t>-</w:t>
      </w: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60" w:type="dxa"/>
            <w:vAlign w:val="bottom"/>
          </w:tcPr>
          <w:p>
            <w:pPr>
              <w:spacing w:after="0"/>
              <w:rPr>
                <w:sz w:val="21"/>
                <w:szCs w:val="21"/>
                <w:color w:val="auto"/>
              </w:rPr>
            </w:pPr>
          </w:p>
        </w:tc>
        <w:tc>
          <w:tcPr>
            <w:tcW w:w="2780" w:type="dxa"/>
            <w:vAlign w:val="bottom"/>
            <w:gridSpan w:val="6"/>
          </w:tcPr>
          <w:p>
            <w:pPr>
              <w:jc w:val="center"/>
              <w:ind w:right="80"/>
              <w:spacing w:after="0"/>
              <w:rPr>
                <w:sz w:val="20"/>
                <w:szCs w:val="20"/>
                <w:color w:val="auto"/>
              </w:rPr>
            </w:pPr>
            <w:r>
              <w:rPr>
                <w:rFonts w:ascii="Arial" w:cs="Arial" w:eastAsia="Arial" w:hAnsi="Arial"/>
                <w:sz w:val="22"/>
                <w:szCs w:val="22"/>
                <w:b w:val="1"/>
                <w:bCs w:val="1"/>
                <w:color w:val="auto"/>
                <w:w w:val="99"/>
              </w:rPr>
              <w:t>THREE MONTHS ENDED</w:t>
            </w:r>
          </w:p>
        </w:tc>
        <w:tc>
          <w:tcPr>
            <w:tcW w:w="2980" w:type="dxa"/>
            <w:vAlign w:val="bottom"/>
            <w:gridSpan w:val="5"/>
          </w:tcPr>
          <w:p>
            <w:pPr>
              <w:jc w:val="right"/>
              <w:spacing w:after="0"/>
              <w:rPr>
                <w:sz w:val="20"/>
                <w:szCs w:val="20"/>
                <w:color w:val="auto"/>
              </w:rPr>
            </w:pPr>
            <w:r>
              <w:rPr>
                <w:rFonts w:ascii="Arial" w:cs="Arial" w:eastAsia="Arial" w:hAnsi="Arial"/>
                <w:sz w:val="22"/>
                <w:szCs w:val="22"/>
                <w:b w:val="1"/>
                <w:bCs w:val="1"/>
                <w:color w:val="auto"/>
              </w:rPr>
              <w:t>TWELVE MONTHS ENDED</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2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97"/>
              </w:rPr>
              <w:t>DECEMBER 31,</w:t>
            </w:r>
          </w:p>
        </w:tc>
        <w:tc>
          <w:tcPr>
            <w:tcW w:w="300" w:type="dxa"/>
            <w:vAlign w:val="bottom"/>
          </w:tcPr>
          <w:p>
            <w:pPr>
              <w:spacing w:after="0"/>
              <w:rPr>
                <w:sz w:val="23"/>
                <w:szCs w:val="23"/>
                <w:color w:val="auto"/>
              </w:rPr>
            </w:pPr>
          </w:p>
        </w:tc>
        <w:tc>
          <w:tcPr>
            <w:tcW w:w="2680" w:type="dxa"/>
            <w:vAlign w:val="bottom"/>
            <w:gridSpan w:val="4"/>
          </w:tcPr>
          <w:p>
            <w:pPr>
              <w:jc w:val="right"/>
              <w:ind w:right="59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82"/>
        </w:trPr>
        <w:tc>
          <w:tcPr>
            <w:tcW w:w="5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2015</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w w:val="89"/>
              </w:rPr>
              <w:t>2014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2014</w:t>
            </w:r>
          </w:p>
        </w:tc>
        <w:tc>
          <w:tcPr>
            <w:tcW w:w="0" w:type="dxa"/>
            <w:vAlign w:val="bottom"/>
          </w:tcPr>
          <w:p>
            <w:pPr>
              <w:spacing w:after="0"/>
              <w:rPr>
                <w:sz w:val="1"/>
                <w:szCs w:val="1"/>
                <w:color w:val="auto"/>
              </w:rPr>
            </w:pPr>
          </w:p>
        </w:tc>
      </w:tr>
      <w:tr>
        <w:trPr>
          <w:trHeight w:val="532"/>
        </w:trPr>
        <w:tc>
          <w:tcPr>
            <w:tcW w:w="5560" w:type="dxa"/>
            <w:vAlign w:val="bottom"/>
          </w:tcPr>
          <w:p>
            <w:pPr>
              <w:spacing w:after="0"/>
              <w:rPr>
                <w:sz w:val="20"/>
                <w:szCs w:val="20"/>
                <w:color w:val="auto"/>
              </w:rPr>
            </w:pPr>
            <w:r>
              <w:rPr>
                <w:rFonts w:ascii="Arial" w:cs="Arial" w:eastAsia="Arial" w:hAnsi="Arial"/>
                <w:sz w:val="22"/>
                <w:szCs w:val="22"/>
                <w:color w:val="auto"/>
              </w:rPr>
              <w:t>Revenues</w:t>
            </w: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97,285</w:t>
            </w:r>
          </w:p>
        </w:tc>
        <w:tc>
          <w:tcPr>
            <w:tcW w:w="80" w:type="dxa"/>
            <w:vAlign w:val="bottom"/>
          </w:tcPr>
          <w:p>
            <w:pPr>
              <w:spacing w:after="0"/>
              <w:rPr>
                <w:sz w:val="24"/>
                <w:szCs w:val="24"/>
                <w:color w:val="auto"/>
              </w:rPr>
            </w:pPr>
          </w:p>
        </w:tc>
        <w:tc>
          <w:tcPr>
            <w:tcW w:w="460" w:type="dxa"/>
            <w:vAlign w:val="bottom"/>
          </w:tcPr>
          <w:p>
            <w:pPr>
              <w:jc w:val="right"/>
              <w:ind w:right="21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12"/>
              <w:spacing w:after="0"/>
              <w:rPr>
                <w:sz w:val="20"/>
                <w:szCs w:val="20"/>
                <w:color w:val="auto"/>
              </w:rPr>
            </w:pPr>
            <w:r>
              <w:rPr>
                <w:rFonts w:ascii="Arial" w:cs="Arial" w:eastAsia="Arial" w:hAnsi="Arial"/>
                <w:sz w:val="22"/>
                <w:szCs w:val="22"/>
                <w:color w:val="auto"/>
                <w:w w:val="98"/>
              </w:rPr>
              <w:t>219,694</w:t>
            </w:r>
          </w:p>
        </w:tc>
        <w:tc>
          <w:tcPr>
            <w:tcW w:w="8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517,963</w:t>
            </w:r>
          </w:p>
        </w:tc>
        <w:tc>
          <w:tcPr>
            <w:tcW w:w="10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942,891</w:t>
            </w:r>
          </w:p>
        </w:tc>
        <w:tc>
          <w:tcPr>
            <w:tcW w:w="0" w:type="dxa"/>
            <w:vAlign w:val="bottom"/>
          </w:tcPr>
          <w:p>
            <w:pPr>
              <w:spacing w:after="0"/>
              <w:rPr>
                <w:sz w:val="1"/>
                <w:szCs w:val="1"/>
                <w:color w:val="auto"/>
              </w:rPr>
            </w:pPr>
          </w:p>
        </w:tc>
      </w:tr>
      <w:tr>
        <w:trPr>
          <w:trHeight w:val="536"/>
        </w:trPr>
        <w:tc>
          <w:tcPr>
            <w:tcW w:w="5560" w:type="dxa"/>
            <w:vAlign w:val="bottom"/>
          </w:tcPr>
          <w:p>
            <w:pPr>
              <w:spacing w:after="0"/>
              <w:rPr>
                <w:sz w:val="20"/>
                <w:szCs w:val="20"/>
                <w:color w:val="auto"/>
              </w:rPr>
            </w:pPr>
            <w:r>
              <w:rPr>
                <w:rFonts w:ascii="Arial" w:cs="Arial" w:eastAsia="Arial" w:hAnsi="Arial"/>
                <w:sz w:val="22"/>
                <w:szCs w:val="22"/>
                <w:color w:val="auto"/>
              </w:rPr>
              <w:t>Costs and expenses: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100"/>
              <w:spacing w:after="0"/>
              <w:rPr>
                <w:sz w:val="20"/>
                <w:szCs w:val="20"/>
                <w:color w:val="auto"/>
              </w:rPr>
            </w:pPr>
            <w:r>
              <w:rPr>
                <w:rFonts w:ascii="Arial" w:cs="Arial" w:eastAsia="Arial" w:hAnsi="Arial"/>
                <w:sz w:val="22"/>
                <w:szCs w:val="22"/>
                <w:color w:val="auto"/>
              </w:rPr>
              <w:t>Cost of sales and services</w:t>
            </w: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65,527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w w:val="98"/>
              </w:rPr>
              <w:t>131,005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327,613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544,921</w:t>
            </w:r>
          </w:p>
        </w:tc>
        <w:tc>
          <w:tcPr>
            <w:tcW w:w="0" w:type="dxa"/>
            <w:vAlign w:val="bottom"/>
          </w:tcPr>
          <w:p>
            <w:pPr>
              <w:spacing w:after="0"/>
              <w:rPr>
                <w:sz w:val="1"/>
                <w:szCs w:val="1"/>
                <w:color w:val="auto"/>
              </w:rPr>
            </w:pPr>
          </w:p>
        </w:tc>
      </w:tr>
      <w:tr>
        <w:trPr>
          <w:trHeight w:val="270"/>
        </w:trPr>
        <w:tc>
          <w:tcPr>
            <w:tcW w:w="5560" w:type="dxa"/>
            <w:vAlign w:val="bottom"/>
          </w:tcPr>
          <w:p>
            <w:pPr>
              <w:ind w:left="100"/>
              <w:spacing w:after="0"/>
              <w:rPr>
                <w:sz w:val="20"/>
                <w:szCs w:val="20"/>
                <w:color w:val="auto"/>
              </w:rPr>
            </w:pPr>
            <w:r>
              <w:rPr>
                <w:rFonts w:ascii="Arial" w:cs="Arial" w:eastAsia="Arial" w:hAnsi="Arial"/>
                <w:sz w:val="22"/>
                <w:szCs w:val="22"/>
                <w:color w:val="auto"/>
              </w:rPr>
              <w:t>Selling, general and administrative expenses</w:t>
            </w: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16,645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19,276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68,441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70,345</w:t>
            </w:r>
          </w:p>
        </w:tc>
        <w:tc>
          <w:tcPr>
            <w:tcW w:w="0" w:type="dxa"/>
            <w:vAlign w:val="bottom"/>
          </w:tcPr>
          <w:p>
            <w:pPr>
              <w:spacing w:after="0"/>
              <w:rPr>
                <w:sz w:val="1"/>
                <w:szCs w:val="1"/>
                <w:color w:val="auto"/>
              </w:rPr>
            </w:pPr>
          </w:p>
        </w:tc>
      </w:tr>
      <w:tr>
        <w:trPr>
          <w:trHeight w:val="270"/>
        </w:trPr>
        <w:tc>
          <w:tcPr>
            <w:tcW w:w="5560" w:type="dxa"/>
            <w:vAlign w:val="bottom"/>
          </w:tcPr>
          <w:p>
            <w:pPr>
              <w:ind w:left="100"/>
              <w:spacing w:after="0"/>
              <w:rPr>
                <w:sz w:val="20"/>
                <w:szCs w:val="20"/>
                <w:color w:val="auto"/>
              </w:rPr>
            </w:pPr>
            <w:r>
              <w:rPr>
                <w:rFonts w:ascii="Arial" w:cs="Arial" w:eastAsia="Arial" w:hAnsi="Arial"/>
                <w:sz w:val="22"/>
                <w:szCs w:val="22"/>
                <w:color w:val="auto"/>
              </w:rPr>
              <w:t>Spin-off and formation costs</w:t>
            </w:r>
          </w:p>
        </w:tc>
        <w:tc>
          <w:tcPr>
            <w:tcW w:w="26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853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4,350</w:t>
            </w:r>
          </w:p>
        </w:tc>
        <w:tc>
          <w:tcPr>
            <w:tcW w:w="0" w:type="dxa"/>
            <w:vAlign w:val="bottom"/>
          </w:tcPr>
          <w:p>
            <w:pPr>
              <w:spacing w:after="0"/>
              <w:rPr>
                <w:sz w:val="1"/>
                <w:szCs w:val="1"/>
                <w:color w:val="auto"/>
              </w:rPr>
            </w:pPr>
          </w:p>
        </w:tc>
      </w:tr>
      <w:tr>
        <w:trPr>
          <w:trHeight w:val="270"/>
        </w:trPr>
        <w:tc>
          <w:tcPr>
            <w:tcW w:w="5560" w:type="dxa"/>
            <w:vAlign w:val="bottom"/>
          </w:tcPr>
          <w:p>
            <w:pPr>
              <w:ind w:left="100"/>
              <w:spacing w:after="0"/>
              <w:rPr>
                <w:sz w:val="20"/>
                <w:szCs w:val="20"/>
                <w:color w:val="auto"/>
              </w:rPr>
            </w:pPr>
            <w:r>
              <w:rPr>
                <w:rFonts w:ascii="Arial" w:cs="Arial" w:eastAsia="Arial" w:hAnsi="Arial"/>
                <w:sz w:val="22"/>
                <w:szCs w:val="22"/>
                <w:color w:val="auto"/>
              </w:rPr>
              <w:t>Depreciation and amortization expense</w:t>
            </w: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31,831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47,200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152,990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174,970</w:t>
            </w:r>
          </w:p>
        </w:tc>
        <w:tc>
          <w:tcPr>
            <w:tcW w:w="0" w:type="dxa"/>
            <w:vAlign w:val="bottom"/>
          </w:tcPr>
          <w:p>
            <w:pPr>
              <w:spacing w:after="0"/>
              <w:rPr>
                <w:sz w:val="1"/>
                <w:szCs w:val="1"/>
                <w:color w:val="auto"/>
              </w:rPr>
            </w:pPr>
          </w:p>
        </w:tc>
      </w:tr>
      <w:tr>
        <w:trPr>
          <w:trHeight w:val="270"/>
        </w:trPr>
        <w:tc>
          <w:tcPr>
            <w:tcW w:w="5560" w:type="dxa"/>
            <w:vAlign w:val="bottom"/>
          </w:tcPr>
          <w:p>
            <w:pPr>
              <w:ind w:left="100"/>
              <w:spacing w:after="0"/>
              <w:rPr>
                <w:sz w:val="20"/>
                <w:szCs w:val="20"/>
                <w:color w:val="auto"/>
              </w:rPr>
            </w:pPr>
            <w:r>
              <w:rPr>
                <w:rFonts w:ascii="Arial" w:cs="Arial" w:eastAsia="Arial" w:hAnsi="Arial"/>
                <w:sz w:val="22"/>
                <w:szCs w:val="22"/>
                <w:color w:val="auto"/>
              </w:rPr>
              <w:t>Impairment expense</w:t>
            </w:r>
          </w:p>
        </w:tc>
        <w:tc>
          <w:tcPr>
            <w:tcW w:w="26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w w:val="98"/>
              </w:rPr>
              <w:t>278,898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122,926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290,508</w:t>
            </w:r>
          </w:p>
        </w:tc>
        <w:tc>
          <w:tcPr>
            <w:tcW w:w="0" w:type="dxa"/>
            <w:vAlign w:val="bottom"/>
          </w:tcPr>
          <w:p>
            <w:pPr>
              <w:spacing w:after="0"/>
              <w:rPr>
                <w:sz w:val="1"/>
                <w:szCs w:val="1"/>
                <w:color w:val="auto"/>
              </w:rPr>
            </w:pPr>
          </w:p>
        </w:tc>
      </w:tr>
      <w:tr>
        <w:trPr>
          <w:trHeight w:val="276"/>
        </w:trPr>
        <w:tc>
          <w:tcPr>
            <w:tcW w:w="5560" w:type="dxa"/>
            <w:vAlign w:val="bottom"/>
          </w:tcPr>
          <w:p>
            <w:pPr>
              <w:ind w:left="100"/>
              <w:spacing w:after="0"/>
              <w:rPr>
                <w:sz w:val="20"/>
                <w:szCs w:val="20"/>
                <w:color w:val="auto"/>
              </w:rPr>
            </w:pPr>
            <w:r>
              <w:rPr>
                <w:rFonts w:ascii="Arial" w:cs="Arial" w:eastAsia="Arial" w:hAnsi="Arial"/>
                <w:sz w:val="22"/>
                <w:szCs w:val="22"/>
                <w:color w:val="auto"/>
              </w:rPr>
              <w:t>Other operating income (expense)</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(3,816)</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436</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(9,004)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688</w:t>
            </w:r>
          </w:p>
        </w:tc>
        <w:tc>
          <w:tcPr>
            <w:tcW w:w="0" w:type="dxa"/>
            <w:vAlign w:val="bottom"/>
          </w:tcPr>
          <w:p>
            <w:pPr>
              <w:spacing w:after="0"/>
              <w:rPr>
                <w:sz w:val="1"/>
                <w:szCs w:val="1"/>
                <w:color w:val="auto"/>
              </w:rPr>
            </w:pPr>
          </w:p>
        </w:tc>
      </w:tr>
      <w:tr>
        <w:trPr>
          <w:trHeight w:val="265"/>
        </w:trPr>
        <w:tc>
          <w:tcPr>
            <w:tcW w:w="556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110,187</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8"/>
              </w:rPr>
              <w:t>477,668</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662,966</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1,085,782</w:t>
            </w:r>
          </w:p>
        </w:tc>
        <w:tc>
          <w:tcPr>
            <w:tcW w:w="0" w:type="dxa"/>
            <w:vAlign w:val="bottom"/>
          </w:tcPr>
          <w:p>
            <w:pPr>
              <w:spacing w:after="0"/>
              <w:rPr>
                <w:sz w:val="1"/>
                <w:szCs w:val="1"/>
                <w:color w:val="auto"/>
              </w:rPr>
            </w:pPr>
          </w:p>
        </w:tc>
      </w:tr>
      <w:tr>
        <w:trPr>
          <w:trHeight w:val="268"/>
        </w:trPr>
        <w:tc>
          <w:tcPr>
            <w:tcW w:w="556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(12,902)</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w w:val="91"/>
              </w:rPr>
              <w:t>(257,974)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(145,003)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(142,891)</w:t>
            </w:r>
          </w:p>
        </w:tc>
        <w:tc>
          <w:tcPr>
            <w:tcW w:w="0" w:type="dxa"/>
            <w:vAlign w:val="bottom"/>
          </w:tcPr>
          <w:p>
            <w:pPr>
              <w:spacing w:after="0"/>
              <w:rPr>
                <w:sz w:val="1"/>
                <w:szCs w:val="1"/>
                <w:color w:val="auto"/>
              </w:rPr>
            </w:pPr>
          </w:p>
        </w:tc>
      </w:tr>
      <w:tr>
        <w:trPr>
          <w:trHeight w:val="528"/>
        </w:trPr>
        <w:tc>
          <w:tcPr>
            <w:tcW w:w="5560" w:type="dxa"/>
            <w:vAlign w:val="bottom"/>
          </w:tcPr>
          <w:p>
            <w:pPr>
              <w:spacing w:after="0"/>
              <w:rPr>
                <w:sz w:val="20"/>
                <w:szCs w:val="20"/>
                <w:color w:val="auto"/>
              </w:rPr>
            </w:pPr>
            <w:r>
              <w:rPr>
                <w:rFonts w:ascii="Arial" w:cs="Arial" w:eastAsia="Arial" w:hAnsi="Arial"/>
                <w:sz w:val="22"/>
                <w:szCs w:val="22"/>
                <w:color w:val="auto"/>
              </w:rPr>
              <w:t>Interest expense to affiliates</w:t>
            </w:r>
          </w:p>
        </w:tc>
        <w:tc>
          <w:tcPr>
            <w:tcW w:w="26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(6,980)</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22"/>
                <w:szCs w:val="22"/>
                <w:color w:val="auto"/>
                <w:w w:val="98"/>
              </w:rPr>
              <w:t>Interest expense to third-parties, net of capitalized interest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(4,706)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(5,951)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(22,585)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(14,396)</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6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(1,474)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(3,455)</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22"/>
                <w:szCs w:val="22"/>
                <w:color w:val="auto"/>
              </w:rPr>
              <w:t>Interest income</w:t>
            </w: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64</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1,074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2,033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3,915</w:t>
            </w:r>
          </w:p>
        </w:tc>
        <w:tc>
          <w:tcPr>
            <w:tcW w:w="0" w:type="dxa"/>
            <w:vAlign w:val="bottom"/>
          </w:tcPr>
          <w:p>
            <w:pPr>
              <w:spacing w:after="0"/>
              <w:rPr>
                <w:sz w:val="1"/>
                <w:szCs w:val="1"/>
                <w:color w:val="auto"/>
              </w:rPr>
            </w:pPr>
          </w:p>
        </w:tc>
      </w:tr>
      <w:tr>
        <w:trPr>
          <w:trHeight w:val="275"/>
        </w:trPr>
        <w:tc>
          <w:tcPr>
            <w:tcW w:w="5560" w:type="dxa"/>
            <w:vAlign w:val="bottom"/>
          </w:tcPr>
          <w:p>
            <w:pPr>
              <w:spacing w:after="0"/>
              <w:rPr>
                <w:sz w:val="20"/>
                <w:szCs w:val="20"/>
                <w:color w:val="auto"/>
              </w:rPr>
            </w:pPr>
            <w:r>
              <w:rPr>
                <w:rFonts w:ascii="Arial" w:cs="Arial" w:eastAsia="Arial" w:hAnsi="Arial"/>
                <w:sz w:val="22"/>
                <w:szCs w:val="22"/>
                <w:color w:val="auto"/>
              </w:rPr>
              <w:t>Other income</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1,451</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6,513</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3,276</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7,524</w:t>
            </w:r>
          </w:p>
        </w:tc>
        <w:tc>
          <w:tcPr>
            <w:tcW w:w="0" w:type="dxa"/>
            <w:vAlign w:val="bottom"/>
          </w:tcPr>
          <w:p>
            <w:pPr>
              <w:spacing w:after="0"/>
              <w:rPr>
                <w:sz w:val="1"/>
                <w:szCs w:val="1"/>
                <w:color w:val="auto"/>
              </w:rPr>
            </w:pPr>
          </w:p>
        </w:tc>
      </w:tr>
      <w:tr>
        <w:trPr>
          <w:trHeight w:val="259"/>
        </w:trPr>
        <w:tc>
          <w:tcPr>
            <w:tcW w:w="5560" w:type="dxa"/>
            <w:vAlign w:val="bottom"/>
          </w:tcPr>
          <w:p>
            <w:pPr>
              <w:ind w:left="100"/>
              <w:spacing w:after="0"/>
              <w:rPr>
                <w:sz w:val="20"/>
                <w:szCs w:val="20"/>
                <w:color w:val="auto"/>
              </w:rPr>
            </w:pPr>
            <w:r>
              <w:rPr>
                <w:rFonts w:ascii="Arial" w:cs="Arial" w:eastAsia="Arial" w:hAnsi="Arial"/>
                <w:sz w:val="22"/>
                <w:szCs w:val="22"/>
                <w:color w:val="auto"/>
              </w:rPr>
              <w:t>Income (loss) before income taxes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(16,093)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w w:val="91"/>
              </w:rPr>
              <w:t>(256,338)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(163,753)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(156,283)</w:t>
            </w:r>
          </w:p>
        </w:tc>
        <w:tc>
          <w:tcPr>
            <w:tcW w:w="0" w:type="dxa"/>
            <w:vAlign w:val="bottom"/>
          </w:tcPr>
          <w:p>
            <w:pPr>
              <w:spacing w:after="0"/>
              <w:rPr>
                <w:sz w:val="1"/>
                <w:szCs w:val="1"/>
                <w:color w:val="auto"/>
              </w:rPr>
            </w:pPr>
          </w:p>
        </w:tc>
      </w:tr>
      <w:tr>
        <w:trPr>
          <w:trHeight w:val="275"/>
        </w:trPr>
        <w:tc>
          <w:tcPr>
            <w:tcW w:w="5560" w:type="dxa"/>
            <w:vAlign w:val="bottom"/>
          </w:tcPr>
          <w:p>
            <w:pPr>
              <w:spacing w:after="0"/>
              <w:rPr>
                <w:sz w:val="20"/>
                <w:szCs w:val="20"/>
                <w:color w:val="auto"/>
              </w:rPr>
            </w:pPr>
            <w:r>
              <w:rPr>
                <w:rFonts w:ascii="Arial" w:cs="Arial" w:eastAsia="Arial" w:hAnsi="Arial"/>
                <w:sz w:val="22"/>
                <w:szCs w:val="22"/>
                <w:color w:val="auto"/>
              </w:rPr>
              <w:t>Income tax benefit (provision)</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5,638</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(14,968)</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33,089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(31,379)</w:t>
            </w:r>
          </w:p>
        </w:tc>
        <w:tc>
          <w:tcPr>
            <w:tcW w:w="0" w:type="dxa"/>
            <w:vAlign w:val="bottom"/>
          </w:tcPr>
          <w:p>
            <w:pPr>
              <w:spacing w:after="0"/>
              <w:rPr>
                <w:sz w:val="1"/>
                <w:szCs w:val="1"/>
                <w:color w:val="auto"/>
              </w:rPr>
            </w:pPr>
          </w:p>
        </w:tc>
      </w:tr>
      <w:tr>
        <w:trPr>
          <w:trHeight w:val="259"/>
        </w:trPr>
        <w:tc>
          <w:tcPr>
            <w:tcW w:w="5560" w:type="dxa"/>
            <w:vAlign w:val="bottom"/>
          </w:tcPr>
          <w:p>
            <w:pPr>
              <w:spacing w:after="0"/>
              <w:rPr>
                <w:sz w:val="20"/>
                <w:szCs w:val="20"/>
                <w:color w:val="auto"/>
              </w:rPr>
            </w:pPr>
            <w:r>
              <w:rPr>
                <w:rFonts w:ascii="Arial" w:cs="Arial" w:eastAsia="Arial" w:hAnsi="Arial"/>
                <w:sz w:val="22"/>
                <w:szCs w:val="22"/>
                <w:color w:val="auto"/>
              </w:rPr>
              <w:t>Net income (loss)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(10,455)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w w:val="91"/>
              </w:rPr>
              <w:t>(271,306)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(130,664)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(187,662)</w:t>
            </w:r>
          </w:p>
        </w:tc>
        <w:tc>
          <w:tcPr>
            <w:tcW w:w="0" w:type="dxa"/>
            <w:vAlign w:val="bottom"/>
          </w:tcPr>
          <w:p>
            <w:pPr>
              <w:spacing w:after="0"/>
              <w:rPr>
                <w:sz w:val="1"/>
                <w:szCs w:val="1"/>
                <w:color w:val="auto"/>
              </w:rPr>
            </w:pPr>
          </w:p>
        </w:tc>
      </w:tr>
      <w:tr>
        <w:trPr>
          <w:trHeight w:val="275"/>
        </w:trPr>
        <w:tc>
          <w:tcPr>
            <w:tcW w:w="5560" w:type="dxa"/>
            <w:vAlign w:val="bottom"/>
          </w:tcPr>
          <w:p>
            <w:pPr>
              <w:ind w:left="100"/>
              <w:spacing w:after="0"/>
              <w:rPr>
                <w:sz w:val="20"/>
                <w:szCs w:val="20"/>
                <w:color w:val="auto"/>
              </w:rPr>
            </w:pPr>
            <w:r>
              <w:rPr>
                <w:rFonts w:ascii="Arial" w:cs="Arial" w:eastAsia="Arial" w:hAnsi="Arial"/>
                <w:sz w:val="22"/>
                <w:szCs w:val="22"/>
                <w:color w:val="auto"/>
              </w:rPr>
              <w:t>Less: Net income attributable to noncontrolling interest</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142</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328</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1,381</w:t>
            </w:r>
          </w:p>
        </w:tc>
        <w:tc>
          <w:tcPr>
            <w:tcW w:w="0" w:type="dxa"/>
            <w:vAlign w:val="bottom"/>
          </w:tcPr>
          <w:p>
            <w:pPr>
              <w:spacing w:after="0"/>
              <w:rPr>
                <w:sz w:val="1"/>
                <w:szCs w:val="1"/>
                <w:color w:val="auto"/>
              </w:rPr>
            </w:pPr>
          </w:p>
        </w:tc>
      </w:tr>
      <w:tr>
        <w:trPr>
          <w:trHeight w:val="267"/>
        </w:trPr>
        <w:tc>
          <w:tcPr>
            <w:tcW w:w="5560" w:type="dxa"/>
            <w:vAlign w:val="bottom"/>
          </w:tcPr>
          <w:p>
            <w:pPr>
              <w:spacing w:after="0"/>
              <w:rPr>
                <w:sz w:val="20"/>
                <w:szCs w:val="20"/>
                <w:color w:val="auto"/>
              </w:rPr>
            </w:pPr>
            <w:r>
              <w:rPr>
                <w:rFonts w:ascii="Arial" w:cs="Arial" w:eastAsia="Arial" w:hAnsi="Arial"/>
                <w:sz w:val="22"/>
                <w:szCs w:val="22"/>
                <w:color w:val="auto"/>
              </w:rPr>
              <w:t>Net income (loss) attributable to Civeo Corporation</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(10,597)</w:t>
            </w:r>
          </w:p>
        </w:tc>
        <w:tc>
          <w:tcPr>
            <w:tcW w:w="80" w:type="dxa"/>
            <w:vAlign w:val="bottom"/>
          </w:tcPr>
          <w:p>
            <w:pPr>
              <w:spacing w:after="0"/>
              <w:rPr>
                <w:sz w:val="23"/>
                <w:szCs w:val="23"/>
                <w:color w:val="auto"/>
              </w:rPr>
            </w:pPr>
          </w:p>
        </w:tc>
        <w:tc>
          <w:tcPr>
            <w:tcW w:w="4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1"/>
              </w:rPr>
              <w:t>(271,634)</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(131,759)</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(189,043)</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7340" w:type="dxa"/>
            <w:vAlign w:val="bottom"/>
            <w:gridSpan w:val="5"/>
          </w:tcPr>
          <w:p>
            <w:pPr>
              <w:spacing w:after="0"/>
              <w:rPr>
                <w:sz w:val="20"/>
                <w:szCs w:val="20"/>
                <w:color w:val="auto"/>
              </w:rPr>
            </w:pPr>
            <w:r>
              <w:rPr>
                <w:rFonts w:ascii="Arial" w:cs="Arial" w:eastAsia="Arial" w:hAnsi="Arial"/>
                <w:sz w:val="22"/>
                <w:szCs w:val="22"/>
                <w:color w:val="auto"/>
                <w:w w:val="89"/>
              </w:rPr>
              <w:t>Net income (loss) per share attributable to Civeo Corporation common stockholders: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100"/>
              <w:spacing w:after="0"/>
              <w:rPr>
                <w:sz w:val="20"/>
                <w:szCs w:val="20"/>
                <w:color w:val="auto"/>
              </w:rPr>
            </w:pPr>
            <w:r>
              <w:rPr>
                <w:rFonts w:ascii="Arial" w:cs="Arial" w:eastAsia="Arial" w:hAnsi="Arial"/>
                <w:sz w:val="22"/>
                <w:szCs w:val="22"/>
                <w:color w:val="auto"/>
              </w:rPr>
              <w:t>Basic</w:t>
            </w: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(0.10)</w:t>
            </w:r>
          </w:p>
        </w:tc>
        <w:tc>
          <w:tcPr>
            <w:tcW w:w="80" w:type="dxa"/>
            <w:vAlign w:val="bottom"/>
          </w:tcPr>
          <w:p>
            <w:pPr>
              <w:spacing w:after="0"/>
              <w:rPr>
                <w:sz w:val="23"/>
                <w:szCs w:val="23"/>
                <w:color w:val="auto"/>
              </w:rPr>
            </w:pPr>
          </w:p>
        </w:tc>
        <w:tc>
          <w:tcPr>
            <w:tcW w:w="460" w:type="dxa"/>
            <w:vAlign w:val="bottom"/>
          </w:tcPr>
          <w:p>
            <w:pPr>
              <w:jc w:val="right"/>
              <w:ind w:right="21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(2.54)</w:t>
            </w:r>
          </w:p>
        </w:tc>
        <w:tc>
          <w:tcPr>
            <w:tcW w:w="8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(1.24)</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(1.77)</w:t>
            </w:r>
          </w:p>
        </w:tc>
        <w:tc>
          <w:tcPr>
            <w:tcW w:w="0" w:type="dxa"/>
            <w:vAlign w:val="bottom"/>
          </w:tcPr>
          <w:p>
            <w:pPr>
              <w:spacing w:after="0"/>
              <w:rPr>
                <w:sz w:val="1"/>
                <w:szCs w:val="1"/>
                <w:color w:val="auto"/>
              </w:rPr>
            </w:pPr>
          </w:p>
        </w:tc>
      </w:tr>
      <w:tr>
        <w:trPr>
          <w:trHeight w:val="275"/>
        </w:trPr>
        <w:tc>
          <w:tcPr>
            <w:tcW w:w="5560" w:type="dxa"/>
            <w:vAlign w:val="bottom"/>
          </w:tcPr>
          <w:p>
            <w:pPr>
              <w:ind w:left="100"/>
              <w:spacing w:after="0"/>
              <w:rPr>
                <w:sz w:val="20"/>
                <w:szCs w:val="20"/>
                <w:color w:val="auto"/>
              </w:rPr>
            </w:pPr>
            <w:r>
              <w:rPr>
                <w:rFonts w:ascii="Arial" w:cs="Arial" w:eastAsia="Arial" w:hAnsi="Arial"/>
                <w:sz w:val="22"/>
                <w:szCs w:val="22"/>
                <w:color w:val="auto"/>
              </w:rPr>
              <w:t>Diluted</w:t>
            </w: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(0.10)</w:t>
            </w:r>
          </w:p>
        </w:tc>
        <w:tc>
          <w:tcPr>
            <w:tcW w:w="80" w:type="dxa"/>
            <w:vAlign w:val="bottom"/>
          </w:tcPr>
          <w:p>
            <w:pPr>
              <w:spacing w:after="0"/>
              <w:rPr>
                <w:sz w:val="23"/>
                <w:szCs w:val="23"/>
                <w:color w:val="auto"/>
              </w:rPr>
            </w:pPr>
          </w:p>
        </w:tc>
        <w:tc>
          <w:tcPr>
            <w:tcW w:w="460" w:type="dxa"/>
            <w:vAlign w:val="bottom"/>
          </w:tcPr>
          <w:p>
            <w:pPr>
              <w:jc w:val="right"/>
              <w:ind w:right="21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(2.54)</w:t>
            </w:r>
          </w:p>
        </w:tc>
        <w:tc>
          <w:tcPr>
            <w:tcW w:w="8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(1.24)</w:t>
            </w:r>
          </w:p>
        </w:tc>
        <w:tc>
          <w:tcPr>
            <w:tcW w:w="10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(1.77)</w:t>
            </w:r>
          </w:p>
        </w:tc>
        <w:tc>
          <w:tcPr>
            <w:tcW w:w="0" w:type="dxa"/>
            <w:vAlign w:val="bottom"/>
          </w:tcPr>
          <w:p>
            <w:pPr>
              <w:spacing w:after="0"/>
              <w:rPr>
                <w:sz w:val="1"/>
                <w:szCs w:val="1"/>
                <w:color w:val="auto"/>
              </w:rPr>
            </w:pPr>
          </w:p>
        </w:tc>
      </w:tr>
      <w:tr>
        <w:trPr>
          <w:trHeight w:val="536"/>
        </w:trPr>
        <w:tc>
          <w:tcPr>
            <w:tcW w:w="5560" w:type="dxa"/>
            <w:vAlign w:val="bottom"/>
          </w:tcPr>
          <w:p>
            <w:pPr>
              <w:spacing w:after="0"/>
              <w:rPr>
                <w:sz w:val="20"/>
                <w:szCs w:val="20"/>
                <w:color w:val="auto"/>
              </w:rPr>
            </w:pPr>
            <w:r>
              <w:rPr>
                <w:rFonts w:ascii="Arial" w:cs="Arial" w:eastAsia="Arial" w:hAnsi="Arial"/>
                <w:sz w:val="22"/>
                <w:szCs w:val="22"/>
                <w:color w:val="auto"/>
                <w:w w:val="91"/>
              </w:rPr>
              <w:t>Weighted average number of common shares outstanding (1):</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100"/>
              <w:spacing w:after="0"/>
              <w:rPr>
                <w:sz w:val="20"/>
                <w:szCs w:val="20"/>
                <w:color w:val="auto"/>
              </w:rPr>
            </w:pPr>
            <w:r>
              <w:rPr>
                <w:rFonts w:ascii="Arial" w:cs="Arial" w:eastAsia="Arial" w:hAnsi="Arial"/>
                <w:sz w:val="22"/>
                <w:szCs w:val="22"/>
                <w:color w:val="auto"/>
              </w:rPr>
              <w:t>Basic</w:t>
            </w: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106,667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w w:val="98"/>
              </w:rPr>
              <w:t>106,322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106,604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106,306</w:t>
            </w:r>
          </w:p>
        </w:tc>
        <w:tc>
          <w:tcPr>
            <w:tcW w:w="0" w:type="dxa"/>
            <w:vAlign w:val="bottom"/>
          </w:tcPr>
          <w:p>
            <w:pPr>
              <w:spacing w:after="0"/>
              <w:rPr>
                <w:sz w:val="1"/>
                <w:szCs w:val="1"/>
                <w:color w:val="auto"/>
              </w:rPr>
            </w:pPr>
          </w:p>
        </w:tc>
      </w:tr>
      <w:tr>
        <w:trPr>
          <w:trHeight w:val="275"/>
        </w:trPr>
        <w:tc>
          <w:tcPr>
            <w:tcW w:w="5560" w:type="dxa"/>
            <w:vAlign w:val="bottom"/>
          </w:tcPr>
          <w:p>
            <w:pPr>
              <w:ind w:left="100"/>
              <w:spacing w:after="0"/>
              <w:rPr>
                <w:sz w:val="20"/>
                <w:szCs w:val="20"/>
                <w:color w:val="auto"/>
              </w:rPr>
            </w:pPr>
            <w:r>
              <w:rPr>
                <w:rFonts w:ascii="Arial" w:cs="Arial" w:eastAsia="Arial" w:hAnsi="Arial"/>
                <w:sz w:val="22"/>
                <w:szCs w:val="22"/>
                <w:color w:val="auto"/>
              </w:rPr>
              <w:t>Diluted</w:t>
            </w: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106,667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w w:val="98"/>
              </w:rPr>
              <w:t>106,322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106,604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106,306</w:t>
            </w:r>
          </w:p>
        </w:tc>
        <w:tc>
          <w:tcPr>
            <w:tcW w:w="0" w:type="dxa"/>
            <w:vAlign w:val="bottom"/>
          </w:tcPr>
          <w:p>
            <w:pPr>
              <w:spacing w:after="0"/>
              <w:rPr>
                <w:sz w:val="1"/>
                <w:szCs w:val="1"/>
                <w:color w:val="auto"/>
              </w:rPr>
            </w:pPr>
          </w:p>
        </w:tc>
      </w:tr>
      <w:tr>
        <w:trPr>
          <w:trHeight w:val="540"/>
        </w:trPr>
        <w:tc>
          <w:tcPr>
            <w:tcW w:w="5560" w:type="dxa"/>
            <w:vAlign w:val="bottom"/>
          </w:tcPr>
          <w:p>
            <w:pPr>
              <w:spacing w:after="0"/>
              <w:rPr>
                <w:sz w:val="20"/>
                <w:szCs w:val="20"/>
                <w:color w:val="auto"/>
              </w:rPr>
            </w:pPr>
            <w:r>
              <w:rPr>
                <w:rFonts w:ascii="Arial" w:cs="Arial" w:eastAsia="Arial" w:hAnsi="Arial"/>
                <w:sz w:val="22"/>
                <w:szCs w:val="22"/>
                <w:color w:val="auto"/>
              </w:rPr>
              <w:t>Dividends per common share</w:t>
            </w: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460" w:type="dxa"/>
            <w:vAlign w:val="bottom"/>
          </w:tcPr>
          <w:p>
            <w:pPr>
              <w:jc w:val="right"/>
              <w:ind w:right="21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0.13</w:t>
            </w:r>
          </w:p>
        </w:tc>
        <w:tc>
          <w:tcPr>
            <w:tcW w:w="8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ind w:right="32"/>
              <w:spacing w:after="0"/>
              <w:rPr>
                <w:sz w:val="20"/>
                <w:szCs w:val="20"/>
                <w:color w:val="auto"/>
              </w:rPr>
            </w:pPr>
            <w:r>
              <w:rPr>
                <w:rFonts w:ascii="Arial" w:cs="Arial" w:eastAsia="Arial" w:hAnsi="Arial"/>
                <w:sz w:val="22"/>
                <w:szCs w:val="22"/>
                <w:color w:val="auto"/>
              </w:rPr>
              <w:t>0.26</w:t>
            </w: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20" w:right="280" w:firstLine="2"/>
        <w:spacing w:after="0" w:line="282" w:lineRule="auto"/>
        <w:tabs>
          <w:tab w:leader="none" w:pos="326" w:val="left"/>
        </w:tabs>
        <w:numPr>
          <w:ilvl w:val="0"/>
          <w:numId w:val="3"/>
        </w:numPr>
        <w:rPr>
          <w:rFonts w:ascii="Arial" w:cs="Arial" w:eastAsia="Arial" w:hAnsi="Arial"/>
          <w:sz w:val="19"/>
          <w:szCs w:val="19"/>
          <w:color w:val="auto"/>
        </w:rPr>
      </w:pPr>
      <w:r>
        <w:rPr>
          <w:rFonts w:ascii="Arial" w:cs="Arial" w:eastAsia="Arial" w:hAnsi="Arial"/>
          <w:sz w:val="19"/>
          <w:szCs w:val="19"/>
          <w:color w:val="auto"/>
        </w:rPr>
        <w:t>On May 30, 2014, 106,538 thousand shares of our common stock were distributed to Oil States stockholders in connection with the spin-off of Civeo Corporation from Oil States (Spin-Off). For comparative purposes, and to provide a more meaningful calculation of weighted-average shares outstanding, we have assumed this amount to be outstanding as of the beginning of each period prior to the separation presented in the calculation of weighted-average shares. In addition, we have assumed the dilutive securities outstanding at May 30, 2014 were also outstanding for each of the periods presented prior to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40"/>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0"/>
          <w:szCs w:val="20"/>
          <w:color w:val="auto"/>
        </w:rPr>
      </w:pPr>
    </w:p>
    <w:p>
      <w:pPr>
        <w:jc w:val="center"/>
        <w:ind w:right="3940"/>
        <w:spacing w:after="0"/>
        <w:rPr>
          <w:sz w:val="20"/>
          <w:szCs w:val="20"/>
          <w:color w:val="auto"/>
        </w:rPr>
      </w:pPr>
      <w:r>
        <w:rPr>
          <w:rFonts w:ascii="Arial" w:cs="Arial" w:eastAsia="Arial" w:hAnsi="Arial"/>
          <w:sz w:val="22"/>
          <w:szCs w:val="22"/>
          <w:b w:val="1"/>
          <w:bCs w:val="1"/>
          <w:color w:val="auto"/>
        </w:rPr>
        <w:t>CONSOLIDATED BALANCE SHEETS</w:t>
      </w:r>
    </w:p>
    <w:p>
      <w:pPr>
        <w:spacing w:after="0" w:line="17" w:lineRule="exact"/>
        <w:rPr>
          <w:sz w:val="20"/>
          <w:szCs w:val="20"/>
          <w:color w:val="auto"/>
        </w:rPr>
      </w:pPr>
    </w:p>
    <w:p>
      <w:pPr>
        <w:jc w:val="center"/>
        <w:ind w:right="3940"/>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jc w:val="center"/>
        <w:ind w:left="280"/>
        <w:spacing w:after="0"/>
        <w:rPr>
          <w:sz w:val="20"/>
          <w:szCs w:val="20"/>
          <w:color w:val="auto"/>
        </w:rPr>
      </w:pPr>
      <w:r>
        <w:rPr>
          <w:rFonts w:ascii="Arial" w:cs="Arial" w:eastAsia="Arial" w:hAnsi="Arial"/>
          <w:sz w:val="22"/>
          <w:szCs w:val="22"/>
          <w:b w:val="1"/>
          <w:bCs w:val="1"/>
          <w:color w:val="auto"/>
        </w:rPr>
        <w:t>DECEMBER 31, DECEMBER 31,</w:t>
      </w:r>
    </w:p>
    <w:p>
      <w:pPr>
        <w:sectPr>
          <w:pgSz w:w="11900" w:h="16893" w:orient="portrait"/>
          <w:cols w:equalWidth="0" w:num="1">
            <w:col w:w="11420"/>
          </w:cols>
          <w:pgMar w:left="240" w:top="118" w:right="239" w:bottom="0" w:gutter="0" w:footer="0" w:header="0"/>
        </w:sectPr>
      </w:pPr>
    </w:p>
    <w:bookmarkStart w:id="8" w:name="page9"/>
    <w:bookmarkEnd w:id="8"/>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2015</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2014</w:t>
            </w:r>
          </w:p>
        </w:tc>
        <w:tc>
          <w:tcPr>
            <w:tcW w:w="0" w:type="dxa"/>
            <w:vAlign w:val="bottom"/>
          </w:tcPr>
          <w:p>
            <w:pPr>
              <w:spacing w:after="0"/>
              <w:rPr>
                <w:sz w:val="1"/>
                <w:szCs w:val="1"/>
                <w:color w:val="auto"/>
              </w:rPr>
            </w:pPr>
          </w:p>
        </w:tc>
      </w:tr>
      <w:tr>
        <w:trPr>
          <w:trHeight w:val="529"/>
        </w:trPr>
        <w:tc>
          <w:tcPr>
            <w:tcW w:w="4180" w:type="dxa"/>
            <w:vAlign w:val="bottom"/>
          </w:tcPr>
          <w:p>
            <w:pPr>
              <w:spacing w:after="0"/>
              <w:rPr>
                <w:sz w:val="20"/>
                <w:szCs w:val="20"/>
                <w:color w:val="auto"/>
              </w:rPr>
            </w:pPr>
            <w:r>
              <w:rPr>
                <w:rFonts w:ascii="Arial" w:cs="Arial" w:eastAsia="Arial" w:hAnsi="Arial"/>
                <w:sz w:val="22"/>
                <w:szCs w:val="22"/>
                <w:color w:val="auto"/>
              </w:rPr>
              <w:t>Current assets: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Cash and cash equivalents</w:t>
            </w: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7,837</w:t>
            </w:r>
          </w:p>
        </w:tc>
        <w:tc>
          <w:tcPr>
            <w:tcW w:w="8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263,314</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Accounts receivable, net</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61,467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160,253</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Inventories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5,631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13,228</w:t>
            </w:r>
          </w:p>
        </w:tc>
        <w:tc>
          <w:tcPr>
            <w:tcW w:w="0" w:type="dxa"/>
            <w:vAlign w:val="bottom"/>
          </w:tcPr>
          <w:p>
            <w:pPr>
              <w:spacing w:after="0"/>
              <w:rPr>
                <w:sz w:val="1"/>
                <w:szCs w:val="1"/>
                <w:color w:val="auto"/>
              </w:rPr>
            </w:pPr>
          </w:p>
        </w:tc>
      </w:tr>
      <w:tr>
        <w:trPr>
          <w:trHeight w:val="275"/>
        </w:trPr>
        <w:tc>
          <w:tcPr>
            <w:tcW w:w="4180" w:type="dxa"/>
            <w:vAlign w:val="bottom"/>
          </w:tcPr>
          <w:p>
            <w:pPr>
              <w:ind w:left="100"/>
              <w:spacing w:after="0"/>
              <w:rPr>
                <w:sz w:val="20"/>
                <w:szCs w:val="20"/>
                <w:color w:val="auto"/>
              </w:rPr>
            </w:pPr>
            <w:r>
              <w:rPr>
                <w:rFonts w:ascii="Arial" w:cs="Arial" w:eastAsia="Arial" w:hAnsi="Arial"/>
                <w:sz w:val="22"/>
                <w:szCs w:val="22"/>
                <w:color w:val="auto"/>
                <w:w w:val="96"/>
              </w:rPr>
              <w:t>Prepaid expenses and other current assets</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16,301</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27,161</w:t>
            </w:r>
          </w:p>
        </w:tc>
        <w:tc>
          <w:tcPr>
            <w:tcW w:w="0" w:type="dxa"/>
            <w:vAlign w:val="bottom"/>
          </w:tcPr>
          <w:p>
            <w:pPr>
              <w:spacing w:after="0"/>
              <w:rPr>
                <w:sz w:val="1"/>
                <w:szCs w:val="1"/>
                <w:color w:val="auto"/>
              </w:rPr>
            </w:pPr>
          </w:p>
        </w:tc>
      </w:tr>
      <w:tr>
        <w:trPr>
          <w:trHeight w:val="272"/>
        </w:trPr>
        <w:tc>
          <w:tcPr>
            <w:tcW w:w="4180" w:type="dxa"/>
            <w:vAlign w:val="bottom"/>
          </w:tcPr>
          <w:p>
            <w:pPr>
              <w:ind w:left="200"/>
              <w:spacing w:after="0"/>
              <w:rPr>
                <w:sz w:val="20"/>
                <w:szCs w:val="20"/>
                <w:color w:val="auto"/>
              </w:rPr>
            </w:pPr>
            <w:r>
              <w:rPr>
                <w:rFonts w:ascii="Arial" w:cs="Arial" w:eastAsia="Arial" w:hAnsi="Arial"/>
                <w:sz w:val="22"/>
                <w:szCs w:val="22"/>
                <w:color w:val="auto"/>
              </w:rPr>
              <w:t>Total current assets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91,236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463,956</w:t>
            </w:r>
          </w:p>
        </w:tc>
        <w:tc>
          <w:tcPr>
            <w:tcW w:w="0" w:type="dxa"/>
            <w:vAlign w:val="bottom"/>
          </w:tcPr>
          <w:p>
            <w:pPr>
              <w:spacing w:after="0"/>
              <w:rPr>
                <w:sz w:val="1"/>
                <w:szCs w:val="1"/>
                <w:color w:val="auto"/>
              </w:rPr>
            </w:pPr>
          </w:p>
        </w:tc>
      </w:tr>
      <w:tr>
        <w:trPr>
          <w:trHeight w:val="528"/>
        </w:trPr>
        <w:tc>
          <w:tcPr>
            <w:tcW w:w="418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3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931,914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1,248,430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22"/>
                <w:szCs w:val="22"/>
                <w:color w:val="auto"/>
              </w:rPr>
              <w:t>Goodwill, net</w:t>
            </w:r>
          </w:p>
        </w:tc>
        <w:tc>
          <w:tcPr>
            <w:tcW w:w="38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45,260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35,309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50,882</w:t>
            </w:r>
          </w:p>
        </w:tc>
        <w:tc>
          <w:tcPr>
            <w:tcW w:w="0" w:type="dxa"/>
            <w:vAlign w:val="bottom"/>
          </w:tcPr>
          <w:p>
            <w:pPr>
              <w:spacing w:after="0"/>
              <w:rPr>
                <w:sz w:val="1"/>
                <w:szCs w:val="1"/>
                <w:color w:val="auto"/>
              </w:rPr>
            </w:pPr>
          </w:p>
        </w:tc>
      </w:tr>
      <w:tr>
        <w:trPr>
          <w:trHeight w:val="276"/>
        </w:trPr>
        <w:tc>
          <w:tcPr>
            <w:tcW w:w="418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12,753</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20,633</w:t>
            </w:r>
          </w:p>
        </w:tc>
        <w:tc>
          <w:tcPr>
            <w:tcW w:w="0" w:type="dxa"/>
            <w:vAlign w:val="bottom"/>
          </w:tcPr>
          <w:p>
            <w:pPr>
              <w:spacing w:after="0"/>
              <w:rPr>
                <w:sz w:val="1"/>
                <w:szCs w:val="1"/>
                <w:color w:val="auto"/>
              </w:rPr>
            </w:pPr>
          </w:p>
        </w:tc>
      </w:tr>
      <w:tr>
        <w:trPr>
          <w:trHeight w:val="265"/>
        </w:trPr>
        <w:tc>
          <w:tcPr>
            <w:tcW w:w="4180" w:type="dxa"/>
            <w:vAlign w:val="bottom"/>
          </w:tcPr>
          <w:p>
            <w:pPr>
              <w:ind w:left="200"/>
              <w:spacing w:after="0"/>
              <w:rPr>
                <w:sz w:val="20"/>
                <w:szCs w:val="20"/>
                <w:color w:val="auto"/>
              </w:rPr>
            </w:pPr>
            <w:r>
              <w:rPr>
                <w:rFonts w:ascii="Arial" w:cs="Arial" w:eastAsia="Arial" w:hAnsi="Arial"/>
                <w:sz w:val="22"/>
                <w:szCs w:val="22"/>
                <w:color w:val="auto"/>
              </w:rPr>
              <w:t>Total assets</w:t>
            </w: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1,071,212</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1,829,161</w:t>
            </w:r>
          </w:p>
        </w:tc>
        <w:tc>
          <w:tcPr>
            <w:tcW w:w="0" w:type="dxa"/>
            <w:vAlign w:val="bottom"/>
          </w:tcPr>
          <w:p>
            <w:pPr>
              <w:spacing w:after="0"/>
              <w:rPr>
                <w:sz w:val="1"/>
                <w:szCs w:val="1"/>
                <w:color w:val="auto"/>
              </w:rPr>
            </w:pPr>
          </w:p>
        </w:tc>
      </w:tr>
      <w:tr>
        <w:trPr>
          <w:trHeight w:val="21"/>
        </w:trPr>
        <w:tc>
          <w:tcPr>
            <w:tcW w:w="418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Accounts payable</w:t>
            </w: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24,609</w:t>
            </w:r>
          </w:p>
        </w:tc>
        <w:tc>
          <w:tcPr>
            <w:tcW w:w="8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36,277</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Accrued liabilities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14,834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22,512</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Income taxes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1,104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Current portion of long-term debt</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17,698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19,375</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Deferred revenue</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7,747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18,539</w:t>
            </w:r>
          </w:p>
        </w:tc>
        <w:tc>
          <w:tcPr>
            <w:tcW w:w="0" w:type="dxa"/>
            <w:vAlign w:val="bottom"/>
          </w:tcPr>
          <w:p>
            <w:pPr>
              <w:spacing w:after="0"/>
              <w:rPr>
                <w:sz w:val="1"/>
                <w:szCs w:val="1"/>
                <w:color w:val="auto"/>
              </w:rPr>
            </w:pPr>
          </w:p>
        </w:tc>
      </w:tr>
      <w:tr>
        <w:trPr>
          <w:trHeight w:val="275"/>
        </w:trPr>
        <w:tc>
          <w:tcPr>
            <w:tcW w:w="4180" w:type="dxa"/>
            <w:vAlign w:val="bottom"/>
          </w:tcPr>
          <w:p>
            <w:pPr>
              <w:ind w:left="100"/>
              <w:spacing w:after="0"/>
              <w:rPr>
                <w:sz w:val="20"/>
                <w:szCs w:val="20"/>
                <w:color w:val="auto"/>
              </w:rPr>
            </w:pPr>
            <w:r>
              <w:rPr>
                <w:rFonts w:ascii="Arial" w:cs="Arial" w:eastAsia="Arial" w:hAnsi="Arial"/>
                <w:sz w:val="22"/>
                <w:szCs w:val="22"/>
                <w:color w:val="auto"/>
              </w:rPr>
              <w:t>Other current liabilities</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493</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21,677</w:t>
            </w:r>
          </w:p>
        </w:tc>
        <w:tc>
          <w:tcPr>
            <w:tcW w:w="0" w:type="dxa"/>
            <w:vAlign w:val="bottom"/>
          </w:tcPr>
          <w:p>
            <w:pPr>
              <w:spacing w:after="0"/>
              <w:rPr>
                <w:sz w:val="1"/>
                <w:szCs w:val="1"/>
                <w:color w:val="auto"/>
              </w:rPr>
            </w:pPr>
          </w:p>
        </w:tc>
      </w:tr>
      <w:tr>
        <w:trPr>
          <w:trHeight w:val="272"/>
        </w:trPr>
        <w:tc>
          <w:tcPr>
            <w:tcW w:w="4180" w:type="dxa"/>
            <w:vAlign w:val="bottom"/>
          </w:tcPr>
          <w:p>
            <w:pPr>
              <w:ind w:left="200"/>
              <w:spacing w:after="0"/>
              <w:rPr>
                <w:sz w:val="20"/>
                <w:szCs w:val="20"/>
                <w:color w:val="auto"/>
              </w:rPr>
            </w:pPr>
            <w:r>
              <w:rPr>
                <w:rFonts w:ascii="Arial" w:cs="Arial" w:eastAsia="Arial" w:hAnsi="Arial"/>
                <w:sz w:val="22"/>
                <w:szCs w:val="22"/>
                <w:color w:val="auto"/>
              </w:rPr>
              <w:t>Total current liabilities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66,485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118,441</w:t>
            </w:r>
          </w:p>
        </w:tc>
        <w:tc>
          <w:tcPr>
            <w:tcW w:w="0" w:type="dxa"/>
            <w:vAlign w:val="bottom"/>
          </w:tcPr>
          <w:p>
            <w:pPr>
              <w:spacing w:after="0"/>
              <w:rPr>
                <w:sz w:val="1"/>
                <w:szCs w:val="1"/>
                <w:color w:val="auto"/>
              </w:rPr>
            </w:pPr>
          </w:p>
        </w:tc>
      </w:tr>
      <w:tr>
        <w:trPr>
          <w:trHeight w:val="528"/>
        </w:trPr>
        <w:tc>
          <w:tcPr>
            <w:tcW w:w="4180" w:type="dxa"/>
            <w:vAlign w:val="bottom"/>
          </w:tcPr>
          <w:p>
            <w:pPr>
              <w:spacing w:after="0"/>
              <w:rPr>
                <w:sz w:val="20"/>
                <w:szCs w:val="20"/>
                <w:color w:val="auto"/>
              </w:rPr>
            </w:pPr>
            <w:r>
              <w:rPr>
                <w:rFonts w:ascii="Arial" w:cs="Arial" w:eastAsia="Arial" w:hAnsi="Arial"/>
                <w:sz w:val="22"/>
                <w:szCs w:val="22"/>
                <w:color w:val="auto"/>
              </w:rPr>
              <w:t>Long-term debt to third-parties</w:t>
            </w:r>
          </w:p>
        </w:tc>
        <w:tc>
          <w:tcPr>
            <w:tcW w:w="3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383,862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755,625</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22"/>
                <w:szCs w:val="22"/>
                <w:color w:val="auto"/>
              </w:rPr>
              <w:t>Deferred income taxes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25,391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55,500</w:t>
            </w:r>
          </w:p>
        </w:tc>
        <w:tc>
          <w:tcPr>
            <w:tcW w:w="0" w:type="dxa"/>
            <w:vAlign w:val="bottom"/>
          </w:tcPr>
          <w:p>
            <w:pPr>
              <w:spacing w:after="0"/>
              <w:rPr>
                <w:sz w:val="1"/>
                <w:szCs w:val="1"/>
                <w:color w:val="auto"/>
              </w:rPr>
            </w:pPr>
          </w:p>
        </w:tc>
      </w:tr>
      <w:tr>
        <w:trPr>
          <w:trHeight w:val="275"/>
        </w:trPr>
        <w:tc>
          <w:tcPr>
            <w:tcW w:w="418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31,704</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39,486</w:t>
            </w:r>
          </w:p>
        </w:tc>
        <w:tc>
          <w:tcPr>
            <w:tcW w:w="0" w:type="dxa"/>
            <w:vAlign w:val="bottom"/>
          </w:tcPr>
          <w:p>
            <w:pPr>
              <w:spacing w:after="0"/>
              <w:rPr>
                <w:sz w:val="1"/>
                <w:szCs w:val="1"/>
                <w:color w:val="auto"/>
              </w:rPr>
            </w:pPr>
          </w:p>
        </w:tc>
      </w:tr>
      <w:tr>
        <w:trPr>
          <w:trHeight w:val="272"/>
        </w:trPr>
        <w:tc>
          <w:tcPr>
            <w:tcW w:w="4180" w:type="dxa"/>
            <w:vAlign w:val="bottom"/>
          </w:tcPr>
          <w:p>
            <w:pPr>
              <w:ind w:left="100"/>
              <w:spacing w:after="0"/>
              <w:rPr>
                <w:sz w:val="20"/>
                <w:szCs w:val="20"/>
                <w:color w:val="auto"/>
              </w:rPr>
            </w:pPr>
            <w:r>
              <w:rPr>
                <w:rFonts w:ascii="Arial" w:cs="Arial" w:eastAsia="Arial" w:hAnsi="Arial"/>
                <w:sz w:val="22"/>
                <w:szCs w:val="22"/>
                <w:color w:val="auto"/>
              </w:rPr>
              <w:t>Total liabilities</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507,442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969,052</w:t>
            </w:r>
          </w:p>
        </w:tc>
        <w:tc>
          <w:tcPr>
            <w:tcW w:w="0" w:type="dxa"/>
            <w:vAlign w:val="bottom"/>
          </w:tcPr>
          <w:p>
            <w:pPr>
              <w:spacing w:after="0"/>
              <w:rPr>
                <w:sz w:val="1"/>
                <w:szCs w:val="1"/>
                <w:color w:val="auto"/>
              </w:rPr>
            </w:pPr>
          </w:p>
        </w:tc>
      </w:tr>
      <w:tr>
        <w:trPr>
          <w:trHeight w:val="528"/>
        </w:trPr>
        <w:tc>
          <w:tcPr>
            <w:tcW w:w="4180" w:type="dxa"/>
            <w:vAlign w:val="bottom"/>
          </w:tcPr>
          <w:p>
            <w:pPr>
              <w:spacing w:after="0"/>
              <w:rPr>
                <w:sz w:val="20"/>
                <w:szCs w:val="20"/>
                <w:color w:val="auto"/>
              </w:rPr>
            </w:pPr>
            <w:r>
              <w:rPr>
                <w:rFonts w:ascii="Arial" w:cs="Arial" w:eastAsia="Arial" w:hAnsi="Arial"/>
                <w:sz w:val="22"/>
                <w:szCs w:val="22"/>
                <w:color w:val="auto"/>
              </w:rPr>
              <w:t>Shareholders' equity:</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Common stock</w:t>
            </w:r>
          </w:p>
        </w:tc>
        <w:tc>
          <w:tcPr>
            <w:tcW w:w="38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1,067</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Additional paid-in capital</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1,305,930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1,300,042</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Accumulated deficit</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(376,376)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(244,617)</w:t>
            </w:r>
          </w:p>
        </w:tc>
        <w:tc>
          <w:tcPr>
            <w:tcW w:w="0" w:type="dxa"/>
            <w:vAlign w:val="bottom"/>
          </w:tcPr>
          <w:p>
            <w:pPr>
              <w:spacing w:after="0"/>
              <w:rPr>
                <w:sz w:val="1"/>
                <w:szCs w:val="1"/>
                <w:color w:val="auto"/>
              </w:rPr>
            </w:pPr>
          </w:p>
        </w:tc>
      </w:tr>
      <w:tr>
        <w:trPr>
          <w:trHeight w:val="275"/>
        </w:trPr>
        <w:tc>
          <w:tcPr>
            <w:tcW w:w="4180" w:type="dxa"/>
            <w:vAlign w:val="bottom"/>
          </w:tcPr>
          <w:p>
            <w:pPr>
              <w:ind w:left="100"/>
              <w:spacing w:after="0"/>
              <w:rPr>
                <w:sz w:val="20"/>
                <w:szCs w:val="20"/>
                <w:color w:val="auto"/>
              </w:rPr>
            </w:pPr>
            <w:r>
              <w:rPr>
                <w:rFonts w:ascii="Arial" w:cs="Arial" w:eastAsia="Arial" w:hAnsi="Arial"/>
                <w:sz w:val="22"/>
                <w:szCs w:val="22"/>
                <w:color w:val="auto"/>
              </w:rPr>
              <w:t>Accumulated other comprehensive loss</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(366,309)</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(198,491)</w:t>
            </w:r>
          </w:p>
        </w:tc>
        <w:tc>
          <w:tcPr>
            <w:tcW w:w="0" w:type="dxa"/>
            <w:vAlign w:val="bottom"/>
          </w:tcPr>
          <w:p>
            <w:pPr>
              <w:spacing w:after="0"/>
              <w:rPr>
                <w:sz w:val="1"/>
                <w:szCs w:val="1"/>
                <w:color w:val="auto"/>
              </w:rPr>
            </w:pPr>
          </w:p>
        </w:tc>
      </w:tr>
      <w:tr>
        <w:trPr>
          <w:trHeight w:val="267"/>
        </w:trPr>
        <w:tc>
          <w:tcPr>
            <w:tcW w:w="4180" w:type="dxa"/>
            <w:vAlign w:val="bottom"/>
          </w:tcPr>
          <w:p>
            <w:pPr>
              <w:ind w:left="200"/>
              <w:spacing w:after="0"/>
              <w:rPr>
                <w:sz w:val="20"/>
                <w:szCs w:val="20"/>
                <w:color w:val="auto"/>
              </w:rPr>
            </w:pPr>
            <w:r>
              <w:rPr>
                <w:rFonts w:ascii="Arial" w:cs="Arial" w:eastAsia="Arial" w:hAnsi="Arial"/>
                <w:sz w:val="22"/>
                <w:szCs w:val="22"/>
                <w:color w:val="auto"/>
                <w:w w:val="91"/>
              </w:rPr>
              <w:t>Total Civeo Corporation stockholders' equity</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563,245</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858,001</w:t>
            </w: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525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2,108</w:t>
            </w:r>
          </w:p>
        </w:tc>
        <w:tc>
          <w:tcPr>
            <w:tcW w:w="0" w:type="dxa"/>
            <w:vAlign w:val="bottom"/>
          </w:tcPr>
          <w:p>
            <w:pPr>
              <w:spacing w:after="0"/>
              <w:rPr>
                <w:sz w:val="1"/>
                <w:szCs w:val="1"/>
                <w:color w:val="auto"/>
              </w:rPr>
            </w:pPr>
          </w:p>
        </w:tc>
      </w:tr>
      <w:tr>
        <w:trPr>
          <w:trHeight w:val="264"/>
        </w:trPr>
        <w:tc>
          <w:tcPr>
            <w:tcW w:w="4180" w:type="dxa"/>
            <w:vAlign w:val="bottom"/>
          </w:tcPr>
          <w:p>
            <w:pPr>
              <w:ind w:left="100"/>
              <w:spacing w:after="0"/>
              <w:rPr>
                <w:sz w:val="20"/>
                <w:szCs w:val="20"/>
                <w:color w:val="auto"/>
              </w:rPr>
            </w:pPr>
            <w:r>
              <w:rPr>
                <w:rFonts w:ascii="Arial" w:cs="Arial" w:eastAsia="Arial" w:hAnsi="Arial"/>
                <w:sz w:val="22"/>
                <w:szCs w:val="22"/>
                <w:color w:val="auto"/>
              </w:rPr>
              <w:t>Total shareholders' equity</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563,770</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860,109</w:t>
            </w:r>
          </w:p>
        </w:tc>
        <w:tc>
          <w:tcPr>
            <w:tcW w:w="0" w:type="dxa"/>
            <w:vAlign w:val="bottom"/>
          </w:tcPr>
          <w:p>
            <w:pPr>
              <w:spacing w:after="0"/>
              <w:rPr>
                <w:sz w:val="1"/>
                <w:szCs w:val="1"/>
                <w:color w:val="auto"/>
              </w:rPr>
            </w:pPr>
          </w:p>
        </w:tc>
      </w:tr>
      <w:tr>
        <w:trPr>
          <w:trHeight w:val="264"/>
        </w:trPr>
        <w:tc>
          <w:tcPr>
            <w:tcW w:w="4180" w:type="dxa"/>
            <w:vAlign w:val="bottom"/>
          </w:tcPr>
          <w:p>
            <w:pPr>
              <w:ind w:left="200"/>
              <w:spacing w:after="0"/>
              <w:rPr>
                <w:sz w:val="20"/>
                <w:szCs w:val="20"/>
                <w:color w:val="auto"/>
              </w:rPr>
            </w:pPr>
            <w:r>
              <w:rPr>
                <w:rFonts w:ascii="Arial" w:cs="Arial" w:eastAsia="Arial" w:hAnsi="Arial"/>
                <w:sz w:val="22"/>
                <w:szCs w:val="22"/>
                <w:color w:val="auto"/>
              </w:rPr>
              <w:t>Total liabilities and shareholders' equity</w:t>
            </w: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1,071,212</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1,829,161</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jc w:val="center"/>
        <w:ind w:left="6700"/>
        <w:spacing w:after="0"/>
        <w:rPr>
          <w:sz w:val="20"/>
          <w:szCs w:val="20"/>
          <w:color w:val="auto"/>
        </w:rPr>
      </w:pPr>
      <w:r>
        <w:rPr>
          <w:rFonts w:ascii="Arial" w:cs="Arial" w:eastAsia="Arial" w:hAnsi="Arial"/>
          <w:sz w:val="21"/>
          <w:szCs w:val="21"/>
          <w:b w:val="1"/>
          <w:bCs w:val="1"/>
          <w:color w:val="auto"/>
        </w:rPr>
        <w:t>TWELVE MONTHS ENDED</w:t>
      </w:r>
    </w:p>
    <w:p>
      <w:pPr>
        <w:spacing w:after="0" w:line="26" w:lineRule="exact"/>
        <w:rPr>
          <w:sz w:val="20"/>
          <w:szCs w:val="20"/>
          <w:color w:val="auto"/>
        </w:rPr>
      </w:pPr>
    </w:p>
    <w:p>
      <w:pPr>
        <w:jc w:val="center"/>
        <w:ind w:left="6700"/>
        <w:spacing w:after="0"/>
        <w:rPr>
          <w:sz w:val="20"/>
          <w:szCs w:val="20"/>
          <w:color w:val="auto"/>
        </w:rPr>
      </w:pPr>
      <w:r>
        <w:rPr>
          <w:rFonts w:ascii="Arial" w:cs="Arial" w:eastAsia="Arial" w:hAnsi="Arial"/>
          <w:sz w:val="22"/>
          <w:szCs w:val="22"/>
          <w:b w:val="1"/>
          <w:bCs w:val="1"/>
          <w:color w:val="auto"/>
        </w:rPr>
        <w:t>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640" w:type="dxa"/>
            <w:vAlign w:val="bottom"/>
            <w:vMerge w:val="restart"/>
          </w:tcPr>
          <w:p>
            <w:pPr>
              <w:spacing w:after="0"/>
              <w:rPr>
                <w:sz w:val="20"/>
                <w:szCs w:val="20"/>
                <w:color w:val="auto"/>
              </w:rPr>
            </w:pPr>
            <w:r>
              <w:rPr>
                <w:rFonts w:ascii="Arial" w:cs="Arial" w:eastAsia="Arial" w:hAnsi="Arial"/>
                <w:sz w:val="22"/>
                <w:szCs w:val="22"/>
                <w:color w:val="auto"/>
              </w:rPr>
              <w:t>Cash flows from operating activities:</w:t>
            </w: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2014</w:t>
            </w:r>
          </w:p>
        </w:tc>
        <w:tc>
          <w:tcPr>
            <w:tcW w:w="0" w:type="dxa"/>
            <w:vAlign w:val="bottom"/>
          </w:tcPr>
          <w:p>
            <w:pPr>
              <w:spacing w:after="0"/>
              <w:rPr>
                <w:sz w:val="1"/>
                <w:szCs w:val="1"/>
                <w:color w:val="auto"/>
              </w:rPr>
            </w:pPr>
          </w:p>
        </w:tc>
      </w:tr>
      <w:tr>
        <w:trPr>
          <w:trHeight w:val="247"/>
        </w:trPr>
        <w:tc>
          <w:tcPr>
            <w:tcW w:w="7640" w:type="dxa"/>
            <w:vAlign w:val="bottom"/>
            <w:vMerge w:val="continue"/>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640" w:type="dxa"/>
            <w:vAlign w:val="bottom"/>
          </w:tcPr>
          <w:p>
            <w:pPr>
              <w:spacing w:after="0"/>
              <w:rPr>
                <w:sz w:val="20"/>
                <w:szCs w:val="20"/>
                <w:color w:val="auto"/>
              </w:rPr>
            </w:pPr>
            <w:r>
              <w:rPr>
                <w:rFonts w:ascii="Arial" w:cs="Arial" w:eastAsia="Arial" w:hAnsi="Arial"/>
                <w:sz w:val="22"/>
                <w:szCs w:val="22"/>
                <w:color w:val="auto"/>
              </w:rPr>
              <w:t>Net income (loss)</w:t>
            </w:r>
          </w:p>
        </w:tc>
        <w:tc>
          <w:tcPr>
            <w:tcW w:w="1320" w:type="dxa"/>
            <w:vAlign w:val="bottom"/>
          </w:tcPr>
          <w:p>
            <w:pPr>
              <w:jc w:val="right"/>
              <w:spacing w:after="0"/>
              <w:rPr>
                <w:sz w:val="20"/>
                <w:szCs w:val="20"/>
                <w:color w:val="auto"/>
              </w:rPr>
            </w:pPr>
            <w:r>
              <w:rPr>
                <w:rFonts w:ascii="Arial" w:cs="Arial" w:eastAsia="Arial" w:hAnsi="Arial"/>
                <w:sz w:val="22"/>
                <w:szCs w:val="22"/>
                <w:color w:val="auto"/>
              </w:rPr>
              <w:t>$   (130,664)</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(187,662)</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22"/>
                <w:szCs w:val="22"/>
                <w:color w:val="auto"/>
                <w:w w:val="90"/>
              </w:rPr>
              <w:t>Adjustments to reconcile net income (loss) to net cash provided by operating activities:</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Depreciation and amortization</w:t>
            </w:r>
          </w:p>
        </w:tc>
        <w:tc>
          <w:tcPr>
            <w:tcW w:w="1320" w:type="dxa"/>
            <w:vAlign w:val="bottom"/>
          </w:tcPr>
          <w:p>
            <w:pPr>
              <w:jc w:val="right"/>
              <w:spacing w:after="0"/>
              <w:rPr>
                <w:sz w:val="20"/>
                <w:szCs w:val="20"/>
                <w:color w:val="auto"/>
              </w:rPr>
            </w:pPr>
            <w:r>
              <w:rPr>
                <w:rFonts w:ascii="Arial" w:cs="Arial" w:eastAsia="Arial" w:hAnsi="Arial"/>
                <w:sz w:val="22"/>
                <w:szCs w:val="22"/>
                <w:color w:val="auto"/>
              </w:rPr>
              <w:t>152,990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174,970</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Impairment charges</w:t>
            </w:r>
          </w:p>
        </w:tc>
        <w:tc>
          <w:tcPr>
            <w:tcW w:w="1320" w:type="dxa"/>
            <w:vAlign w:val="bottom"/>
          </w:tcPr>
          <w:p>
            <w:pPr>
              <w:jc w:val="right"/>
              <w:spacing w:after="0"/>
              <w:rPr>
                <w:sz w:val="20"/>
                <w:szCs w:val="20"/>
                <w:color w:val="auto"/>
              </w:rPr>
            </w:pPr>
            <w:r>
              <w:rPr>
                <w:rFonts w:ascii="Arial" w:cs="Arial" w:eastAsia="Arial" w:hAnsi="Arial"/>
                <w:sz w:val="22"/>
                <w:szCs w:val="22"/>
                <w:color w:val="auto"/>
              </w:rPr>
              <w:t>122,926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290,508</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Inventory write-down</w:t>
            </w:r>
          </w:p>
        </w:tc>
        <w:tc>
          <w:tcPr>
            <w:tcW w:w="1320" w:type="dxa"/>
            <w:vAlign w:val="bottom"/>
          </w:tcPr>
          <w:p>
            <w:pPr>
              <w:jc w:val="right"/>
              <w:spacing w:after="0"/>
              <w:rPr>
                <w:sz w:val="20"/>
                <w:szCs w:val="20"/>
                <w:color w:val="auto"/>
              </w:rPr>
            </w:pPr>
            <w:r>
              <w:rPr>
                <w:rFonts w:ascii="Arial" w:cs="Arial" w:eastAsia="Arial" w:hAnsi="Arial"/>
                <w:sz w:val="22"/>
                <w:szCs w:val="22"/>
                <w:color w:val="auto"/>
              </w:rPr>
              <w:t>1,015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Loss on extinguishment of debt</w:t>
            </w:r>
          </w:p>
        </w:tc>
        <w:tc>
          <w:tcPr>
            <w:tcW w:w="1320" w:type="dxa"/>
            <w:vAlign w:val="bottom"/>
          </w:tcPr>
          <w:p>
            <w:pPr>
              <w:jc w:val="right"/>
              <w:spacing w:after="0"/>
              <w:rPr>
                <w:sz w:val="20"/>
                <w:szCs w:val="20"/>
                <w:color w:val="auto"/>
              </w:rPr>
            </w:pPr>
            <w:r>
              <w:rPr>
                <w:rFonts w:ascii="Arial" w:cs="Arial" w:eastAsia="Arial" w:hAnsi="Arial"/>
                <w:sz w:val="22"/>
                <w:szCs w:val="22"/>
                <w:color w:val="auto"/>
              </w:rPr>
              <w:t>1,474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3,455</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Deferred income tax benefit</w:t>
            </w:r>
          </w:p>
        </w:tc>
        <w:tc>
          <w:tcPr>
            <w:tcW w:w="1320" w:type="dxa"/>
            <w:vAlign w:val="bottom"/>
          </w:tcPr>
          <w:p>
            <w:pPr>
              <w:jc w:val="right"/>
              <w:spacing w:after="0"/>
              <w:rPr>
                <w:sz w:val="20"/>
                <w:szCs w:val="20"/>
                <w:color w:val="auto"/>
              </w:rPr>
            </w:pPr>
            <w:r>
              <w:rPr>
                <w:rFonts w:ascii="Arial" w:cs="Arial" w:eastAsia="Arial" w:hAnsi="Arial"/>
                <w:sz w:val="22"/>
                <w:szCs w:val="22"/>
                <w:color w:val="auto"/>
              </w:rPr>
              <w:t>(34,175)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4,333</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Non-cash compensation charge</w:t>
            </w:r>
          </w:p>
        </w:tc>
        <w:tc>
          <w:tcPr>
            <w:tcW w:w="1320" w:type="dxa"/>
            <w:vAlign w:val="bottom"/>
          </w:tcPr>
          <w:p>
            <w:pPr>
              <w:jc w:val="right"/>
              <w:spacing w:after="0"/>
              <w:rPr>
                <w:sz w:val="20"/>
                <w:szCs w:val="20"/>
                <w:color w:val="auto"/>
              </w:rPr>
            </w:pPr>
            <w:r>
              <w:rPr>
                <w:rFonts w:ascii="Arial" w:cs="Arial" w:eastAsia="Arial" w:hAnsi="Arial"/>
                <w:sz w:val="22"/>
                <w:szCs w:val="22"/>
                <w:color w:val="auto"/>
              </w:rPr>
              <w:t>4,614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6,283</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Gains on disposals of assets</w:t>
            </w:r>
          </w:p>
        </w:tc>
        <w:tc>
          <w:tcPr>
            <w:tcW w:w="1320" w:type="dxa"/>
            <w:vAlign w:val="bottom"/>
          </w:tcPr>
          <w:p>
            <w:pPr>
              <w:jc w:val="right"/>
              <w:spacing w:after="0"/>
              <w:rPr>
                <w:sz w:val="20"/>
                <w:szCs w:val="20"/>
                <w:color w:val="auto"/>
              </w:rPr>
            </w:pPr>
            <w:r>
              <w:rPr>
                <w:rFonts w:ascii="Arial" w:cs="Arial" w:eastAsia="Arial" w:hAnsi="Arial"/>
                <w:sz w:val="22"/>
                <w:szCs w:val="22"/>
                <w:color w:val="auto"/>
              </w:rPr>
              <w:t>(1,826)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(5,877)</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Provision (benefit) for loss on receivables</w:t>
            </w:r>
          </w:p>
        </w:tc>
        <w:tc>
          <w:tcPr>
            <w:tcW w:w="1320" w:type="dxa"/>
            <w:vAlign w:val="bottom"/>
          </w:tcPr>
          <w:p>
            <w:pPr>
              <w:jc w:val="right"/>
              <w:spacing w:after="0"/>
              <w:rPr>
                <w:sz w:val="20"/>
                <w:szCs w:val="20"/>
                <w:color w:val="auto"/>
              </w:rPr>
            </w:pPr>
            <w:r>
              <w:rPr>
                <w:rFonts w:ascii="Arial" w:cs="Arial" w:eastAsia="Arial" w:hAnsi="Arial"/>
                <w:sz w:val="22"/>
                <w:szCs w:val="22"/>
                <w:color w:val="auto"/>
              </w:rPr>
              <w:t>1,205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(1,276)</w:t>
            </w:r>
          </w:p>
        </w:tc>
        <w:tc>
          <w:tcPr>
            <w:tcW w:w="0" w:type="dxa"/>
            <w:vAlign w:val="bottom"/>
          </w:tcPr>
          <w:p>
            <w:pPr>
              <w:spacing w:after="0"/>
              <w:rPr>
                <w:sz w:val="1"/>
                <w:szCs w:val="1"/>
                <w:color w:val="auto"/>
              </w:rPr>
            </w:pPr>
          </w:p>
        </w:tc>
      </w:tr>
      <w:tr>
        <w:trPr>
          <w:trHeight w:val="275"/>
        </w:trPr>
        <w:tc>
          <w:tcPr>
            <w:tcW w:w="764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1320" w:type="dxa"/>
            <w:vAlign w:val="bottom"/>
          </w:tcPr>
          <w:p>
            <w:pPr>
              <w:jc w:val="right"/>
              <w:spacing w:after="0"/>
              <w:rPr>
                <w:sz w:val="20"/>
                <w:szCs w:val="20"/>
                <w:color w:val="auto"/>
              </w:rPr>
            </w:pPr>
            <w:r>
              <w:rPr>
                <w:rFonts w:ascii="Arial" w:cs="Arial" w:eastAsia="Arial" w:hAnsi="Arial"/>
                <w:sz w:val="22"/>
                <w:szCs w:val="22"/>
                <w:color w:val="auto"/>
              </w:rPr>
              <w:t>1,424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1,096</w:t>
            </w:r>
          </w:p>
        </w:tc>
        <w:tc>
          <w:tcPr>
            <w:tcW w:w="0" w:type="dxa"/>
            <w:vAlign w:val="bottom"/>
          </w:tcPr>
          <w:p>
            <w:pPr>
              <w:spacing w:after="0"/>
              <w:rPr>
                <w:sz w:val="1"/>
                <w:szCs w:val="1"/>
                <w:color w:val="auto"/>
              </w:rPr>
            </w:pPr>
          </w:p>
        </w:tc>
      </w:tr>
    </w:tbl>
    <w:p>
      <w:pPr>
        <w:sectPr>
          <w:pgSz w:w="11900" w:h="16853" w:orient="portrait"/>
          <w:cols w:equalWidth="0" w:num="1">
            <w:col w:w="10420"/>
          </w:cols>
          <w:pgMar w:left="260" w:top="111" w:right="121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640" w:type="dxa"/>
            <w:vAlign w:val="bottom"/>
          </w:tcPr>
          <w:p>
            <w:pPr>
              <w:ind w:left="100"/>
              <w:spacing w:after="0"/>
              <w:rPr>
                <w:sz w:val="20"/>
                <w:szCs w:val="20"/>
                <w:color w:val="auto"/>
              </w:rPr>
            </w:pPr>
            <w:r>
              <w:rPr>
                <w:rFonts w:ascii="Arial" w:cs="Arial" w:eastAsia="Arial" w:hAnsi="Arial"/>
                <w:sz w:val="22"/>
                <w:szCs w:val="22"/>
                <w:color w:val="auto"/>
              </w:rPr>
              <w:t>Changes in operating assets and liabilities: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200"/>
              <w:spacing w:after="0"/>
              <w:rPr>
                <w:sz w:val="20"/>
                <w:szCs w:val="20"/>
                <w:color w:val="auto"/>
              </w:rPr>
            </w:pPr>
            <w:r>
              <w:rPr>
                <w:rFonts w:ascii="Arial" w:cs="Arial" w:eastAsia="Arial" w:hAnsi="Arial"/>
                <w:sz w:val="22"/>
                <w:szCs w:val="22"/>
                <w:color w:val="auto"/>
              </w:rPr>
              <w:t>Accounts receivable</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80,347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4,840</w:t>
            </w:r>
          </w:p>
        </w:tc>
        <w:tc>
          <w:tcPr>
            <w:tcW w:w="0" w:type="dxa"/>
            <w:vAlign w:val="bottom"/>
          </w:tcPr>
          <w:p>
            <w:pPr>
              <w:spacing w:after="0"/>
              <w:rPr>
                <w:sz w:val="1"/>
                <w:szCs w:val="1"/>
                <w:color w:val="auto"/>
              </w:rPr>
            </w:pPr>
          </w:p>
        </w:tc>
      </w:tr>
      <w:tr>
        <w:trPr>
          <w:trHeight w:val="270"/>
        </w:trPr>
        <w:tc>
          <w:tcPr>
            <w:tcW w:w="7640" w:type="dxa"/>
            <w:vAlign w:val="bottom"/>
          </w:tcPr>
          <w:p>
            <w:pPr>
              <w:ind w:left="200"/>
              <w:spacing w:after="0"/>
              <w:rPr>
                <w:sz w:val="20"/>
                <w:szCs w:val="20"/>
                <w:color w:val="auto"/>
              </w:rPr>
            </w:pPr>
            <w:r>
              <w:rPr>
                <w:rFonts w:ascii="Arial" w:cs="Arial" w:eastAsia="Arial" w:hAnsi="Arial"/>
                <w:sz w:val="22"/>
                <w:szCs w:val="22"/>
                <w:color w:val="auto"/>
              </w:rPr>
              <w:t>Inventories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5,406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15,174</w:t>
            </w:r>
          </w:p>
        </w:tc>
        <w:tc>
          <w:tcPr>
            <w:tcW w:w="0" w:type="dxa"/>
            <w:vAlign w:val="bottom"/>
          </w:tcPr>
          <w:p>
            <w:pPr>
              <w:spacing w:after="0"/>
              <w:rPr>
                <w:sz w:val="1"/>
                <w:szCs w:val="1"/>
                <w:color w:val="auto"/>
              </w:rPr>
            </w:pPr>
          </w:p>
        </w:tc>
      </w:tr>
      <w:tr>
        <w:trPr>
          <w:trHeight w:val="270"/>
        </w:trPr>
        <w:tc>
          <w:tcPr>
            <w:tcW w:w="7640" w:type="dxa"/>
            <w:vAlign w:val="bottom"/>
          </w:tcPr>
          <w:p>
            <w:pPr>
              <w:ind w:left="200"/>
              <w:spacing w:after="0"/>
              <w:rPr>
                <w:sz w:val="20"/>
                <w:szCs w:val="20"/>
                <w:color w:val="auto"/>
              </w:rPr>
            </w:pPr>
            <w:r>
              <w:rPr>
                <w:rFonts w:ascii="Arial" w:cs="Arial" w:eastAsia="Arial" w:hAnsi="Arial"/>
                <w:sz w:val="22"/>
                <w:szCs w:val="22"/>
                <w:color w:val="auto"/>
              </w:rPr>
              <w:t>Accounts payable and accrued liabilities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(12,885)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(167)</w:t>
            </w:r>
          </w:p>
        </w:tc>
        <w:tc>
          <w:tcPr>
            <w:tcW w:w="0" w:type="dxa"/>
            <w:vAlign w:val="bottom"/>
          </w:tcPr>
          <w:p>
            <w:pPr>
              <w:spacing w:after="0"/>
              <w:rPr>
                <w:sz w:val="1"/>
                <w:szCs w:val="1"/>
                <w:color w:val="auto"/>
              </w:rPr>
            </w:pPr>
          </w:p>
        </w:tc>
      </w:tr>
      <w:tr>
        <w:trPr>
          <w:trHeight w:val="270"/>
        </w:trPr>
        <w:tc>
          <w:tcPr>
            <w:tcW w:w="7640" w:type="dxa"/>
            <w:vAlign w:val="bottom"/>
          </w:tcPr>
          <w:p>
            <w:pPr>
              <w:ind w:left="200"/>
              <w:spacing w:after="0"/>
              <w:rPr>
                <w:sz w:val="20"/>
                <w:szCs w:val="20"/>
                <w:color w:val="auto"/>
              </w:rPr>
            </w:pPr>
            <w:r>
              <w:rPr>
                <w:rFonts w:ascii="Arial" w:cs="Arial" w:eastAsia="Arial" w:hAnsi="Arial"/>
                <w:sz w:val="22"/>
                <w:szCs w:val="22"/>
                <w:color w:val="auto"/>
              </w:rPr>
              <w:t>Taxes payable</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6,204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(16,738)</w:t>
            </w:r>
          </w:p>
        </w:tc>
        <w:tc>
          <w:tcPr>
            <w:tcW w:w="0" w:type="dxa"/>
            <w:vAlign w:val="bottom"/>
          </w:tcPr>
          <w:p>
            <w:pPr>
              <w:spacing w:after="0"/>
              <w:rPr>
                <w:sz w:val="1"/>
                <w:szCs w:val="1"/>
                <w:color w:val="auto"/>
              </w:rPr>
            </w:pPr>
          </w:p>
        </w:tc>
      </w:tr>
      <w:tr>
        <w:trPr>
          <w:trHeight w:val="275"/>
        </w:trPr>
        <w:tc>
          <w:tcPr>
            <w:tcW w:w="7640" w:type="dxa"/>
            <w:vAlign w:val="bottom"/>
          </w:tcPr>
          <w:p>
            <w:pPr>
              <w:ind w:left="200"/>
              <w:spacing w:after="0"/>
              <w:rPr>
                <w:sz w:val="20"/>
                <w:szCs w:val="20"/>
                <w:color w:val="auto"/>
              </w:rPr>
            </w:pPr>
            <w:r>
              <w:rPr>
                <w:rFonts w:ascii="Arial" w:cs="Arial" w:eastAsia="Arial" w:hAnsi="Arial"/>
                <w:sz w:val="22"/>
                <w:szCs w:val="22"/>
                <w:color w:val="auto"/>
              </w:rPr>
              <w:t>Other current assets and liabilities, net</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(11,924)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2,114</w:t>
            </w:r>
          </w:p>
        </w:tc>
        <w:tc>
          <w:tcPr>
            <w:tcW w:w="0" w:type="dxa"/>
            <w:vAlign w:val="bottom"/>
          </w:tcPr>
          <w:p>
            <w:pPr>
              <w:spacing w:after="0"/>
              <w:rPr>
                <w:sz w:val="1"/>
                <w:szCs w:val="1"/>
                <w:color w:val="auto"/>
              </w:rPr>
            </w:pPr>
          </w:p>
        </w:tc>
      </w:tr>
      <w:tr>
        <w:trPr>
          <w:trHeight w:val="272"/>
        </w:trPr>
        <w:tc>
          <w:tcPr>
            <w:tcW w:w="764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186,131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291,053</w:t>
            </w:r>
          </w:p>
        </w:tc>
        <w:tc>
          <w:tcPr>
            <w:tcW w:w="0" w:type="dxa"/>
            <w:vAlign w:val="bottom"/>
          </w:tcPr>
          <w:p>
            <w:pPr>
              <w:spacing w:after="0"/>
              <w:rPr>
                <w:sz w:val="1"/>
                <w:szCs w:val="1"/>
                <w:color w:val="auto"/>
              </w:rPr>
            </w:pPr>
          </w:p>
        </w:tc>
      </w:tr>
      <w:tr>
        <w:trPr>
          <w:trHeight w:val="528"/>
        </w:trPr>
        <w:tc>
          <w:tcPr>
            <w:tcW w:w="7640" w:type="dxa"/>
            <w:vAlign w:val="bottom"/>
          </w:tcPr>
          <w:p>
            <w:pPr>
              <w:spacing w:after="0"/>
              <w:rPr>
                <w:sz w:val="20"/>
                <w:szCs w:val="20"/>
                <w:color w:val="auto"/>
              </w:rPr>
            </w:pPr>
            <w:r>
              <w:rPr>
                <w:rFonts w:ascii="Arial" w:cs="Arial" w:eastAsia="Arial" w:hAnsi="Arial"/>
                <w:sz w:val="22"/>
                <w:szCs w:val="22"/>
                <w:color w:val="auto"/>
              </w:rPr>
              <w:t>Cash flows from investing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Capital expenditures, including capitalized interest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(62,451)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(251,158)</w:t>
            </w:r>
          </w:p>
        </w:tc>
        <w:tc>
          <w:tcPr>
            <w:tcW w:w="0" w:type="dxa"/>
            <w:vAlign w:val="bottom"/>
          </w:tcPr>
          <w:p>
            <w:pPr>
              <w:spacing w:after="0"/>
              <w:rPr>
                <w:sz w:val="1"/>
                <w:szCs w:val="1"/>
                <w:color w:val="auto"/>
              </w:rPr>
            </w:pPr>
          </w:p>
        </w:tc>
      </w:tr>
      <w:tr>
        <w:trPr>
          <w:trHeight w:val="275"/>
        </w:trPr>
        <w:tc>
          <w:tcPr>
            <w:tcW w:w="7640" w:type="dxa"/>
            <w:vAlign w:val="bottom"/>
          </w:tcPr>
          <w:p>
            <w:pPr>
              <w:ind w:left="100"/>
              <w:spacing w:after="0"/>
              <w:rPr>
                <w:sz w:val="20"/>
                <w:szCs w:val="20"/>
                <w:color w:val="auto"/>
              </w:rPr>
            </w:pPr>
            <w:r>
              <w:rPr>
                <w:rFonts w:ascii="Arial" w:cs="Arial" w:eastAsia="Arial" w:hAnsi="Arial"/>
                <w:sz w:val="22"/>
                <w:szCs w:val="22"/>
                <w:color w:val="auto"/>
              </w:rPr>
              <w:t>Proceeds from disposition of property, plant and equipment</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12,683</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12,086</w:t>
            </w:r>
          </w:p>
        </w:tc>
        <w:tc>
          <w:tcPr>
            <w:tcW w:w="0" w:type="dxa"/>
            <w:vAlign w:val="bottom"/>
          </w:tcPr>
          <w:p>
            <w:pPr>
              <w:spacing w:after="0"/>
              <w:rPr>
                <w:sz w:val="1"/>
                <w:szCs w:val="1"/>
                <w:color w:val="auto"/>
              </w:rPr>
            </w:pPr>
          </w:p>
        </w:tc>
      </w:tr>
      <w:tr>
        <w:trPr>
          <w:trHeight w:val="272"/>
        </w:trPr>
        <w:tc>
          <w:tcPr>
            <w:tcW w:w="7640" w:type="dxa"/>
            <w:vAlign w:val="bottom"/>
          </w:tcPr>
          <w:p>
            <w:pPr>
              <w:ind w:left="200"/>
              <w:spacing w:after="0"/>
              <w:rPr>
                <w:sz w:val="20"/>
                <w:szCs w:val="20"/>
                <w:color w:val="auto"/>
              </w:rPr>
            </w:pPr>
            <w:r>
              <w:rPr>
                <w:rFonts w:ascii="Arial" w:cs="Arial" w:eastAsia="Arial" w:hAnsi="Arial"/>
                <w:sz w:val="22"/>
                <w:szCs w:val="22"/>
                <w:color w:val="auto"/>
              </w:rPr>
              <w:t>Net cash flows used in investing activities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(49,768)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(239,072)</w:t>
            </w:r>
          </w:p>
        </w:tc>
        <w:tc>
          <w:tcPr>
            <w:tcW w:w="0" w:type="dxa"/>
            <w:vAlign w:val="bottom"/>
          </w:tcPr>
          <w:p>
            <w:pPr>
              <w:spacing w:after="0"/>
              <w:rPr>
                <w:sz w:val="1"/>
                <w:szCs w:val="1"/>
                <w:color w:val="auto"/>
              </w:rPr>
            </w:pPr>
          </w:p>
        </w:tc>
      </w:tr>
      <w:tr>
        <w:trPr>
          <w:trHeight w:val="528"/>
        </w:trPr>
        <w:tc>
          <w:tcPr>
            <w:tcW w:w="764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Proceeds from issuance of common shares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Term loan borrowings, net of issuance costs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325,000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775,000</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Term loan repayments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(729,425)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Revolver borrowings (repayments), net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59,143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Dividends paid</w:t>
            </w:r>
          </w:p>
        </w:tc>
        <w:tc>
          <w:tcPr>
            <w:tcW w:w="30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(27,790)</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Debt issuance costs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(4,833)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(9,235)</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Distributions to Oil States</w:t>
            </w:r>
          </w:p>
        </w:tc>
        <w:tc>
          <w:tcPr>
            <w:tcW w:w="30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(750,000)</w:t>
            </w:r>
          </w:p>
        </w:tc>
        <w:tc>
          <w:tcPr>
            <w:tcW w:w="0" w:type="dxa"/>
            <w:vAlign w:val="bottom"/>
          </w:tcPr>
          <w:p>
            <w:pPr>
              <w:spacing w:after="0"/>
              <w:rPr>
                <w:sz w:val="1"/>
                <w:szCs w:val="1"/>
                <w:color w:val="auto"/>
              </w:rPr>
            </w:pPr>
          </w:p>
        </w:tc>
      </w:tr>
      <w:tr>
        <w:trPr>
          <w:trHeight w:val="275"/>
        </w:trPr>
        <w:tc>
          <w:tcPr>
            <w:tcW w:w="7640" w:type="dxa"/>
            <w:vAlign w:val="bottom"/>
          </w:tcPr>
          <w:p>
            <w:pPr>
              <w:ind w:left="100"/>
              <w:spacing w:after="0"/>
              <w:rPr>
                <w:sz w:val="20"/>
                <w:szCs w:val="20"/>
                <w:color w:val="auto"/>
              </w:rPr>
            </w:pPr>
            <w:r>
              <w:rPr>
                <w:rFonts w:ascii="Arial" w:cs="Arial" w:eastAsia="Arial" w:hAnsi="Arial"/>
                <w:sz w:val="22"/>
                <w:szCs w:val="22"/>
                <w:color w:val="auto"/>
              </w:rPr>
              <w:t>Contributions from Oil States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28,257</w:t>
            </w:r>
          </w:p>
        </w:tc>
        <w:tc>
          <w:tcPr>
            <w:tcW w:w="0" w:type="dxa"/>
            <w:vAlign w:val="bottom"/>
          </w:tcPr>
          <w:p>
            <w:pPr>
              <w:spacing w:after="0"/>
              <w:rPr>
                <w:sz w:val="1"/>
                <w:szCs w:val="1"/>
                <w:color w:val="auto"/>
              </w:rPr>
            </w:pPr>
          </w:p>
        </w:tc>
      </w:tr>
      <w:tr>
        <w:trPr>
          <w:trHeight w:val="272"/>
        </w:trPr>
        <w:tc>
          <w:tcPr>
            <w:tcW w:w="7640" w:type="dxa"/>
            <w:vAlign w:val="bottom"/>
          </w:tcPr>
          <w:p>
            <w:pPr>
              <w:ind w:left="200"/>
              <w:spacing w:after="0"/>
              <w:rPr>
                <w:sz w:val="20"/>
                <w:szCs w:val="20"/>
                <w:color w:val="auto"/>
              </w:rPr>
            </w:pPr>
            <w:r>
              <w:rPr>
                <w:rFonts w:ascii="Arial" w:cs="Arial" w:eastAsia="Arial" w:hAnsi="Arial"/>
                <w:sz w:val="22"/>
                <w:szCs w:val="22"/>
                <w:color w:val="auto"/>
              </w:rPr>
              <w:t>Net cash flows provided by (used in) financing activities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(349,615)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16,232</w:t>
            </w:r>
          </w:p>
        </w:tc>
        <w:tc>
          <w:tcPr>
            <w:tcW w:w="0" w:type="dxa"/>
            <w:vAlign w:val="bottom"/>
          </w:tcPr>
          <w:p>
            <w:pPr>
              <w:spacing w:after="0"/>
              <w:rPr>
                <w:sz w:val="1"/>
                <w:szCs w:val="1"/>
                <w:color w:val="auto"/>
              </w:rPr>
            </w:pPr>
          </w:p>
        </w:tc>
      </w:tr>
      <w:tr>
        <w:trPr>
          <w:trHeight w:val="534"/>
        </w:trPr>
        <w:tc>
          <w:tcPr>
            <w:tcW w:w="764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(42,225)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(29,027)</w:t>
            </w:r>
          </w:p>
        </w:tc>
        <w:tc>
          <w:tcPr>
            <w:tcW w:w="0" w:type="dxa"/>
            <w:vAlign w:val="bottom"/>
          </w:tcPr>
          <w:p>
            <w:pPr>
              <w:spacing w:after="0"/>
              <w:rPr>
                <w:sz w:val="1"/>
                <w:szCs w:val="1"/>
                <w:color w:val="auto"/>
              </w:rPr>
            </w:pPr>
          </w:p>
        </w:tc>
      </w:tr>
      <w:tr>
        <w:trPr>
          <w:trHeight w:val="532"/>
        </w:trPr>
        <w:tc>
          <w:tcPr>
            <w:tcW w:w="764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(255,477)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39,186</w:t>
            </w:r>
          </w:p>
        </w:tc>
        <w:tc>
          <w:tcPr>
            <w:tcW w:w="0" w:type="dxa"/>
            <w:vAlign w:val="bottom"/>
          </w:tcPr>
          <w:p>
            <w:pPr>
              <w:spacing w:after="0"/>
              <w:rPr>
                <w:sz w:val="1"/>
                <w:szCs w:val="1"/>
                <w:color w:val="auto"/>
              </w:rPr>
            </w:pPr>
          </w:p>
        </w:tc>
      </w:tr>
      <w:tr>
        <w:trPr>
          <w:trHeight w:val="540"/>
        </w:trPr>
        <w:tc>
          <w:tcPr>
            <w:tcW w:w="764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263,314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224,128</w:t>
            </w:r>
          </w:p>
        </w:tc>
        <w:tc>
          <w:tcPr>
            <w:tcW w:w="0" w:type="dxa"/>
            <w:vAlign w:val="bottom"/>
          </w:tcPr>
          <w:p>
            <w:pPr>
              <w:spacing w:after="0"/>
              <w:rPr>
                <w:sz w:val="1"/>
                <w:szCs w:val="1"/>
                <w:color w:val="auto"/>
              </w:rPr>
            </w:pPr>
          </w:p>
        </w:tc>
      </w:tr>
      <w:tr>
        <w:trPr>
          <w:trHeight w:val="274"/>
        </w:trPr>
        <w:tc>
          <w:tcPr>
            <w:tcW w:w="7640" w:type="dxa"/>
            <w:vAlign w:val="bottom"/>
            <w:vMerge w:val="restart"/>
          </w:tcPr>
          <w:p>
            <w:pPr>
              <w:spacing w:after="0"/>
              <w:rPr>
                <w:sz w:val="20"/>
                <w:szCs w:val="20"/>
                <w:color w:val="auto"/>
              </w:rPr>
            </w:pPr>
            <w:r>
              <w:rPr>
                <w:rFonts w:ascii="Arial" w:cs="Arial" w:eastAsia="Arial" w:hAnsi="Arial"/>
                <w:sz w:val="22"/>
                <w:szCs w:val="22"/>
                <w:color w:val="auto"/>
              </w:rPr>
              <w:t>Cash and cash equivalents, end of period</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40" w:type="dxa"/>
            <w:vAlign w:val="bottom"/>
            <w:vMerge w:val="continue"/>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7,837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263,314</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120"/>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0"/>
          <w:szCs w:val="20"/>
          <w:color w:val="auto"/>
        </w:rPr>
      </w:pPr>
    </w:p>
    <w:p>
      <w:pPr>
        <w:jc w:val="center"/>
        <w:ind w:right="2120"/>
        <w:spacing w:after="0"/>
        <w:rPr>
          <w:sz w:val="20"/>
          <w:szCs w:val="20"/>
          <w:color w:val="auto"/>
        </w:rPr>
      </w:pPr>
      <w:r>
        <w:rPr>
          <w:rFonts w:ascii="Arial" w:cs="Arial" w:eastAsia="Arial" w:hAnsi="Arial"/>
          <w:sz w:val="22"/>
          <w:szCs w:val="22"/>
          <w:b w:val="1"/>
          <w:bCs w:val="1"/>
          <w:color w:val="auto"/>
        </w:rPr>
        <w:t>SEGMENT DATA</w:t>
      </w:r>
    </w:p>
    <w:p>
      <w:pPr>
        <w:spacing w:after="0" w:line="17" w:lineRule="exact"/>
        <w:rPr>
          <w:sz w:val="20"/>
          <w:szCs w:val="20"/>
          <w:color w:val="auto"/>
        </w:rPr>
      </w:pPr>
    </w:p>
    <w:p>
      <w:pPr>
        <w:jc w:val="center"/>
        <w:ind w:right="2120"/>
        <w:spacing w:after="0"/>
        <w:rPr>
          <w:sz w:val="20"/>
          <w:szCs w:val="20"/>
          <w:color w:val="auto"/>
        </w:rPr>
      </w:pPr>
      <w:r>
        <w:rPr>
          <w:rFonts w:ascii="Arial" w:cs="Arial" w:eastAsia="Arial" w:hAnsi="Arial"/>
          <w:sz w:val="22"/>
          <w:szCs w:val="22"/>
          <w:b w:val="1"/>
          <w:bCs w:val="1"/>
          <w:color w:val="auto"/>
        </w:rPr>
        <w:t>(in thousands)</w:t>
      </w:r>
    </w:p>
    <w:p>
      <w:pPr>
        <w:spacing w:after="0" w:line="17" w:lineRule="exact"/>
        <w:rPr>
          <w:sz w:val="20"/>
          <w:szCs w:val="20"/>
          <w:color w:val="auto"/>
        </w:rPr>
      </w:pPr>
    </w:p>
    <w:p>
      <w:pPr>
        <w:jc w:val="center"/>
        <w:ind w:right="2120"/>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20" w:type="dxa"/>
            <w:vAlign w:val="bottom"/>
          </w:tcPr>
          <w:p>
            <w:pPr>
              <w:spacing w:after="0"/>
              <w:rPr>
                <w:sz w:val="21"/>
                <w:szCs w:val="21"/>
                <w:color w:val="auto"/>
              </w:rPr>
            </w:pPr>
          </w:p>
        </w:tc>
        <w:tc>
          <w:tcPr>
            <w:tcW w:w="5480" w:type="dxa"/>
            <w:vAlign w:val="bottom"/>
            <w:gridSpan w:val="11"/>
          </w:tcPr>
          <w:p>
            <w:pPr>
              <w:ind w:left="20"/>
              <w:spacing w:after="0"/>
              <w:rPr>
                <w:sz w:val="20"/>
                <w:szCs w:val="20"/>
                <w:color w:val="auto"/>
              </w:rPr>
            </w:pPr>
            <w:r>
              <w:rPr>
                <w:rFonts w:ascii="Arial" w:cs="Arial" w:eastAsia="Arial" w:hAnsi="Arial"/>
                <w:sz w:val="22"/>
                <w:szCs w:val="22"/>
                <w:b w:val="1"/>
                <w:bCs w:val="1"/>
                <w:color w:val="auto"/>
              </w:rPr>
              <w:t>THREE MONTHS ENDED TWELVE MONTHS ENDED</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40" w:type="dxa"/>
            <w:vAlign w:val="bottom"/>
            <w:gridSpan w:val="5"/>
          </w:tcPr>
          <w:p>
            <w:pPr>
              <w:ind w:left="260"/>
              <w:spacing w:after="0"/>
              <w:rPr>
                <w:sz w:val="20"/>
                <w:szCs w:val="20"/>
                <w:color w:val="auto"/>
              </w:rPr>
            </w:pPr>
            <w:r>
              <w:rPr>
                <w:rFonts w:ascii="Arial" w:cs="Arial" w:eastAsia="Arial" w:hAnsi="Arial"/>
                <w:sz w:val="22"/>
                <w:szCs w:val="22"/>
                <w:b w:val="1"/>
                <w:bCs w:val="1"/>
                <w:color w:val="auto"/>
              </w:rPr>
              <w:t>DECEMBER 31,</w:t>
            </w:r>
          </w:p>
        </w:tc>
        <w:tc>
          <w:tcPr>
            <w:tcW w:w="300" w:type="dxa"/>
            <w:vAlign w:val="bottom"/>
          </w:tcPr>
          <w:p>
            <w:pPr>
              <w:spacing w:after="0"/>
              <w:rPr>
                <w:sz w:val="23"/>
                <w:szCs w:val="23"/>
                <w:color w:val="auto"/>
              </w:rPr>
            </w:pPr>
          </w:p>
        </w:tc>
        <w:tc>
          <w:tcPr>
            <w:tcW w:w="2480" w:type="dxa"/>
            <w:vAlign w:val="bottom"/>
            <w:gridSpan w:val="4"/>
          </w:tcPr>
          <w:p>
            <w:pPr>
              <w:jc w:val="right"/>
              <w:ind w:right="49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82"/>
        </w:trPr>
        <w:tc>
          <w:tcPr>
            <w:tcW w:w="282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2014</w:t>
            </w:r>
          </w:p>
        </w:tc>
        <w:tc>
          <w:tcPr>
            <w:tcW w:w="0" w:type="dxa"/>
            <w:vAlign w:val="bottom"/>
          </w:tcPr>
          <w:p>
            <w:pPr>
              <w:spacing w:after="0"/>
              <w:rPr>
                <w:sz w:val="1"/>
                <w:szCs w:val="1"/>
                <w:color w:val="auto"/>
              </w:rPr>
            </w:pPr>
          </w:p>
        </w:tc>
      </w:tr>
      <w:tr>
        <w:trPr>
          <w:trHeight w:val="248"/>
        </w:trPr>
        <w:tc>
          <w:tcPr>
            <w:tcW w:w="28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2820" w:type="dxa"/>
            <w:vAlign w:val="bottom"/>
          </w:tcPr>
          <w:p>
            <w:pPr>
              <w:ind w:left="100"/>
              <w:spacing w:after="0"/>
              <w:rPr>
                <w:sz w:val="20"/>
                <w:szCs w:val="20"/>
                <w:color w:val="auto"/>
              </w:rPr>
            </w:pPr>
            <w:r>
              <w:rPr>
                <w:rFonts w:ascii="Arial" w:cs="Arial" w:eastAsia="Arial" w:hAnsi="Arial"/>
                <w:sz w:val="22"/>
                <w:szCs w:val="22"/>
                <w:color w:val="auto"/>
              </w:rPr>
              <w:t>Canada</w:t>
            </w:r>
          </w:p>
        </w:tc>
        <w:tc>
          <w:tcPr>
            <w:tcW w:w="260" w:type="dxa"/>
            <w:vAlign w:val="bottom"/>
          </w:tcPr>
          <w:p>
            <w:pPr>
              <w:ind w:left="40"/>
              <w:spacing w:after="0"/>
              <w:rPr>
                <w:sz w:val="20"/>
                <w:szCs w:val="20"/>
                <w:color w:val="auto"/>
              </w:rPr>
            </w:pPr>
            <w:r>
              <w:rPr>
                <w:rFonts w:ascii="Arial" w:cs="Arial" w:eastAsia="Arial" w:hAnsi="Arial"/>
                <w:sz w:val="22"/>
                <w:szCs w:val="22"/>
                <w:color w:val="auto"/>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65,777</w:t>
            </w: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150,502</w:t>
            </w:r>
          </w:p>
        </w:tc>
        <w:tc>
          <w:tcPr>
            <w:tcW w:w="8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344,249</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661,416</w:t>
            </w:r>
          </w:p>
        </w:tc>
        <w:tc>
          <w:tcPr>
            <w:tcW w:w="0" w:type="dxa"/>
            <w:vAlign w:val="bottom"/>
          </w:tcPr>
          <w:p>
            <w:pPr>
              <w:spacing w:after="0"/>
              <w:rPr>
                <w:sz w:val="1"/>
                <w:szCs w:val="1"/>
                <w:color w:val="auto"/>
              </w:rPr>
            </w:pPr>
          </w:p>
        </w:tc>
      </w:tr>
      <w:tr>
        <w:trPr>
          <w:trHeight w:val="270"/>
        </w:trPr>
        <w:tc>
          <w:tcPr>
            <w:tcW w:w="28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26,660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49,432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135,964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213,279</w:t>
            </w:r>
          </w:p>
        </w:tc>
        <w:tc>
          <w:tcPr>
            <w:tcW w:w="0" w:type="dxa"/>
            <w:vAlign w:val="bottom"/>
          </w:tcPr>
          <w:p>
            <w:pPr>
              <w:spacing w:after="0"/>
              <w:rPr>
                <w:sz w:val="1"/>
                <w:szCs w:val="1"/>
                <w:color w:val="auto"/>
              </w:rPr>
            </w:pPr>
          </w:p>
        </w:tc>
      </w:tr>
      <w:tr>
        <w:trPr>
          <w:trHeight w:val="276"/>
        </w:trPr>
        <w:tc>
          <w:tcPr>
            <w:tcW w:w="28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4,848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19,760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37,750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68,196</w:t>
            </w:r>
          </w:p>
        </w:tc>
        <w:tc>
          <w:tcPr>
            <w:tcW w:w="0" w:type="dxa"/>
            <w:vAlign w:val="bottom"/>
          </w:tcPr>
          <w:p>
            <w:pPr>
              <w:spacing w:after="0"/>
              <w:rPr>
                <w:sz w:val="1"/>
                <w:szCs w:val="1"/>
                <w:color w:val="auto"/>
              </w:rPr>
            </w:pPr>
          </w:p>
        </w:tc>
      </w:tr>
      <w:tr>
        <w:trPr>
          <w:trHeight w:val="265"/>
        </w:trPr>
        <w:tc>
          <w:tcPr>
            <w:tcW w:w="2820" w:type="dxa"/>
            <w:vAlign w:val="bottom"/>
          </w:tcPr>
          <w:p>
            <w:pPr>
              <w:ind w:left="200"/>
              <w:spacing w:after="0"/>
              <w:rPr>
                <w:sz w:val="20"/>
                <w:szCs w:val="20"/>
                <w:color w:val="auto"/>
              </w:rPr>
            </w:pPr>
            <w:r>
              <w:rPr>
                <w:rFonts w:ascii="Arial" w:cs="Arial" w:eastAsia="Arial" w:hAnsi="Arial"/>
                <w:sz w:val="22"/>
                <w:szCs w:val="22"/>
                <w:color w:val="auto"/>
              </w:rPr>
              <w:t>Total revenues</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97,285</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219,694</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517,963</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942,891</w:t>
            </w:r>
          </w:p>
        </w:tc>
        <w:tc>
          <w:tcPr>
            <w:tcW w:w="0" w:type="dxa"/>
            <w:vAlign w:val="bottom"/>
          </w:tcPr>
          <w:p>
            <w:pPr>
              <w:spacing w:after="0"/>
              <w:rPr>
                <w:sz w:val="1"/>
                <w:szCs w:val="1"/>
                <w:color w:val="auto"/>
              </w:rPr>
            </w:pPr>
          </w:p>
        </w:tc>
      </w:tr>
      <w:tr>
        <w:trPr>
          <w:trHeight w:val="21"/>
        </w:trPr>
        <w:tc>
          <w:tcPr>
            <w:tcW w:w="282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2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100"/>
              <w:spacing w:after="0"/>
              <w:rPr>
                <w:sz w:val="20"/>
                <w:szCs w:val="20"/>
                <w:color w:val="auto"/>
              </w:rPr>
            </w:pPr>
            <w:r>
              <w:rPr>
                <w:rFonts w:ascii="Arial" w:cs="Arial" w:eastAsia="Arial" w:hAnsi="Arial"/>
                <w:sz w:val="22"/>
                <w:szCs w:val="22"/>
                <w:color w:val="auto"/>
              </w:rPr>
              <w:t>Canada</w:t>
            </w:r>
          </w:p>
        </w:tc>
        <w:tc>
          <w:tcPr>
            <w:tcW w:w="260" w:type="dxa"/>
            <w:vAlign w:val="bottom"/>
          </w:tcPr>
          <w:p>
            <w:pPr>
              <w:ind w:left="40"/>
              <w:spacing w:after="0"/>
              <w:rPr>
                <w:sz w:val="20"/>
                <w:szCs w:val="20"/>
                <w:color w:val="auto"/>
              </w:rPr>
            </w:pPr>
            <w:r>
              <w:rPr>
                <w:rFonts w:ascii="Arial" w:cs="Arial" w:eastAsia="Arial" w:hAnsi="Arial"/>
                <w:sz w:val="22"/>
                <w:szCs w:val="22"/>
                <w:color w:val="auto"/>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13,530</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39,156</w:t>
            </w:r>
          </w:p>
        </w:tc>
        <w:tc>
          <w:tcPr>
            <w:tcW w:w="8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28,215</w:t>
            </w:r>
          </w:p>
        </w:tc>
        <w:tc>
          <w:tcPr>
            <w:tcW w:w="10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214,860</w:t>
            </w:r>
          </w:p>
        </w:tc>
        <w:tc>
          <w:tcPr>
            <w:tcW w:w="0" w:type="dxa"/>
            <w:vAlign w:val="bottom"/>
          </w:tcPr>
          <w:p>
            <w:pPr>
              <w:spacing w:after="0"/>
              <w:rPr>
                <w:sz w:val="1"/>
                <w:szCs w:val="1"/>
                <w:color w:val="auto"/>
              </w:rPr>
            </w:pPr>
          </w:p>
        </w:tc>
      </w:tr>
      <w:tr>
        <w:trPr>
          <w:trHeight w:val="270"/>
        </w:trPr>
        <w:tc>
          <w:tcPr>
            <w:tcW w:w="28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13,791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(161,268)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31,919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(87,000)</w:t>
            </w:r>
          </w:p>
        </w:tc>
        <w:tc>
          <w:tcPr>
            <w:tcW w:w="0" w:type="dxa"/>
            <w:vAlign w:val="bottom"/>
          </w:tcPr>
          <w:p>
            <w:pPr>
              <w:spacing w:after="0"/>
              <w:rPr>
                <w:sz w:val="1"/>
                <w:szCs w:val="1"/>
                <w:color w:val="auto"/>
              </w:rPr>
            </w:pPr>
          </w:p>
        </w:tc>
      </w:tr>
      <w:tr>
        <w:trPr>
          <w:trHeight w:val="270"/>
        </w:trPr>
        <w:tc>
          <w:tcPr>
            <w:tcW w:w="28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(2,014)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(73,641)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(25,201)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(65,574)</w:t>
            </w:r>
          </w:p>
        </w:tc>
        <w:tc>
          <w:tcPr>
            <w:tcW w:w="0" w:type="dxa"/>
            <w:vAlign w:val="bottom"/>
          </w:tcPr>
          <w:p>
            <w:pPr>
              <w:spacing w:after="0"/>
              <w:rPr>
                <w:sz w:val="1"/>
                <w:szCs w:val="1"/>
                <w:color w:val="auto"/>
              </w:rPr>
            </w:pPr>
          </w:p>
        </w:tc>
      </w:tr>
      <w:tr>
        <w:trPr>
          <w:trHeight w:val="276"/>
        </w:trPr>
        <w:tc>
          <w:tcPr>
            <w:tcW w:w="282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(5,069)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(8,836)</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(24,765)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(24,064)</w:t>
            </w:r>
          </w:p>
        </w:tc>
        <w:tc>
          <w:tcPr>
            <w:tcW w:w="0" w:type="dxa"/>
            <w:vAlign w:val="bottom"/>
          </w:tcPr>
          <w:p>
            <w:pPr>
              <w:spacing w:after="0"/>
              <w:rPr>
                <w:sz w:val="1"/>
                <w:szCs w:val="1"/>
                <w:color w:val="auto"/>
              </w:rPr>
            </w:pPr>
          </w:p>
        </w:tc>
      </w:tr>
      <w:tr>
        <w:trPr>
          <w:trHeight w:val="265"/>
        </w:trPr>
        <w:tc>
          <w:tcPr>
            <w:tcW w:w="2820" w:type="dxa"/>
            <w:vAlign w:val="bottom"/>
          </w:tcPr>
          <w:p>
            <w:pPr>
              <w:ind w:left="200"/>
              <w:spacing w:after="0"/>
              <w:rPr>
                <w:sz w:val="20"/>
                <w:szCs w:val="20"/>
                <w:color w:val="auto"/>
              </w:rPr>
            </w:pPr>
            <w:r>
              <w:rPr>
                <w:rFonts w:ascii="Arial" w:cs="Arial" w:eastAsia="Arial" w:hAnsi="Arial"/>
                <w:sz w:val="22"/>
                <w:szCs w:val="22"/>
                <w:color w:val="auto"/>
              </w:rPr>
              <w:t>Total EBITDA</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20,238</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(204,589)</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10,168</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38,222</w:t>
            </w:r>
          </w:p>
        </w:tc>
        <w:tc>
          <w:tcPr>
            <w:tcW w:w="0" w:type="dxa"/>
            <w:vAlign w:val="bottom"/>
          </w:tcPr>
          <w:p>
            <w:pPr>
              <w:spacing w:after="0"/>
              <w:rPr>
                <w:sz w:val="1"/>
                <w:szCs w:val="1"/>
                <w:color w:val="auto"/>
              </w:rPr>
            </w:pPr>
          </w:p>
        </w:tc>
      </w:tr>
      <w:tr>
        <w:trPr>
          <w:trHeight w:val="21"/>
        </w:trPr>
        <w:tc>
          <w:tcPr>
            <w:tcW w:w="282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2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100"/>
              <w:spacing w:after="0"/>
              <w:rPr>
                <w:sz w:val="20"/>
                <w:szCs w:val="20"/>
                <w:color w:val="auto"/>
              </w:rPr>
            </w:pPr>
            <w:r>
              <w:rPr>
                <w:rFonts w:ascii="Arial" w:cs="Arial" w:eastAsia="Arial" w:hAnsi="Arial"/>
                <w:sz w:val="22"/>
                <w:szCs w:val="22"/>
                <w:color w:val="auto"/>
              </w:rPr>
              <w:t>Canada</w:t>
            </w:r>
          </w:p>
        </w:tc>
        <w:tc>
          <w:tcPr>
            <w:tcW w:w="260" w:type="dxa"/>
            <w:vAlign w:val="bottom"/>
          </w:tcPr>
          <w:p>
            <w:pPr>
              <w:ind w:left="40"/>
              <w:spacing w:after="0"/>
              <w:rPr>
                <w:sz w:val="20"/>
                <w:szCs w:val="20"/>
                <w:color w:val="auto"/>
              </w:rPr>
            </w:pPr>
            <w:r>
              <w:rPr>
                <w:rFonts w:ascii="Arial" w:cs="Arial" w:eastAsia="Arial" w:hAnsi="Arial"/>
                <w:sz w:val="22"/>
                <w:szCs w:val="22"/>
                <w:color w:val="auto"/>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13,601</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56,441</w:t>
            </w:r>
          </w:p>
        </w:tc>
        <w:tc>
          <w:tcPr>
            <w:tcW w:w="8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95,125</w:t>
            </w:r>
          </w:p>
        </w:tc>
        <w:tc>
          <w:tcPr>
            <w:tcW w:w="10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236,271</w:t>
            </w:r>
          </w:p>
        </w:tc>
        <w:tc>
          <w:tcPr>
            <w:tcW w:w="0" w:type="dxa"/>
            <w:vAlign w:val="bottom"/>
          </w:tcPr>
          <w:p>
            <w:pPr>
              <w:spacing w:after="0"/>
              <w:rPr>
                <w:sz w:val="1"/>
                <w:szCs w:val="1"/>
                <w:color w:val="auto"/>
              </w:rPr>
            </w:pPr>
          </w:p>
        </w:tc>
      </w:tr>
      <w:tr>
        <w:trPr>
          <w:trHeight w:val="270"/>
        </w:trPr>
        <w:tc>
          <w:tcPr>
            <w:tcW w:w="28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13,710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25,019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65,686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108,550</w:t>
            </w:r>
          </w:p>
        </w:tc>
        <w:tc>
          <w:tcPr>
            <w:tcW w:w="0" w:type="dxa"/>
            <w:vAlign w:val="bottom"/>
          </w:tcPr>
          <w:p>
            <w:pPr>
              <w:spacing w:after="0"/>
              <w:rPr>
                <w:sz w:val="1"/>
                <w:szCs w:val="1"/>
                <w:color w:val="auto"/>
              </w:rPr>
            </w:pPr>
          </w:p>
        </w:tc>
      </w:tr>
      <w:tr>
        <w:trPr>
          <w:trHeight w:val="275"/>
        </w:trPr>
        <w:tc>
          <w:tcPr>
            <w:tcW w:w="28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(2,014)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22"/>
                <w:szCs w:val="22"/>
                <w:color w:val="auto"/>
              </w:rPr>
              <w:t>2,050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12,900</w:t>
            </w:r>
          </w:p>
        </w:tc>
        <w:tc>
          <w:tcPr>
            <w:tcW w:w="0" w:type="dxa"/>
            <w:vAlign w:val="bottom"/>
          </w:tcPr>
          <w:p>
            <w:pPr>
              <w:spacing w:after="0"/>
              <w:rPr>
                <w:sz w:val="1"/>
                <w:szCs w:val="1"/>
                <w:color w:val="auto"/>
              </w:rPr>
            </w:pPr>
          </w:p>
        </w:tc>
      </w:tr>
    </w:tbl>
    <w:p>
      <w:pPr>
        <w:sectPr>
          <w:pgSz w:w="11900" w:h="16838" w:orient="portrait"/>
          <w:cols w:equalWidth="0" w:num="1">
            <w:col w:w="10420"/>
          </w:cols>
          <w:pgMar w:left="260" w:top="118" w:right="121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82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(3,175)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(5,768)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(18,743)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(17,944)</w:t>
            </w:r>
          </w:p>
        </w:tc>
        <w:tc>
          <w:tcPr>
            <w:tcW w:w="0" w:type="dxa"/>
            <w:vAlign w:val="bottom"/>
          </w:tcPr>
          <w:p>
            <w:pPr>
              <w:spacing w:after="0"/>
              <w:rPr>
                <w:sz w:val="1"/>
                <w:szCs w:val="1"/>
                <w:color w:val="auto"/>
              </w:rPr>
            </w:pPr>
          </w:p>
        </w:tc>
      </w:tr>
      <w:tr>
        <w:trPr>
          <w:trHeight w:val="265"/>
        </w:trPr>
        <w:tc>
          <w:tcPr>
            <w:tcW w:w="2820" w:type="dxa"/>
            <w:vAlign w:val="bottom"/>
          </w:tcPr>
          <w:p>
            <w:pPr>
              <w:ind w:left="200"/>
              <w:spacing w:after="0"/>
              <w:rPr>
                <w:sz w:val="20"/>
                <w:szCs w:val="20"/>
                <w:color w:val="auto"/>
              </w:rPr>
            </w:pPr>
            <w:r>
              <w:rPr>
                <w:rFonts w:ascii="Arial" w:cs="Arial" w:eastAsia="Arial" w:hAnsi="Arial"/>
                <w:sz w:val="22"/>
                <w:szCs w:val="22"/>
                <w:color w:val="auto"/>
              </w:rPr>
              <w:t>Total adjusted EBITDA</w:t>
            </w: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22,122</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77,742</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141,120</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339,777</w:t>
            </w:r>
          </w:p>
        </w:tc>
        <w:tc>
          <w:tcPr>
            <w:tcW w:w="0" w:type="dxa"/>
            <w:vAlign w:val="bottom"/>
          </w:tcPr>
          <w:p>
            <w:pPr>
              <w:spacing w:after="0"/>
              <w:rPr>
                <w:sz w:val="1"/>
                <w:szCs w:val="1"/>
                <w:color w:val="auto"/>
              </w:rPr>
            </w:pPr>
          </w:p>
        </w:tc>
      </w:tr>
      <w:tr>
        <w:trPr>
          <w:trHeight w:val="21"/>
        </w:trPr>
        <w:tc>
          <w:tcPr>
            <w:tcW w:w="282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100"/>
              <w:spacing w:after="0"/>
              <w:rPr>
                <w:sz w:val="20"/>
                <w:szCs w:val="20"/>
                <w:color w:val="auto"/>
              </w:rPr>
            </w:pPr>
            <w:r>
              <w:rPr>
                <w:rFonts w:ascii="Arial" w:cs="Arial" w:eastAsia="Arial" w:hAnsi="Arial"/>
                <w:sz w:val="22"/>
                <w:szCs w:val="22"/>
                <w:color w:val="auto"/>
              </w:rPr>
              <w:t>Canada</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(10,606)</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(4,163)</w:t>
            </w:r>
          </w:p>
        </w:tc>
        <w:tc>
          <w:tcPr>
            <w:tcW w:w="8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(73,215)</w:t>
            </w:r>
          </w:p>
        </w:tc>
        <w:tc>
          <w:tcPr>
            <w:tcW w:w="10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106,580</w:t>
            </w:r>
          </w:p>
        </w:tc>
        <w:tc>
          <w:tcPr>
            <w:tcW w:w="0" w:type="dxa"/>
            <w:vAlign w:val="bottom"/>
          </w:tcPr>
          <w:p>
            <w:pPr>
              <w:spacing w:after="0"/>
              <w:rPr>
                <w:sz w:val="1"/>
                <w:szCs w:val="1"/>
                <w:color w:val="auto"/>
              </w:rPr>
            </w:pPr>
          </w:p>
        </w:tc>
      </w:tr>
      <w:tr>
        <w:trPr>
          <w:trHeight w:val="270"/>
        </w:trPr>
        <w:tc>
          <w:tcPr>
            <w:tcW w:w="28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(182,009)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(24,817)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(155,851)</w:t>
            </w:r>
          </w:p>
        </w:tc>
        <w:tc>
          <w:tcPr>
            <w:tcW w:w="0" w:type="dxa"/>
            <w:vAlign w:val="bottom"/>
          </w:tcPr>
          <w:p>
            <w:pPr>
              <w:spacing w:after="0"/>
              <w:rPr>
                <w:sz w:val="1"/>
                <w:szCs w:val="1"/>
                <w:color w:val="auto"/>
              </w:rPr>
            </w:pPr>
          </w:p>
        </w:tc>
      </w:tr>
      <w:tr>
        <w:trPr>
          <w:trHeight w:val="270"/>
        </w:trPr>
        <w:tc>
          <w:tcPr>
            <w:tcW w:w="28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(6,472)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(80,295)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(40,083)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(86,959)</w:t>
            </w:r>
          </w:p>
        </w:tc>
        <w:tc>
          <w:tcPr>
            <w:tcW w:w="0" w:type="dxa"/>
            <w:vAlign w:val="bottom"/>
          </w:tcPr>
          <w:p>
            <w:pPr>
              <w:spacing w:after="0"/>
              <w:rPr>
                <w:sz w:val="1"/>
                <w:szCs w:val="1"/>
                <w:color w:val="auto"/>
              </w:rPr>
            </w:pPr>
          </w:p>
        </w:tc>
      </w:tr>
      <w:tr>
        <w:trPr>
          <w:trHeight w:val="276"/>
        </w:trPr>
        <w:tc>
          <w:tcPr>
            <w:tcW w:w="282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4,843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8,493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(6,888)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(6,661)</w:t>
            </w:r>
          </w:p>
        </w:tc>
        <w:tc>
          <w:tcPr>
            <w:tcW w:w="0" w:type="dxa"/>
            <w:vAlign w:val="bottom"/>
          </w:tcPr>
          <w:p>
            <w:pPr>
              <w:spacing w:after="0"/>
              <w:rPr>
                <w:sz w:val="1"/>
                <w:szCs w:val="1"/>
                <w:color w:val="auto"/>
              </w:rPr>
            </w:pPr>
          </w:p>
        </w:tc>
      </w:tr>
      <w:tr>
        <w:trPr>
          <w:trHeight w:val="265"/>
        </w:trPr>
        <w:tc>
          <w:tcPr>
            <w:tcW w:w="2820" w:type="dxa"/>
            <w:vAlign w:val="bottom"/>
          </w:tcPr>
          <w:p>
            <w:pPr>
              <w:ind w:left="200"/>
              <w:spacing w:after="0"/>
              <w:rPr>
                <w:sz w:val="20"/>
                <w:szCs w:val="20"/>
                <w:color w:val="auto"/>
              </w:rPr>
            </w:pPr>
            <w:r>
              <w:rPr>
                <w:rFonts w:ascii="Arial" w:cs="Arial" w:eastAsia="Arial" w:hAnsi="Arial"/>
                <w:sz w:val="22"/>
                <w:szCs w:val="22"/>
                <w:color w:val="auto"/>
                <w:w w:val="91"/>
              </w:rPr>
              <w:t>Total operating income (loss)</w:t>
            </w: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(12,902)</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(257,974)</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(145,003)</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(142,891)</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firstLine="2"/>
        <w:spacing w:after="0" w:line="272" w:lineRule="auto"/>
        <w:tabs>
          <w:tab w:leader="none" w:pos="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term EBITDA is defined as net income plus interest, taxes, depreciation and amortization. The term Adjusted EBITDA is defined as EBITDA adjusted to exclude impairment charges and certain other costs such as those incurred associated with the Spin-Off and the migration.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3" w:lineRule="exact"/>
        <w:rPr>
          <w:sz w:val="20"/>
          <w:szCs w:val="20"/>
          <w:color w:val="auto"/>
        </w:rPr>
      </w:pPr>
    </w:p>
    <w:p>
      <w:pPr>
        <w:ind w:right="680"/>
        <w:spacing w:after="0"/>
        <w:rPr>
          <w:sz w:val="20"/>
          <w:szCs w:val="20"/>
          <w:color w:val="auto"/>
        </w:rPr>
      </w:pPr>
      <w:r>
        <w:rPr>
          <w:rFonts w:ascii="Arial" w:cs="Arial" w:eastAsia="Arial" w:hAnsi="Arial"/>
          <w:sz w:val="22"/>
          <w:szCs w:val="22"/>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80" w:type="dxa"/>
            <w:vAlign w:val="bottom"/>
            <w:gridSpan w:val="5"/>
          </w:tcPr>
          <w:p>
            <w:pPr>
              <w:jc w:val="center"/>
              <w:ind w:right="400"/>
              <w:spacing w:after="0"/>
              <w:rPr>
                <w:sz w:val="20"/>
                <w:szCs w:val="20"/>
                <w:color w:val="auto"/>
              </w:rPr>
            </w:pPr>
            <w:r>
              <w:rPr>
                <w:rFonts w:ascii="Arial" w:cs="Arial" w:eastAsia="Arial" w:hAnsi="Arial"/>
                <w:sz w:val="22"/>
                <w:szCs w:val="22"/>
                <w:b w:val="1"/>
                <w:bCs w:val="1"/>
                <w:color w:val="auto"/>
                <w:w w:val="99"/>
              </w:rPr>
              <w:t>THREE MONTHS ENDED</w:t>
            </w:r>
          </w:p>
        </w:tc>
        <w:tc>
          <w:tcPr>
            <w:tcW w:w="320" w:type="dxa"/>
            <w:vAlign w:val="bottom"/>
          </w:tcPr>
          <w:p>
            <w:pPr>
              <w:spacing w:after="0"/>
              <w:rPr>
                <w:sz w:val="21"/>
                <w:szCs w:val="21"/>
                <w:color w:val="auto"/>
              </w:rPr>
            </w:pPr>
          </w:p>
        </w:tc>
        <w:tc>
          <w:tcPr>
            <w:tcW w:w="3400" w:type="dxa"/>
            <w:vAlign w:val="bottom"/>
            <w:gridSpan w:val="4"/>
          </w:tcPr>
          <w:p>
            <w:pPr>
              <w:jc w:val="right"/>
              <w:ind w:right="372"/>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4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180" w:type="dxa"/>
            <w:vAlign w:val="bottom"/>
            <w:gridSpan w:val="5"/>
          </w:tcPr>
          <w:p>
            <w:pPr>
              <w:jc w:val="center"/>
              <w:ind w:right="400"/>
              <w:spacing w:after="0"/>
              <w:rPr>
                <w:sz w:val="20"/>
                <w:szCs w:val="20"/>
                <w:color w:val="auto"/>
              </w:rPr>
            </w:pPr>
            <w:r>
              <w:rPr>
                <w:rFonts w:ascii="Arial" w:cs="Arial" w:eastAsia="Arial" w:hAnsi="Arial"/>
                <w:sz w:val="22"/>
                <w:szCs w:val="22"/>
                <w:b w:val="1"/>
                <w:bCs w:val="1"/>
                <w:color w:val="auto"/>
                <w:w w:val="97"/>
              </w:rPr>
              <w:t>DECEMBER 31,</w:t>
            </w:r>
          </w:p>
        </w:tc>
        <w:tc>
          <w:tcPr>
            <w:tcW w:w="320" w:type="dxa"/>
            <w:vAlign w:val="bottom"/>
          </w:tcPr>
          <w:p>
            <w:pPr>
              <w:spacing w:after="0"/>
              <w:rPr>
                <w:sz w:val="23"/>
                <w:szCs w:val="23"/>
                <w:color w:val="auto"/>
              </w:rPr>
            </w:pPr>
          </w:p>
        </w:tc>
        <w:tc>
          <w:tcPr>
            <w:tcW w:w="3400" w:type="dxa"/>
            <w:vAlign w:val="bottom"/>
            <w:gridSpan w:val="4"/>
          </w:tcPr>
          <w:p>
            <w:pPr>
              <w:jc w:val="right"/>
              <w:ind w:right="972"/>
              <w:spacing w:after="0"/>
              <w:rPr>
                <w:sz w:val="20"/>
                <w:szCs w:val="20"/>
                <w:color w:val="auto"/>
              </w:rPr>
            </w:pPr>
            <w:r>
              <w:rPr>
                <w:rFonts w:ascii="Arial" w:cs="Arial" w:eastAsia="Arial" w:hAnsi="Arial"/>
                <w:sz w:val="22"/>
                <w:szCs w:val="22"/>
                <w:b w:val="1"/>
                <w:bCs w:val="1"/>
                <w:color w:val="auto"/>
              </w:rPr>
              <w:t>DECEMBER 31,</w:t>
            </w:r>
          </w:p>
        </w:tc>
      </w:tr>
      <w:tr>
        <w:trPr>
          <w:trHeight w:val="282"/>
        </w:trPr>
        <w:tc>
          <w:tcPr>
            <w:tcW w:w="4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2015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2015</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2014</w:t>
            </w:r>
          </w:p>
        </w:tc>
      </w:tr>
      <w:tr>
        <w:trPr>
          <w:trHeight w:val="528"/>
        </w:trPr>
        <w:tc>
          <w:tcPr>
            <w:tcW w:w="4140" w:type="dxa"/>
            <w:vAlign w:val="bottom"/>
          </w:tcPr>
          <w:p>
            <w:pPr>
              <w:spacing w:after="0"/>
              <w:rPr>
                <w:sz w:val="20"/>
                <w:szCs w:val="20"/>
                <w:color w:val="auto"/>
              </w:rPr>
            </w:pPr>
            <w:r>
              <w:rPr>
                <w:rFonts w:ascii="Arial" w:cs="Arial" w:eastAsia="Arial" w:hAnsi="Arial"/>
                <w:sz w:val="22"/>
                <w:szCs w:val="22"/>
                <w:color w:val="auto"/>
              </w:rPr>
              <w:t>Net income (loss)</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(10,597)</w:t>
            </w:r>
          </w:p>
        </w:tc>
        <w:tc>
          <w:tcPr>
            <w:tcW w:w="120" w:type="dxa"/>
            <w:vAlign w:val="bottom"/>
          </w:tcPr>
          <w:p>
            <w:pPr>
              <w:spacing w:after="0"/>
              <w:rPr>
                <w:sz w:val="24"/>
                <w:szCs w:val="24"/>
                <w:color w:val="auto"/>
              </w:rPr>
            </w:pPr>
          </w:p>
        </w:tc>
        <w:tc>
          <w:tcPr>
            <w:tcW w:w="4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(271,634)</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420" w:type="dxa"/>
            <w:vAlign w:val="bottom"/>
          </w:tcPr>
          <w:p>
            <w:pPr>
              <w:jc w:val="right"/>
              <w:spacing w:after="0"/>
              <w:rPr>
                <w:sz w:val="20"/>
                <w:szCs w:val="20"/>
                <w:color w:val="auto"/>
              </w:rPr>
            </w:pPr>
            <w:r>
              <w:rPr>
                <w:rFonts w:ascii="Arial" w:cs="Arial" w:eastAsia="Arial" w:hAnsi="Arial"/>
                <w:sz w:val="22"/>
                <w:szCs w:val="22"/>
                <w:color w:val="auto"/>
              </w:rPr>
              <w:t>(131,759)</w:t>
            </w:r>
          </w:p>
        </w:tc>
        <w:tc>
          <w:tcPr>
            <w:tcW w:w="100" w:type="dxa"/>
            <w:vAlign w:val="bottom"/>
          </w:tcPr>
          <w:p>
            <w:pPr>
              <w:spacing w:after="0"/>
              <w:rPr>
                <w:sz w:val="24"/>
                <w:szCs w:val="24"/>
                <w:color w:val="auto"/>
              </w:rPr>
            </w:pPr>
          </w:p>
        </w:tc>
        <w:tc>
          <w:tcPr>
            <w:tcW w:w="46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420" w:type="dxa"/>
            <w:vAlign w:val="bottom"/>
          </w:tcPr>
          <w:p>
            <w:pPr>
              <w:jc w:val="right"/>
              <w:spacing w:after="0"/>
              <w:rPr>
                <w:sz w:val="20"/>
                <w:szCs w:val="20"/>
                <w:color w:val="auto"/>
              </w:rPr>
            </w:pPr>
            <w:r>
              <w:rPr>
                <w:rFonts w:ascii="Arial" w:cs="Arial" w:eastAsia="Arial" w:hAnsi="Arial"/>
                <w:sz w:val="22"/>
                <w:szCs w:val="22"/>
                <w:color w:val="auto"/>
              </w:rPr>
              <w:t>(189,043)</w:t>
            </w:r>
          </w:p>
        </w:tc>
      </w:tr>
      <w:tr>
        <w:trPr>
          <w:trHeight w:val="270"/>
        </w:trPr>
        <w:tc>
          <w:tcPr>
            <w:tcW w:w="4140" w:type="dxa"/>
            <w:vAlign w:val="bottom"/>
          </w:tcPr>
          <w:p>
            <w:pPr>
              <w:spacing w:after="0"/>
              <w:rPr>
                <w:sz w:val="20"/>
                <w:szCs w:val="20"/>
                <w:color w:val="auto"/>
              </w:rPr>
            </w:pPr>
            <w:r>
              <w:rPr>
                <w:rFonts w:ascii="Arial" w:cs="Arial" w:eastAsia="Arial" w:hAnsi="Arial"/>
                <w:sz w:val="22"/>
                <w:szCs w:val="22"/>
                <w:color w:val="auto"/>
              </w:rPr>
              <w:t>Income tax (benefit) provision</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(5,638)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14,968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(33,089)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31,379</w:t>
            </w:r>
          </w:p>
        </w:tc>
      </w:tr>
      <w:tr>
        <w:trPr>
          <w:trHeight w:val="270"/>
        </w:trPr>
        <w:tc>
          <w:tcPr>
            <w:tcW w:w="41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31,831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47,200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152,990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174,970</w:t>
            </w:r>
          </w:p>
        </w:tc>
      </w:tr>
      <w:tr>
        <w:trPr>
          <w:trHeight w:val="270"/>
        </w:trPr>
        <w:tc>
          <w:tcPr>
            <w:tcW w:w="4140" w:type="dxa"/>
            <w:vAlign w:val="bottom"/>
          </w:tcPr>
          <w:p>
            <w:pPr>
              <w:spacing w:after="0"/>
              <w:rPr>
                <w:sz w:val="20"/>
                <w:szCs w:val="20"/>
                <w:color w:val="auto"/>
              </w:rPr>
            </w:pPr>
            <w:r>
              <w:rPr>
                <w:rFonts w:ascii="Arial" w:cs="Arial" w:eastAsia="Arial" w:hAnsi="Arial"/>
                <w:sz w:val="22"/>
                <w:szCs w:val="22"/>
                <w:color w:val="auto"/>
              </w:rPr>
              <w:t>Interest income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(1,074)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(2,033)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(3,915)</w:t>
            </w:r>
          </w:p>
        </w:tc>
      </w:tr>
      <w:tr>
        <w:trPr>
          <w:trHeight w:val="275"/>
        </w:trPr>
        <w:tc>
          <w:tcPr>
            <w:tcW w:w="4140" w:type="dxa"/>
            <w:vAlign w:val="bottom"/>
          </w:tcPr>
          <w:p>
            <w:pPr>
              <w:spacing w:after="0"/>
              <w:rPr>
                <w:sz w:val="20"/>
                <w:szCs w:val="20"/>
                <w:color w:val="auto"/>
              </w:rPr>
            </w:pPr>
            <w:r>
              <w:rPr>
                <w:rFonts w:ascii="Arial" w:cs="Arial" w:eastAsia="Arial" w:hAnsi="Arial"/>
                <w:sz w:val="22"/>
                <w:szCs w:val="22"/>
                <w:color w:val="auto"/>
              </w:rPr>
              <w:t>Interest expense</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4,706</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5,951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24,059</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24,831</w:t>
            </w:r>
          </w:p>
        </w:tc>
      </w:tr>
      <w:tr>
        <w:trPr>
          <w:trHeight w:val="267"/>
        </w:trPr>
        <w:tc>
          <w:tcPr>
            <w:tcW w:w="4140" w:type="dxa"/>
            <w:vAlign w:val="bottom"/>
          </w:tcPr>
          <w:p>
            <w:pPr>
              <w:ind w:left="100"/>
              <w:spacing w:after="0"/>
              <w:rPr>
                <w:sz w:val="20"/>
                <w:szCs w:val="20"/>
                <w:color w:val="auto"/>
              </w:rPr>
            </w:pPr>
            <w:r>
              <w:rPr>
                <w:rFonts w:ascii="Arial" w:cs="Arial" w:eastAsia="Arial" w:hAnsi="Arial"/>
                <w:sz w:val="22"/>
                <w:szCs w:val="22"/>
                <w:color w:val="auto"/>
              </w:rPr>
              <w:t>EBITDA</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20,238</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(204,589)</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10,168</w:t>
            </w:r>
          </w:p>
        </w:tc>
        <w:tc>
          <w:tcPr>
            <w:tcW w:w="100" w:type="dxa"/>
            <w:vAlign w:val="bottom"/>
          </w:tcPr>
          <w:p>
            <w:pPr>
              <w:spacing w:after="0"/>
              <w:rPr>
                <w:sz w:val="23"/>
                <w:szCs w:val="23"/>
                <w:color w:val="auto"/>
              </w:rPr>
            </w:pPr>
          </w:p>
        </w:tc>
        <w:tc>
          <w:tcPr>
            <w:tcW w:w="4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38,222</w:t>
            </w:r>
          </w:p>
        </w:tc>
      </w:tr>
      <w:tr>
        <w:trPr>
          <w:trHeight w:val="255"/>
        </w:trPr>
        <w:tc>
          <w:tcPr>
            <w:tcW w:w="4140" w:type="dxa"/>
            <w:vAlign w:val="bottom"/>
          </w:tcPr>
          <w:p>
            <w:pPr>
              <w:spacing w:after="0"/>
              <w:rPr>
                <w:sz w:val="20"/>
                <w:szCs w:val="20"/>
                <w:color w:val="auto"/>
              </w:rPr>
            </w:pPr>
            <w:r>
              <w:rPr>
                <w:rFonts w:ascii="Arial" w:cs="Arial" w:eastAsia="Arial" w:hAnsi="Arial"/>
                <w:sz w:val="22"/>
                <w:szCs w:val="22"/>
                <w:color w:val="auto"/>
              </w:rPr>
              <w:t>Adjustments to EBITDA</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1"/>
        </w:trPr>
        <w:tc>
          <w:tcPr>
            <w:tcW w:w="4140" w:type="dxa"/>
            <w:vAlign w:val="bottom"/>
          </w:tcPr>
          <w:p>
            <w:pPr>
              <w:ind w:left="100"/>
              <w:spacing w:after="0"/>
              <w:rPr>
                <w:sz w:val="20"/>
                <w:szCs w:val="20"/>
                <w:color w:val="auto"/>
              </w:rPr>
            </w:pPr>
            <w:r>
              <w:rPr>
                <w:rFonts w:ascii="Arial" w:cs="Arial" w:eastAsia="Arial" w:hAnsi="Arial"/>
                <w:sz w:val="22"/>
                <w:szCs w:val="22"/>
                <w:color w:val="auto"/>
              </w:rPr>
              <w:t>Impairment of intangible assets (a)</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3,196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2,460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12,185</w:t>
            </w:r>
          </w:p>
        </w:tc>
      </w:tr>
      <w:tr>
        <w:trPr>
          <w:trHeight w:val="270"/>
        </w:trPr>
        <w:tc>
          <w:tcPr>
            <w:tcW w:w="4140" w:type="dxa"/>
            <w:vAlign w:val="bottom"/>
          </w:tcPr>
          <w:p>
            <w:pPr>
              <w:ind w:left="100"/>
              <w:spacing w:after="0"/>
              <w:rPr>
                <w:sz w:val="20"/>
                <w:szCs w:val="20"/>
                <w:color w:val="auto"/>
              </w:rPr>
            </w:pPr>
            <w:r>
              <w:rPr>
                <w:rFonts w:ascii="Arial" w:cs="Arial" w:eastAsia="Arial" w:hAnsi="Arial"/>
                <w:sz w:val="22"/>
                <w:szCs w:val="22"/>
                <w:color w:val="auto"/>
              </w:rPr>
              <w:t>Impairment of fixed assets (b)</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72,973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74,534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75,594</w:t>
            </w:r>
          </w:p>
        </w:tc>
      </w:tr>
      <w:tr>
        <w:trPr>
          <w:trHeight w:val="270"/>
        </w:trPr>
        <w:tc>
          <w:tcPr>
            <w:tcW w:w="4140" w:type="dxa"/>
            <w:vAlign w:val="bottom"/>
          </w:tcPr>
          <w:p>
            <w:pPr>
              <w:ind w:left="100"/>
              <w:spacing w:after="0"/>
              <w:rPr>
                <w:sz w:val="20"/>
                <w:szCs w:val="20"/>
                <w:color w:val="auto"/>
              </w:rPr>
            </w:pPr>
            <w:r>
              <w:rPr>
                <w:rFonts w:ascii="Arial" w:cs="Arial" w:eastAsia="Arial" w:hAnsi="Arial"/>
                <w:sz w:val="22"/>
                <w:szCs w:val="22"/>
                <w:color w:val="auto"/>
              </w:rPr>
              <w:t>Impairment of goodwill (c)</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202,729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43,194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202,729</w:t>
            </w:r>
          </w:p>
        </w:tc>
      </w:tr>
      <w:tr>
        <w:trPr>
          <w:trHeight w:val="270"/>
        </w:trPr>
        <w:tc>
          <w:tcPr>
            <w:tcW w:w="4140" w:type="dxa"/>
            <w:vAlign w:val="bottom"/>
          </w:tcPr>
          <w:p>
            <w:pPr>
              <w:ind w:left="100"/>
              <w:spacing w:after="0"/>
              <w:rPr>
                <w:sz w:val="20"/>
                <w:szCs w:val="20"/>
                <w:color w:val="auto"/>
              </w:rPr>
            </w:pPr>
            <w:r>
              <w:rPr>
                <w:rFonts w:ascii="Arial" w:cs="Arial" w:eastAsia="Arial" w:hAnsi="Arial"/>
                <w:sz w:val="22"/>
                <w:szCs w:val="22"/>
                <w:color w:val="auto"/>
              </w:rPr>
              <w:t>Severance costs (d)</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4,117</w:t>
            </w:r>
          </w:p>
        </w:tc>
      </w:tr>
      <w:tr>
        <w:trPr>
          <w:trHeight w:val="270"/>
        </w:trPr>
        <w:tc>
          <w:tcPr>
            <w:tcW w:w="4140" w:type="dxa"/>
            <w:vAlign w:val="bottom"/>
          </w:tcPr>
          <w:p>
            <w:pPr>
              <w:ind w:left="100"/>
              <w:spacing w:after="0"/>
              <w:rPr>
                <w:sz w:val="20"/>
                <w:szCs w:val="20"/>
                <w:color w:val="auto"/>
              </w:rPr>
            </w:pPr>
            <w:r>
              <w:rPr>
                <w:rFonts w:ascii="Arial" w:cs="Arial" w:eastAsia="Arial" w:hAnsi="Arial"/>
                <w:sz w:val="22"/>
                <w:szCs w:val="22"/>
                <w:color w:val="auto"/>
              </w:rPr>
              <w:t>Transition costs (e)</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853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4,350</w:t>
            </w:r>
          </w:p>
        </w:tc>
      </w:tr>
      <w:tr>
        <w:trPr>
          <w:trHeight w:val="270"/>
        </w:trPr>
        <w:tc>
          <w:tcPr>
            <w:tcW w:w="4140" w:type="dxa"/>
            <w:vAlign w:val="bottom"/>
          </w:tcPr>
          <w:p>
            <w:pPr>
              <w:ind w:left="100"/>
              <w:spacing w:after="0"/>
              <w:rPr>
                <w:sz w:val="20"/>
                <w:szCs w:val="20"/>
                <w:color w:val="auto"/>
              </w:rPr>
            </w:pPr>
            <w:r>
              <w:rPr>
                <w:rFonts w:ascii="Arial" w:cs="Arial" w:eastAsia="Arial" w:hAnsi="Arial"/>
                <w:sz w:val="22"/>
                <w:szCs w:val="22"/>
                <w:color w:val="auto"/>
              </w:rPr>
              <w:t>Migration costs (f)</w:t>
            </w:r>
          </w:p>
        </w:tc>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1,884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2,580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jc w:val="right"/>
              <w:ind w:right="32"/>
              <w:spacing w:after="0"/>
              <w:rPr>
                <w:sz w:val="20"/>
                <w:szCs w:val="20"/>
                <w:color w:val="auto"/>
              </w:rPr>
            </w:pPr>
            <w:r>
              <w:rPr>
                <w:rFonts w:ascii="Arial" w:cs="Arial" w:eastAsia="Arial" w:hAnsi="Arial"/>
                <w:sz w:val="22"/>
                <w:szCs w:val="22"/>
                <w:color w:val="auto"/>
              </w:rPr>
              <w:t>7,011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2,580</w:t>
            </w:r>
          </w:p>
        </w:tc>
      </w:tr>
      <w:tr>
        <w:trPr>
          <w:trHeight w:val="276"/>
        </w:trPr>
        <w:tc>
          <w:tcPr>
            <w:tcW w:w="4140" w:type="dxa"/>
            <w:vAlign w:val="bottom"/>
          </w:tcPr>
          <w:p>
            <w:pPr>
              <w:ind w:left="100"/>
              <w:spacing w:after="0"/>
              <w:rPr>
                <w:sz w:val="20"/>
                <w:szCs w:val="20"/>
                <w:color w:val="auto"/>
              </w:rPr>
            </w:pPr>
            <w:r>
              <w:rPr>
                <w:rFonts w:ascii="Arial" w:cs="Arial" w:eastAsia="Arial" w:hAnsi="Arial"/>
                <w:sz w:val="22"/>
                <w:szCs w:val="22"/>
                <w:color w:val="auto"/>
              </w:rPr>
              <w:t>Loss on assets held for sale (g)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3,753</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65"/>
        </w:trPr>
        <w:tc>
          <w:tcPr>
            <w:tcW w:w="4140" w:type="dxa"/>
            <w:vAlign w:val="bottom"/>
          </w:tcPr>
          <w:p>
            <w:pPr>
              <w:ind w:left="200"/>
              <w:spacing w:after="0"/>
              <w:rPr>
                <w:sz w:val="20"/>
                <w:szCs w:val="20"/>
                <w:color w:val="auto"/>
              </w:rPr>
            </w:pPr>
            <w:r>
              <w:rPr>
                <w:rFonts w:ascii="Arial" w:cs="Arial" w:eastAsia="Arial" w:hAnsi="Arial"/>
                <w:sz w:val="22"/>
                <w:szCs w:val="22"/>
                <w:color w:val="auto"/>
              </w:rPr>
              <w:t>Adjusted EBITDA</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22,122</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77,742</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141,120</w:t>
            </w:r>
          </w:p>
        </w:tc>
        <w:tc>
          <w:tcPr>
            <w:tcW w:w="100" w:type="dxa"/>
            <w:vAlign w:val="bottom"/>
          </w:tcPr>
          <w:p>
            <w:pPr>
              <w:spacing w:after="0"/>
              <w:rPr>
                <w:sz w:val="23"/>
                <w:szCs w:val="23"/>
                <w:color w:val="auto"/>
              </w:rPr>
            </w:pPr>
          </w:p>
        </w:tc>
        <w:tc>
          <w:tcPr>
            <w:tcW w:w="4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339,777</w:t>
            </w:r>
          </w:p>
        </w:tc>
      </w:tr>
      <w:tr>
        <w:trPr>
          <w:trHeight w:val="21"/>
        </w:trPr>
        <w:tc>
          <w:tcPr>
            <w:tcW w:w="4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80" w:firstLine="2"/>
        <w:spacing w:after="0" w:line="273" w:lineRule="auto"/>
        <w:tabs>
          <w:tab w:leader="none" w:pos="294" w:val="left"/>
        </w:tabs>
        <w:numPr>
          <w:ilvl w:val="0"/>
          <w:numId w:val="5"/>
        </w:numPr>
        <w:rPr>
          <w:rFonts w:ascii="Arial" w:cs="Arial" w:eastAsia="Arial" w:hAnsi="Arial"/>
          <w:sz w:val="19"/>
          <w:szCs w:val="19"/>
          <w:color w:val="auto"/>
        </w:rPr>
      </w:pPr>
      <w:r>
        <w:rPr>
          <w:rFonts w:ascii="Arial" w:cs="Arial" w:eastAsia="Arial" w:hAnsi="Arial"/>
          <w:sz w:val="19"/>
          <w:szCs w:val="19"/>
          <w:color w:val="auto"/>
        </w:rPr>
        <w:t>2015 relates to the impairment of an intangible asset in the U.S. The U.S. intangible impairment resulted from an assessment of the carrying value of our long-lived assets, which evaluation included amortizable intangible assets. The $2.5 million impairment ($1.6 million after-tax, or $0.01 per diluted share), which is related to our U.S. segment, is included in Impairment expense on the statements of operations. 2014 relates to the fourth quarter impairment of an intangible asset in the U.S. and the second quarter impairment of an intangible asset in Australia. The U.S. intangible impairment resulted from an assessment of the carrying value of our long-lived assets, which evaluation included amortizable intangible assets. The $3.2 million impairment ($2.1 million after-tax, or $0.02 per diluted share), which is related to our U.S. segment, is included in Impairment expense on the statements of operations. Due to the Spin-Off, and the resulting rebranding of the Company’s Australian operations from The Mac to Civeo Australia, it was determined that the fair value of an intangible asset associated with The Mac brand was zero. The $9.0 million impairment ($6.3 million after-tax, or $0.06 per diluted share), which is related to our Australia segment, is included in Impairment expense on the statements of operations.</w:t>
      </w:r>
    </w:p>
    <w:p>
      <w:pPr>
        <w:sectPr>
          <w:pgSz w:w="11900" w:h="16838" w:orient="portrait"/>
          <w:cols w:equalWidth="0" w:num="1">
            <w:col w:w="11320"/>
          </w:cols>
          <w:pgMar w:left="260" w:top="118" w:right="319" w:bottom="0" w:gutter="0" w:footer="0" w:header="0"/>
        </w:sectPr>
      </w:pPr>
    </w:p>
    <w:bookmarkStart w:id="11" w:name="page12"/>
    <w:bookmarkEnd w:id="11"/>
    <w:p>
      <w:pPr>
        <w:ind w:left="-2" w:right="60" w:firstLine="2"/>
        <w:spacing w:after="0" w:line="245" w:lineRule="auto"/>
        <w:tabs>
          <w:tab w:leader="none" w:pos="304" w:val="left"/>
        </w:tabs>
        <w:numPr>
          <w:ilvl w:val="0"/>
          <w:numId w:val="6"/>
        </w:numPr>
        <w:rPr>
          <w:rFonts w:ascii="Arial" w:cs="Arial" w:eastAsia="Arial" w:hAnsi="Arial"/>
          <w:sz w:val="21"/>
          <w:szCs w:val="21"/>
          <w:color w:val="auto"/>
        </w:rPr>
      </w:pPr>
      <w:r>
        <w:rPr>
          <w:rFonts w:ascii="Arial" w:cs="Arial" w:eastAsia="Arial" w:hAnsi="Arial"/>
          <w:sz w:val="21"/>
          <w:szCs w:val="21"/>
          <w:color w:val="auto"/>
        </w:rPr>
        <w:t>2015 relates to the impairment of certain fixed assets which carrying value we have determined to not to be recoverable. The $74.5 million impairment ($52.0 million after-tax, or $0.49 per diluted share) is included in Impairment expense on the statements of operations. 2014 relates to the fourth quarter impairment of long-lived assets in the U.S. and Canada and the second quarter impairment of certain fixed assets which are not in our custody, and for which return has been determined to be uncertain. The $73.0 million fourth quarter impairment includes a $55.8 million fixed asset impairment ($36.3 million after-tax, or $0.34 per diluted share) in our U.S. segment and a $17.2 million impairment ($12.9 million after-tax, or $0.12 per diluted share) in our Canadian segment, is included in Impairment expense on the statements of operations. An additional second quarter impairment of $2.6 million ($1.7 million after-tax, or $0.02 per diluted share), which is related to our U.S. segment, is included in Impairment expense on the statements of operations.</w:t>
      </w:r>
    </w:p>
    <w:p>
      <w:pPr>
        <w:spacing w:after="0" w:line="266" w:lineRule="exact"/>
        <w:rPr>
          <w:rFonts w:ascii="Arial" w:cs="Arial" w:eastAsia="Arial" w:hAnsi="Arial"/>
          <w:sz w:val="21"/>
          <w:szCs w:val="21"/>
          <w:color w:val="auto"/>
        </w:rPr>
      </w:pPr>
    </w:p>
    <w:p>
      <w:pPr>
        <w:jc w:val="both"/>
        <w:ind w:left="-2" w:right="280" w:firstLine="2"/>
        <w:spacing w:after="0" w:line="252" w:lineRule="auto"/>
        <w:tabs>
          <w:tab w:leader="none" w:pos="292" w:val="left"/>
        </w:tabs>
        <w:numPr>
          <w:ilvl w:val="0"/>
          <w:numId w:val="6"/>
        </w:numPr>
        <w:rPr>
          <w:rFonts w:ascii="Arial" w:cs="Arial" w:eastAsia="Arial" w:hAnsi="Arial"/>
          <w:sz w:val="21"/>
          <w:szCs w:val="21"/>
          <w:color w:val="auto"/>
        </w:rPr>
      </w:pPr>
      <w:r>
        <w:rPr>
          <w:rFonts w:ascii="Arial" w:cs="Arial" w:eastAsia="Arial" w:hAnsi="Arial"/>
          <w:sz w:val="21"/>
          <w:szCs w:val="21"/>
          <w:color w:val="auto"/>
        </w:rPr>
        <w:t>Relates to the impairment of goodwill. The $43.2 million impairment ($43.2 million after-tax, or $0.40 per diluted share) in 2015, which is related to our Canadian segment, is included in Impairment expense on the statements of operations. The $202.7 million impairment ($201.2 million after-tax, or $1.89 per diluted share) in 2014, which is related to our U.S. and Australian segments, is included in Impairment expense on the statements of operations.</w:t>
      </w:r>
    </w:p>
    <w:p>
      <w:pPr>
        <w:spacing w:after="0" w:line="255" w:lineRule="exact"/>
        <w:rPr>
          <w:rFonts w:ascii="Arial" w:cs="Arial" w:eastAsia="Arial" w:hAnsi="Arial"/>
          <w:sz w:val="21"/>
          <w:szCs w:val="21"/>
          <w:color w:val="auto"/>
        </w:rPr>
      </w:pPr>
    </w:p>
    <w:p>
      <w:pPr>
        <w:ind w:left="-2" w:right="20" w:firstLine="2"/>
        <w:spacing w:after="0"/>
        <w:tabs>
          <w:tab w:leader="none" w:pos="304" w:val="left"/>
        </w:tabs>
        <w:numPr>
          <w:ilvl w:val="0"/>
          <w:numId w:val="6"/>
        </w:numPr>
        <w:rPr>
          <w:rFonts w:ascii="Arial" w:cs="Arial" w:eastAsia="Arial" w:hAnsi="Arial"/>
          <w:sz w:val="22"/>
          <w:szCs w:val="22"/>
          <w:color w:val="auto"/>
        </w:rPr>
      </w:pPr>
      <w:r>
        <w:rPr>
          <w:rFonts w:ascii="Arial" w:cs="Arial" w:eastAsia="Arial" w:hAnsi="Arial"/>
          <w:sz w:val="22"/>
          <w:szCs w:val="22"/>
          <w:color w:val="auto"/>
        </w:rPr>
        <w:t>Relates to severance costs associated with the termination of an executive. The $4.1 million expense ($3.1 million after-tax, or $0.03 per diluted share), which is related to our Canadian segment, is included in Selling, general and administrative expenses on the statements of operations.</w:t>
      </w:r>
    </w:p>
    <w:p>
      <w:pPr>
        <w:spacing w:after="0" w:line="267" w:lineRule="exact"/>
        <w:rPr>
          <w:rFonts w:ascii="Arial" w:cs="Arial" w:eastAsia="Arial" w:hAnsi="Arial"/>
          <w:sz w:val="22"/>
          <w:szCs w:val="22"/>
          <w:color w:val="auto"/>
        </w:rPr>
      </w:pPr>
    </w:p>
    <w:p>
      <w:pPr>
        <w:ind w:left="-2" w:right="80" w:firstLine="2"/>
        <w:spacing w:after="0"/>
        <w:tabs>
          <w:tab w:leader="none" w:pos="292" w:val="left"/>
        </w:tabs>
        <w:numPr>
          <w:ilvl w:val="0"/>
          <w:numId w:val="6"/>
        </w:numPr>
        <w:rPr>
          <w:rFonts w:ascii="Arial" w:cs="Arial" w:eastAsia="Arial" w:hAnsi="Arial"/>
          <w:sz w:val="22"/>
          <w:szCs w:val="22"/>
          <w:color w:val="auto"/>
        </w:rPr>
      </w:pPr>
      <w:r>
        <w:rPr>
          <w:rFonts w:ascii="Arial" w:cs="Arial" w:eastAsia="Arial" w:hAnsi="Arial"/>
          <w:sz w:val="22"/>
          <w:szCs w:val="22"/>
          <w:color w:val="auto"/>
        </w:rPr>
        <w:t>Relates to transition costs incurred associated with becoming a stand-alone company. The $0.9 million and $4.4 million in costs ($0.6 million and $2.9 million after-tax, or $0.01 and $0.03 per diluted share, respectively), which are primarily corporate in nature, are included in Spin-off and formation costs on the statements of operations.</w:t>
      </w:r>
    </w:p>
    <w:p>
      <w:pPr>
        <w:spacing w:after="0" w:line="267" w:lineRule="exact"/>
        <w:rPr>
          <w:rFonts w:ascii="Arial" w:cs="Arial" w:eastAsia="Arial" w:hAnsi="Arial"/>
          <w:sz w:val="22"/>
          <w:szCs w:val="22"/>
          <w:color w:val="auto"/>
        </w:rPr>
      </w:pPr>
    </w:p>
    <w:p>
      <w:pPr>
        <w:ind w:left="-2" w:right="120" w:firstLine="2"/>
        <w:spacing w:after="0" w:line="249" w:lineRule="auto"/>
        <w:tabs>
          <w:tab w:leader="none" w:pos="268" w:val="left"/>
        </w:tabs>
        <w:numPr>
          <w:ilvl w:val="0"/>
          <w:numId w:val="6"/>
        </w:numPr>
        <w:rPr>
          <w:rFonts w:ascii="Arial" w:cs="Arial" w:eastAsia="Arial" w:hAnsi="Arial"/>
          <w:sz w:val="21"/>
          <w:szCs w:val="21"/>
          <w:color w:val="auto"/>
        </w:rPr>
      </w:pPr>
      <w:r>
        <w:rPr>
          <w:rFonts w:ascii="Arial" w:cs="Arial" w:eastAsia="Arial" w:hAnsi="Arial"/>
          <w:sz w:val="21"/>
          <w:szCs w:val="21"/>
          <w:color w:val="auto"/>
        </w:rPr>
        <w:t>Relates to costs incurred associated with the Company's redomiciliation to Canada. The $1.9 million and $7.0 million in 2015 costs ($1.2 million and $4.6 million, respectively, after-tax, or $0.01 and $0.05, respectively, per diluted share), which are primarily corporate in nature, are included in Selling, general and administrative costs on the statements of operations. The $2.6 million in 2014 costs ($1.7 million after-tax, or $0.02 per diluted share, respectively), which are primarily corporate in nature, are included in Selling, general and administrative costs on the statements of operations.</w:t>
      </w:r>
    </w:p>
    <w:p>
      <w:pPr>
        <w:spacing w:after="0" w:line="259" w:lineRule="exact"/>
        <w:rPr>
          <w:rFonts w:ascii="Arial" w:cs="Arial" w:eastAsia="Arial" w:hAnsi="Arial"/>
          <w:sz w:val="21"/>
          <w:szCs w:val="21"/>
          <w:color w:val="auto"/>
        </w:rPr>
      </w:pPr>
    </w:p>
    <w:p>
      <w:pPr>
        <w:jc w:val="both"/>
        <w:ind w:left="-2" w:right="20" w:firstLine="2"/>
        <w:spacing w:after="0" w:line="238" w:lineRule="auto"/>
        <w:tabs>
          <w:tab w:leader="none" w:pos="304" w:val="left"/>
        </w:tabs>
        <w:numPr>
          <w:ilvl w:val="0"/>
          <w:numId w:val="6"/>
        </w:numPr>
        <w:rPr>
          <w:rFonts w:ascii="Arial" w:cs="Arial" w:eastAsia="Arial" w:hAnsi="Arial"/>
          <w:sz w:val="22"/>
          <w:szCs w:val="22"/>
          <w:color w:val="auto"/>
        </w:rPr>
      </w:pPr>
      <w:r>
        <w:rPr>
          <w:rFonts w:ascii="Arial" w:cs="Arial" w:eastAsia="Arial" w:hAnsi="Arial"/>
          <w:sz w:val="22"/>
          <w:szCs w:val="22"/>
          <w:color w:val="auto"/>
        </w:rPr>
        <w:t>Relates to the first quarter 2015 decision to close a manufacturing facility in the United States. As a result, the related assets were written down to their estimated sales proceeds, less costs to sell. We recorded a pre-tax loss of $3.8 million ($2.4 million after-tax, or $0.02 per diluted share), of which $1.1 million is included in Cost of sales and services and $2.7 million is included in Impairment expense on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7"/>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0"/>
          <w:szCs w:val="20"/>
          <w:color w:val="auto"/>
        </w:rPr>
      </w:pPr>
    </w:p>
    <w:p>
      <w:pPr>
        <w:jc w:val="center"/>
        <w:ind w:left="320" w:right="2200"/>
        <w:spacing w:after="0" w:line="26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225" w:lineRule="exact"/>
        <w:rPr>
          <w:sz w:val="20"/>
          <w:szCs w:val="20"/>
          <w:color w:val="auto"/>
        </w:rPr>
      </w:pPr>
    </w:p>
    <w:tbl>
      <w:tblPr>
        <w:tblLayout w:type="fixed"/>
        <w:tblInd w:w="78" w:type="dxa"/>
        <w:tblCellMar>
          <w:top w:w="0" w:type="dxa"/>
          <w:left w:w="0" w:type="dxa"/>
          <w:bottom w:w="0" w:type="dxa"/>
          <w:right w:w="0" w:type="dxa"/>
        </w:tblCellMar>
      </w:tblPr>
      <w:tr>
        <w:trPr>
          <w:trHeight w:val="253"/>
        </w:trPr>
        <w:tc>
          <w:tcPr>
            <w:tcW w:w="5280" w:type="dxa"/>
            <w:vAlign w:val="bottom"/>
          </w:tcPr>
          <w:p>
            <w:pPr>
              <w:spacing w:after="0"/>
              <w:rPr>
                <w:sz w:val="21"/>
                <w:szCs w:val="21"/>
                <w:color w:val="auto"/>
              </w:rPr>
            </w:pPr>
          </w:p>
        </w:tc>
        <w:tc>
          <w:tcPr>
            <w:tcW w:w="2820" w:type="dxa"/>
            <w:vAlign w:val="bottom"/>
            <w:gridSpan w:val="6"/>
          </w:tcPr>
          <w:p>
            <w:pPr>
              <w:jc w:val="center"/>
              <w:ind w:right="80"/>
              <w:spacing w:after="0"/>
              <w:rPr>
                <w:sz w:val="20"/>
                <w:szCs w:val="20"/>
                <w:color w:val="auto"/>
              </w:rPr>
            </w:pPr>
            <w:r>
              <w:rPr>
                <w:rFonts w:ascii="Arial" w:cs="Arial" w:eastAsia="Arial" w:hAnsi="Arial"/>
                <w:sz w:val="22"/>
                <w:szCs w:val="22"/>
                <w:b w:val="1"/>
                <w:bCs w:val="1"/>
                <w:color w:val="auto"/>
                <w:w w:val="99"/>
              </w:rPr>
              <w:t>THREE MONTHS ENDED</w:t>
            </w:r>
          </w:p>
        </w:tc>
        <w:tc>
          <w:tcPr>
            <w:tcW w:w="160" w:type="dxa"/>
            <w:vAlign w:val="bottom"/>
          </w:tcPr>
          <w:p>
            <w:pPr>
              <w:spacing w:after="0"/>
              <w:rPr>
                <w:sz w:val="21"/>
                <w:szCs w:val="21"/>
                <w:color w:val="auto"/>
              </w:rPr>
            </w:pPr>
          </w:p>
        </w:tc>
        <w:tc>
          <w:tcPr>
            <w:tcW w:w="2980" w:type="dxa"/>
            <w:vAlign w:val="bottom"/>
            <w:gridSpan w:val="4"/>
          </w:tcPr>
          <w:p>
            <w:pPr>
              <w:jc w:val="right"/>
              <w:ind w:right="92"/>
              <w:spacing w:after="0"/>
              <w:rPr>
                <w:sz w:val="20"/>
                <w:szCs w:val="20"/>
                <w:color w:val="auto"/>
              </w:rPr>
            </w:pPr>
            <w:r>
              <w:rPr>
                <w:rFonts w:ascii="Arial" w:cs="Arial" w:eastAsia="Arial" w:hAnsi="Arial"/>
                <w:sz w:val="22"/>
                <w:szCs w:val="22"/>
                <w:b w:val="1"/>
                <w:bCs w:val="1"/>
                <w:color w:val="auto"/>
                <w:w w:val="99"/>
              </w:rPr>
              <w:t>TWELVE MONTHS ENDED</w:t>
            </w:r>
          </w:p>
        </w:tc>
      </w:tr>
      <w:tr>
        <w:trPr>
          <w:trHeight w:val="270"/>
        </w:trPr>
        <w:tc>
          <w:tcPr>
            <w:tcW w:w="5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97"/>
              </w:rPr>
              <w:t>DECEMBER 31,</w:t>
            </w:r>
          </w:p>
        </w:tc>
        <w:tc>
          <w:tcPr>
            <w:tcW w:w="160" w:type="dxa"/>
            <w:vAlign w:val="bottom"/>
          </w:tcPr>
          <w:p>
            <w:pPr>
              <w:spacing w:after="0"/>
              <w:rPr>
                <w:sz w:val="23"/>
                <w:szCs w:val="23"/>
                <w:color w:val="auto"/>
              </w:rPr>
            </w:pPr>
          </w:p>
        </w:tc>
        <w:tc>
          <w:tcPr>
            <w:tcW w:w="298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DECEMBER 31,</w:t>
            </w:r>
          </w:p>
        </w:tc>
      </w:tr>
      <w:tr>
        <w:trPr>
          <w:trHeight w:val="281"/>
        </w:trPr>
        <w:tc>
          <w:tcPr>
            <w:tcW w:w="5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2014</w:t>
            </w:r>
          </w:p>
        </w:tc>
      </w:tr>
      <w:tr>
        <w:trPr>
          <w:trHeight w:val="529"/>
        </w:trPr>
        <w:tc>
          <w:tcPr>
            <w:tcW w:w="5280" w:type="dxa"/>
            <w:vAlign w:val="bottom"/>
          </w:tcPr>
          <w:p>
            <w:pPr>
              <w:spacing w:after="0"/>
              <w:rPr>
                <w:sz w:val="20"/>
                <w:szCs w:val="20"/>
                <w:color w:val="auto"/>
              </w:rPr>
            </w:pPr>
            <w:r>
              <w:rPr>
                <w:rFonts w:ascii="Arial" w:cs="Arial" w:eastAsia="Arial" w:hAnsi="Arial"/>
                <w:sz w:val="22"/>
                <w:szCs w:val="22"/>
                <w:b w:val="1"/>
                <w:bCs w:val="1"/>
                <w:color w:val="auto"/>
              </w:rPr>
              <w:t>Supplemental Operating Data - Canadian Segment</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280" w:type="dxa"/>
            <w:vAlign w:val="bottom"/>
          </w:tcPr>
          <w:p>
            <w:pPr>
              <w:ind w:left="120"/>
              <w:spacing w:after="0"/>
              <w:rPr>
                <w:sz w:val="20"/>
                <w:szCs w:val="20"/>
                <w:color w:val="auto"/>
              </w:rPr>
            </w:pPr>
            <w:r>
              <w:rPr>
                <w:rFonts w:ascii="Arial" w:cs="Arial" w:eastAsia="Arial" w:hAnsi="Arial"/>
                <w:sz w:val="22"/>
                <w:szCs w:val="22"/>
                <w:color w:val="auto"/>
              </w:rPr>
              <w:t>Revenues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5280" w:type="dxa"/>
            <w:vAlign w:val="bottom"/>
          </w:tcPr>
          <w:p>
            <w:pPr>
              <w:ind w:left="200"/>
              <w:spacing w:after="0"/>
              <w:rPr>
                <w:sz w:val="20"/>
                <w:szCs w:val="20"/>
                <w:color w:val="auto"/>
              </w:rPr>
            </w:pPr>
            <w:r>
              <w:rPr>
                <w:rFonts w:ascii="Arial" w:cs="Arial" w:eastAsia="Arial" w:hAnsi="Arial"/>
                <w:sz w:val="22"/>
                <w:szCs w:val="22"/>
                <w:color w:val="auto"/>
              </w:rPr>
              <w:t>Lodge revenues (1)</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53,590</w:t>
            </w:r>
          </w:p>
        </w:tc>
        <w:tc>
          <w:tcPr>
            <w:tcW w:w="80" w:type="dxa"/>
            <w:vAlign w:val="bottom"/>
          </w:tcPr>
          <w:p>
            <w:pPr>
              <w:spacing w:after="0"/>
              <w:rPr>
                <w:sz w:val="23"/>
                <w:szCs w:val="23"/>
                <w:color w:val="auto"/>
              </w:rPr>
            </w:pPr>
          </w:p>
        </w:tc>
        <w:tc>
          <w:tcPr>
            <w:tcW w:w="300" w:type="dxa"/>
            <w:vAlign w:val="bottom"/>
          </w:tcPr>
          <w:p>
            <w:pPr>
              <w:jc w:val="center"/>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32"/>
              <w:spacing w:after="0"/>
              <w:rPr>
                <w:sz w:val="20"/>
                <w:szCs w:val="20"/>
                <w:color w:val="auto"/>
              </w:rPr>
            </w:pPr>
            <w:r>
              <w:rPr>
                <w:rFonts w:ascii="Arial" w:cs="Arial" w:eastAsia="Arial" w:hAnsi="Arial"/>
                <w:sz w:val="22"/>
                <w:szCs w:val="22"/>
                <w:color w:val="auto"/>
              </w:rPr>
              <w:t>117,516</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267,486</w:t>
            </w:r>
          </w:p>
        </w:tc>
        <w:tc>
          <w:tcPr>
            <w:tcW w:w="1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497,216</w:t>
            </w:r>
          </w:p>
        </w:tc>
      </w:tr>
      <w:tr>
        <w:trPr>
          <w:trHeight w:val="275"/>
        </w:trPr>
        <w:tc>
          <w:tcPr>
            <w:tcW w:w="5280" w:type="dxa"/>
            <w:vAlign w:val="bottom"/>
          </w:tcPr>
          <w:p>
            <w:pPr>
              <w:ind w:left="200"/>
              <w:spacing w:after="0"/>
              <w:rPr>
                <w:sz w:val="20"/>
                <w:szCs w:val="20"/>
                <w:color w:val="auto"/>
              </w:rPr>
            </w:pPr>
            <w:r>
              <w:rPr>
                <w:rFonts w:ascii="Arial" w:cs="Arial" w:eastAsia="Arial" w:hAnsi="Arial"/>
                <w:sz w:val="22"/>
                <w:szCs w:val="22"/>
                <w:color w:val="auto"/>
              </w:rPr>
              <w:t>Mobile, open camp and product revenues</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12,187</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32,986</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76,763</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164,200</w:t>
            </w:r>
          </w:p>
        </w:tc>
      </w:tr>
      <w:tr>
        <w:trPr>
          <w:trHeight w:val="272"/>
        </w:trPr>
        <w:tc>
          <w:tcPr>
            <w:tcW w:w="5280" w:type="dxa"/>
            <w:vAlign w:val="bottom"/>
          </w:tcPr>
          <w:p>
            <w:pPr>
              <w:ind w:left="260"/>
              <w:spacing w:after="0"/>
              <w:rPr>
                <w:sz w:val="20"/>
                <w:szCs w:val="20"/>
                <w:color w:val="auto"/>
              </w:rPr>
            </w:pPr>
            <w:r>
              <w:rPr>
                <w:rFonts w:ascii="Arial" w:cs="Arial" w:eastAsia="Arial" w:hAnsi="Arial"/>
                <w:sz w:val="22"/>
                <w:szCs w:val="22"/>
                <w:color w:val="auto"/>
              </w:rPr>
              <w:t>Total Canadian revenues</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65,777</w:t>
            </w:r>
          </w:p>
        </w:tc>
        <w:tc>
          <w:tcPr>
            <w:tcW w:w="80" w:type="dxa"/>
            <w:vAlign w:val="bottom"/>
          </w:tcPr>
          <w:p>
            <w:pPr>
              <w:spacing w:after="0"/>
              <w:rPr>
                <w:sz w:val="23"/>
                <w:szCs w:val="23"/>
                <w:color w:val="auto"/>
              </w:rPr>
            </w:pPr>
          </w:p>
        </w:tc>
        <w:tc>
          <w:tcPr>
            <w:tcW w:w="300" w:type="dxa"/>
            <w:vAlign w:val="bottom"/>
          </w:tcPr>
          <w:p>
            <w:pPr>
              <w:jc w:val="center"/>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32"/>
              <w:spacing w:after="0"/>
              <w:rPr>
                <w:sz w:val="20"/>
                <w:szCs w:val="20"/>
                <w:color w:val="auto"/>
              </w:rPr>
            </w:pPr>
            <w:r>
              <w:rPr>
                <w:rFonts w:ascii="Arial" w:cs="Arial" w:eastAsia="Arial" w:hAnsi="Arial"/>
                <w:sz w:val="22"/>
                <w:szCs w:val="22"/>
                <w:color w:val="auto"/>
              </w:rPr>
              <w:t>150,502</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344,249</w:t>
            </w:r>
          </w:p>
        </w:tc>
        <w:tc>
          <w:tcPr>
            <w:tcW w:w="1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661,416</w:t>
            </w:r>
          </w:p>
        </w:tc>
      </w:tr>
      <w:tr>
        <w:trPr>
          <w:trHeight w:val="532"/>
        </w:trPr>
        <w:tc>
          <w:tcPr>
            <w:tcW w:w="5280" w:type="dxa"/>
            <w:vAlign w:val="bottom"/>
          </w:tcPr>
          <w:p>
            <w:pPr>
              <w:ind w:left="120"/>
              <w:spacing w:after="0"/>
              <w:rPr>
                <w:sz w:val="20"/>
                <w:szCs w:val="20"/>
                <w:color w:val="auto"/>
              </w:rPr>
            </w:pPr>
            <w:r>
              <w:rPr>
                <w:rFonts w:ascii="Arial" w:cs="Arial" w:eastAsia="Arial" w:hAnsi="Arial"/>
                <w:sz w:val="22"/>
                <w:szCs w:val="22"/>
                <w:color w:val="auto"/>
              </w:rPr>
              <w:t>Average available lodge rooms (2)</w:t>
            </w:r>
          </w:p>
        </w:tc>
        <w:tc>
          <w:tcPr>
            <w:tcW w:w="240" w:type="dxa"/>
            <w:vAlign w:val="bottom"/>
          </w:tcPr>
          <w:p>
            <w:pPr>
              <w:spacing w:after="0"/>
              <w:rPr>
                <w:sz w:val="24"/>
                <w:szCs w:val="24"/>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13,972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22"/>
                <w:szCs w:val="22"/>
                <w:color w:val="auto"/>
              </w:rPr>
              <w:t>13,365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13,435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12,557</w:t>
            </w:r>
          </w:p>
        </w:tc>
      </w:tr>
      <w:tr>
        <w:trPr>
          <w:trHeight w:val="540"/>
        </w:trPr>
        <w:tc>
          <w:tcPr>
            <w:tcW w:w="5280" w:type="dxa"/>
            <w:vAlign w:val="bottom"/>
          </w:tcPr>
          <w:p>
            <w:pPr>
              <w:ind w:left="120"/>
              <w:spacing w:after="0"/>
              <w:rPr>
                <w:sz w:val="20"/>
                <w:szCs w:val="20"/>
                <w:color w:val="auto"/>
              </w:rPr>
            </w:pPr>
            <w:r>
              <w:rPr>
                <w:rFonts w:ascii="Arial" w:cs="Arial" w:eastAsia="Arial" w:hAnsi="Arial"/>
                <w:sz w:val="22"/>
                <w:szCs w:val="22"/>
                <w:color w:val="auto"/>
              </w:rPr>
              <w:t>Rentable rooms (3)</w:t>
            </w:r>
          </w:p>
        </w:tc>
        <w:tc>
          <w:tcPr>
            <w:tcW w:w="240" w:type="dxa"/>
            <w:vAlign w:val="bottom"/>
          </w:tcPr>
          <w:p>
            <w:pPr>
              <w:spacing w:after="0"/>
              <w:rPr>
                <w:sz w:val="24"/>
                <w:szCs w:val="24"/>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9,841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22"/>
                <w:szCs w:val="22"/>
                <w:color w:val="auto"/>
              </w:rPr>
              <w:t>11,005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10,054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11,007</w:t>
            </w:r>
          </w:p>
        </w:tc>
      </w:tr>
      <w:tr>
        <w:trPr>
          <w:trHeight w:val="540"/>
        </w:trPr>
        <w:tc>
          <w:tcPr>
            <w:tcW w:w="5280" w:type="dxa"/>
            <w:vAlign w:val="bottom"/>
          </w:tcPr>
          <w:p>
            <w:pPr>
              <w:ind w:left="120"/>
              <w:spacing w:after="0"/>
              <w:rPr>
                <w:sz w:val="20"/>
                <w:szCs w:val="20"/>
                <w:color w:val="auto"/>
              </w:rPr>
            </w:pPr>
            <w:r>
              <w:rPr>
                <w:rFonts w:ascii="Arial" w:cs="Arial" w:eastAsia="Arial" w:hAnsi="Arial"/>
                <w:sz w:val="22"/>
                <w:szCs w:val="22"/>
                <w:color w:val="auto"/>
              </w:rPr>
              <w:t>Average daily rates (4)</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114</w:t>
            </w:r>
          </w:p>
        </w:tc>
        <w:tc>
          <w:tcPr>
            <w:tcW w:w="80" w:type="dxa"/>
            <w:vAlign w:val="bottom"/>
          </w:tcPr>
          <w:p>
            <w:pPr>
              <w:spacing w:after="0"/>
              <w:rPr>
                <w:sz w:val="24"/>
                <w:szCs w:val="24"/>
                <w:color w:val="auto"/>
              </w:rPr>
            </w:pPr>
          </w:p>
        </w:tc>
        <w:tc>
          <w:tcPr>
            <w:tcW w:w="300" w:type="dxa"/>
            <w:vAlign w:val="bottom"/>
          </w:tcPr>
          <w:p>
            <w:pPr>
              <w:jc w:val="center"/>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32"/>
              <w:spacing w:after="0"/>
              <w:rPr>
                <w:sz w:val="20"/>
                <w:szCs w:val="20"/>
                <w:color w:val="auto"/>
              </w:rPr>
            </w:pPr>
            <w:r>
              <w:rPr>
                <w:rFonts w:ascii="Arial" w:cs="Arial" w:eastAsia="Arial" w:hAnsi="Arial"/>
                <w:sz w:val="22"/>
                <w:szCs w:val="22"/>
                <w:color w:val="auto"/>
              </w:rPr>
              <w:t>145</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121</w:t>
            </w:r>
          </w:p>
        </w:tc>
        <w:tc>
          <w:tcPr>
            <w:tcW w:w="10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146</w:t>
            </w:r>
          </w:p>
        </w:tc>
      </w:tr>
      <w:tr>
        <w:trPr>
          <w:trHeight w:val="540"/>
        </w:trPr>
        <w:tc>
          <w:tcPr>
            <w:tcW w:w="5280" w:type="dxa"/>
            <w:vAlign w:val="bottom"/>
          </w:tcPr>
          <w:p>
            <w:pPr>
              <w:ind w:left="120"/>
              <w:spacing w:after="0"/>
              <w:rPr>
                <w:sz w:val="20"/>
                <w:szCs w:val="20"/>
                <w:color w:val="auto"/>
              </w:rPr>
            </w:pPr>
            <w:r>
              <w:rPr>
                <w:rFonts w:ascii="Arial" w:cs="Arial" w:eastAsia="Arial" w:hAnsi="Arial"/>
                <w:sz w:val="22"/>
                <w:szCs w:val="22"/>
                <w:color w:val="auto"/>
              </w:rPr>
              <w:t>Occupancy in lodges (5)</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60%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85%</w:t>
            </w:r>
          </w:p>
        </w:tc>
      </w:tr>
      <w:tr>
        <w:trPr>
          <w:trHeight w:val="540"/>
        </w:trPr>
        <w:tc>
          <w:tcPr>
            <w:tcW w:w="5280" w:type="dxa"/>
            <w:vAlign w:val="bottom"/>
          </w:tcPr>
          <w:p>
            <w:pPr>
              <w:ind w:left="120"/>
              <w:spacing w:after="0"/>
              <w:rPr>
                <w:sz w:val="20"/>
                <w:szCs w:val="20"/>
                <w:color w:val="auto"/>
              </w:rPr>
            </w:pPr>
            <w:r>
              <w:rPr>
                <w:rFonts w:ascii="Arial" w:cs="Arial" w:eastAsia="Arial" w:hAnsi="Arial"/>
                <w:sz w:val="22"/>
                <w:szCs w:val="22"/>
                <w:color w:val="auto"/>
              </w:rPr>
              <w:t>Canadian dollar to U.S. dollar</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0.749</w:t>
            </w:r>
          </w:p>
        </w:tc>
        <w:tc>
          <w:tcPr>
            <w:tcW w:w="80" w:type="dxa"/>
            <w:vAlign w:val="bottom"/>
          </w:tcPr>
          <w:p>
            <w:pPr>
              <w:spacing w:after="0"/>
              <w:rPr>
                <w:sz w:val="24"/>
                <w:szCs w:val="24"/>
                <w:color w:val="auto"/>
              </w:rPr>
            </w:pPr>
          </w:p>
        </w:tc>
        <w:tc>
          <w:tcPr>
            <w:tcW w:w="300" w:type="dxa"/>
            <w:vAlign w:val="bottom"/>
          </w:tcPr>
          <w:p>
            <w:pPr>
              <w:jc w:val="center"/>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32"/>
              <w:spacing w:after="0"/>
              <w:rPr>
                <w:sz w:val="20"/>
                <w:szCs w:val="20"/>
                <w:color w:val="auto"/>
              </w:rPr>
            </w:pPr>
            <w:r>
              <w:rPr>
                <w:rFonts w:ascii="Arial" w:cs="Arial" w:eastAsia="Arial" w:hAnsi="Arial"/>
                <w:sz w:val="22"/>
                <w:szCs w:val="22"/>
                <w:color w:val="auto"/>
              </w:rPr>
              <w:t>0.881</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0.783</w:t>
            </w:r>
          </w:p>
        </w:tc>
        <w:tc>
          <w:tcPr>
            <w:tcW w:w="10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0.906</w:t>
            </w:r>
          </w:p>
        </w:tc>
      </w:tr>
    </w:tbl>
    <w:p>
      <w:pPr>
        <w:sectPr>
          <w:pgSz w:w="11900" w:h="16838" w:orient="portrait"/>
          <w:cols w:equalWidth="0" w:num="1">
            <w:col w:w="11318"/>
          </w:cols>
          <w:pgMar w:left="262" w:top="388" w:right="319" w:bottom="134" w:gutter="0" w:footer="0" w:header="0"/>
        </w:sectPr>
      </w:pPr>
    </w:p>
    <w:bookmarkStart w:id="12" w:name="page13"/>
    <w:bookmarkEnd w:id="12"/>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77"/>
        </w:trPr>
        <w:tc>
          <w:tcPr>
            <w:tcW w:w="5040" w:type="dxa"/>
            <w:vAlign w:val="bottom"/>
          </w:tcPr>
          <w:p>
            <w:pPr>
              <w:spacing w:after="0"/>
              <w:rPr>
                <w:sz w:val="20"/>
                <w:szCs w:val="20"/>
                <w:color w:val="auto"/>
              </w:rPr>
            </w:pPr>
            <w:r>
              <w:rPr>
                <w:rFonts w:ascii="Arial" w:cs="Arial" w:eastAsia="Arial" w:hAnsi="Arial"/>
                <w:sz w:val="22"/>
                <w:szCs w:val="22"/>
                <w:b w:val="1"/>
                <w:bCs w:val="1"/>
                <w:color w:val="auto"/>
                <w:w w:val="93"/>
              </w:rPr>
              <w:t>Supplemental Operating Data - Australian Segment</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040" w:type="dxa"/>
            <w:vAlign w:val="bottom"/>
          </w:tcPr>
          <w:p>
            <w:pPr>
              <w:ind w:left="120"/>
              <w:spacing w:after="0"/>
              <w:rPr>
                <w:sz w:val="20"/>
                <w:szCs w:val="20"/>
                <w:color w:val="auto"/>
              </w:rPr>
            </w:pPr>
            <w:r>
              <w:rPr>
                <w:rFonts w:ascii="Arial" w:cs="Arial" w:eastAsia="Arial" w:hAnsi="Arial"/>
                <w:sz w:val="22"/>
                <w:szCs w:val="22"/>
                <w:color w:val="auto"/>
              </w:rPr>
              <w:t>Revenues</w:t>
            </w: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5040" w:type="dxa"/>
            <w:vAlign w:val="bottom"/>
          </w:tcPr>
          <w:p>
            <w:pPr>
              <w:ind w:left="200"/>
              <w:spacing w:after="0"/>
              <w:rPr>
                <w:sz w:val="20"/>
                <w:szCs w:val="20"/>
                <w:color w:val="auto"/>
              </w:rPr>
            </w:pPr>
            <w:r>
              <w:rPr>
                <w:rFonts w:ascii="Arial" w:cs="Arial" w:eastAsia="Arial" w:hAnsi="Arial"/>
                <w:sz w:val="22"/>
                <w:szCs w:val="22"/>
                <w:color w:val="auto"/>
              </w:rPr>
              <w:t>Village revenues (1)</w:t>
            </w:r>
          </w:p>
        </w:tc>
        <w:tc>
          <w:tcPr>
            <w:tcW w:w="5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26,660</w:t>
            </w:r>
          </w:p>
        </w:tc>
        <w:tc>
          <w:tcPr>
            <w:tcW w:w="4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52"/>
              <w:spacing w:after="0"/>
              <w:rPr>
                <w:sz w:val="20"/>
                <w:szCs w:val="20"/>
                <w:color w:val="auto"/>
              </w:rPr>
            </w:pPr>
            <w:r>
              <w:rPr>
                <w:rFonts w:ascii="Arial" w:cs="Arial" w:eastAsia="Arial" w:hAnsi="Arial"/>
                <w:sz w:val="22"/>
                <w:szCs w:val="22"/>
                <w:color w:val="auto"/>
              </w:rPr>
              <w:t>49,432</w:t>
            </w:r>
          </w:p>
        </w:tc>
        <w:tc>
          <w:tcPr>
            <w:tcW w:w="3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135,964</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213,279</w:t>
            </w:r>
          </w:p>
        </w:tc>
      </w:tr>
      <w:tr>
        <w:trPr>
          <w:trHeight w:val="540"/>
        </w:trPr>
        <w:tc>
          <w:tcPr>
            <w:tcW w:w="5040" w:type="dxa"/>
            <w:vAlign w:val="bottom"/>
          </w:tcPr>
          <w:p>
            <w:pPr>
              <w:ind w:left="120"/>
              <w:spacing w:after="0"/>
              <w:rPr>
                <w:sz w:val="20"/>
                <w:szCs w:val="20"/>
                <w:color w:val="auto"/>
              </w:rPr>
            </w:pPr>
            <w:r>
              <w:rPr>
                <w:rFonts w:ascii="Arial" w:cs="Arial" w:eastAsia="Arial" w:hAnsi="Arial"/>
                <w:sz w:val="22"/>
                <w:szCs w:val="22"/>
                <w:color w:val="auto"/>
              </w:rPr>
              <w:t>Average available village rooms (2)</w:t>
            </w:r>
          </w:p>
        </w:tc>
        <w:tc>
          <w:tcPr>
            <w:tcW w:w="50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9,064</w:t>
            </w:r>
          </w:p>
        </w:tc>
        <w:tc>
          <w:tcPr>
            <w:tcW w:w="440" w:type="dxa"/>
            <w:vAlign w:val="bottom"/>
          </w:tcPr>
          <w:p>
            <w:pPr>
              <w:spacing w:after="0"/>
              <w:rPr>
                <w:sz w:val="24"/>
                <w:szCs w:val="24"/>
                <w:color w:val="auto"/>
              </w:rPr>
            </w:pPr>
          </w:p>
        </w:tc>
        <w:tc>
          <w:tcPr>
            <w:tcW w:w="1080" w:type="dxa"/>
            <w:vAlign w:val="bottom"/>
          </w:tcPr>
          <w:p>
            <w:pPr>
              <w:jc w:val="right"/>
              <w:ind w:right="152"/>
              <w:spacing w:after="0"/>
              <w:rPr>
                <w:sz w:val="20"/>
                <w:szCs w:val="20"/>
                <w:color w:val="auto"/>
              </w:rPr>
            </w:pPr>
            <w:r>
              <w:rPr>
                <w:rFonts w:ascii="Arial" w:cs="Arial" w:eastAsia="Arial" w:hAnsi="Arial"/>
                <w:sz w:val="22"/>
                <w:szCs w:val="22"/>
                <w:color w:val="auto"/>
              </w:rPr>
              <w:t>9,296</w:t>
            </w:r>
          </w:p>
        </w:tc>
        <w:tc>
          <w:tcPr>
            <w:tcW w:w="38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9,180</w:t>
            </w:r>
          </w:p>
        </w:tc>
        <w:tc>
          <w:tcPr>
            <w:tcW w:w="4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9,271</w:t>
            </w:r>
          </w:p>
        </w:tc>
      </w:tr>
      <w:tr>
        <w:trPr>
          <w:trHeight w:val="540"/>
        </w:trPr>
        <w:tc>
          <w:tcPr>
            <w:tcW w:w="5040" w:type="dxa"/>
            <w:vAlign w:val="bottom"/>
          </w:tcPr>
          <w:p>
            <w:pPr>
              <w:ind w:left="120"/>
              <w:spacing w:after="0"/>
              <w:rPr>
                <w:sz w:val="20"/>
                <w:szCs w:val="20"/>
                <w:color w:val="auto"/>
              </w:rPr>
            </w:pPr>
            <w:r>
              <w:rPr>
                <w:rFonts w:ascii="Arial" w:cs="Arial" w:eastAsia="Arial" w:hAnsi="Arial"/>
                <w:sz w:val="22"/>
                <w:szCs w:val="22"/>
                <w:color w:val="auto"/>
              </w:rPr>
              <w:t>Rentable rooms (3)</w:t>
            </w:r>
          </w:p>
        </w:tc>
        <w:tc>
          <w:tcPr>
            <w:tcW w:w="50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8,585</w:t>
            </w:r>
          </w:p>
        </w:tc>
        <w:tc>
          <w:tcPr>
            <w:tcW w:w="440" w:type="dxa"/>
            <w:vAlign w:val="bottom"/>
          </w:tcPr>
          <w:p>
            <w:pPr>
              <w:spacing w:after="0"/>
              <w:rPr>
                <w:sz w:val="24"/>
                <w:szCs w:val="24"/>
                <w:color w:val="auto"/>
              </w:rPr>
            </w:pPr>
          </w:p>
        </w:tc>
        <w:tc>
          <w:tcPr>
            <w:tcW w:w="1080" w:type="dxa"/>
            <w:vAlign w:val="bottom"/>
          </w:tcPr>
          <w:p>
            <w:pPr>
              <w:jc w:val="right"/>
              <w:ind w:right="152"/>
              <w:spacing w:after="0"/>
              <w:rPr>
                <w:sz w:val="20"/>
                <w:szCs w:val="20"/>
                <w:color w:val="auto"/>
              </w:rPr>
            </w:pPr>
            <w:r>
              <w:rPr>
                <w:rFonts w:ascii="Arial" w:cs="Arial" w:eastAsia="Arial" w:hAnsi="Arial"/>
                <w:sz w:val="22"/>
                <w:szCs w:val="22"/>
                <w:color w:val="auto"/>
              </w:rPr>
              <w:t>9,145</w:t>
            </w:r>
          </w:p>
        </w:tc>
        <w:tc>
          <w:tcPr>
            <w:tcW w:w="38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8,862</w:t>
            </w:r>
          </w:p>
        </w:tc>
        <w:tc>
          <w:tcPr>
            <w:tcW w:w="4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9,079</w:t>
            </w:r>
          </w:p>
        </w:tc>
      </w:tr>
      <w:tr>
        <w:trPr>
          <w:trHeight w:val="540"/>
        </w:trPr>
        <w:tc>
          <w:tcPr>
            <w:tcW w:w="5040" w:type="dxa"/>
            <w:vAlign w:val="bottom"/>
          </w:tcPr>
          <w:p>
            <w:pPr>
              <w:ind w:left="120"/>
              <w:spacing w:after="0"/>
              <w:rPr>
                <w:sz w:val="20"/>
                <w:szCs w:val="20"/>
                <w:color w:val="auto"/>
              </w:rPr>
            </w:pPr>
            <w:r>
              <w:rPr>
                <w:rFonts w:ascii="Arial" w:cs="Arial" w:eastAsia="Arial" w:hAnsi="Arial"/>
                <w:sz w:val="22"/>
                <w:szCs w:val="22"/>
                <w:color w:val="auto"/>
              </w:rPr>
              <w:t>Average daily rates (4)</w:t>
            </w:r>
          </w:p>
        </w:tc>
        <w:tc>
          <w:tcPr>
            <w:tcW w:w="5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69</w:t>
            </w:r>
          </w:p>
        </w:tc>
        <w:tc>
          <w:tcPr>
            <w:tcW w:w="4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52"/>
              <w:spacing w:after="0"/>
              <w:rPr>
                <w:sz w:val="20"/>
                <w:szCs w:val="20"/>
                <w:color w:val="auto"/>
              </w:rPr>
            </w:pPr>
            <w:r>
              <w:rPr>
                <w:rFonts w:ascii="Arial" w:cs="Arial" w:eastAsia="Arial" w:hAnsi="Arial"/>
                <w:sz w:val="22"/>
                <w:szCs w:val="22"/>
                <w:color w:val="auto"/>
              </w:rPr>
              <w:t>87</w:t>
            </w:r>
          </w:p>
        </w:tc>
        <w:tc>
          <w:tcPr>
            <w:tcW w:w="3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74</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94</w:t>
            </w:r>
          </w:p>
        </w:tc>
      </w:tr>
      <w:tr>
        <w:trPr>
          <w:trHeight w:val="540"/>
        </w:trPr>
        <w:tc>
          <w:tcPr>
            <w:tcW w:w="5040" w:type="dxa"/>
            <w:vAlign w:val="bottom"/>
          </w:tcPr>
          <w:p>
            <w:pPr>
              <w:ind w:left="120"/>
              <w:spacing w:after="0"/>
              <w:rPr>
                <w:sz w:val="20"/>
                <w:szCs w:val="20"/>
                <w:color w:val="auto"/>
              </w:rPr>
            </w:pPr>
            <w:r>
              <w:rPr>
                <w:rFonts w:ascii="Arial" w:cs="Arial" w:eastAsia="Arial" w:hAnsi="Arial"/>
                <w:sz w:val="22"/>
                <w:szCs w:val="22"/>
                <w:color w:val="auto"/>
              </w:rPr>
              <w:t>Occupancy in villages (5)</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49%</w:t>
            </w: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67%</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56%</w:t>
            </w: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540"/>
        </w:trPr>
        <w:tc>
          <w:tcPr>
            <w:tcW w:w="5040" w:type="dxa"/>
            <w:vAlign w:val="bottom"/>
          </w:tcPr>
          <w:p>
            <w:pPr>
              <w:ind w:left="120"/>
              <w:spacing w:after="0"/>
              <w:rPr>
                <w:sz w:val="20"/>
                <w:szCs w:val="20"/>
                <w:color w:val="auto"/>
              </w:rPr>
            </w:pPr>
            <w:r>
              <w:rPr>
                <w:rFonts w:ascii="Arial" w:cs="Arial" w:eastAsia="Arial" w:hAnsi="Arial"/>
                <w:sz w:val="22"/>
                <w:szCs w:val="22"/>
                <w:color w:val="auto"/>
              </w:rPr>
              <w:t>Australian dollar to U.S. dollar</w:t>
            </w:r>
          </w:p>
        </w:tc>
        <w:tc>
          <w:tcPr>
            <w:tcW w:w="5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0.720</w:t>
            </w:r>
          </w:p>
        </w:tc>
        <w:tc>
          <w:tcPr>
            <w:tcW w:w="4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152"/>
              <w:spacing w:after="0"/>
              <w:rPr>
                <w:sz w:val="20"/>
                <w:szCs w:val="20"/>
                <w:color w:val="auto"/>
              </w:rPr>
            </w:pPr>
            <w:r>
              <w:rPr>
                <w:rFonts w:ascii="Arial" w:cs="Arial" w:eastAsia="Arial" w:hAnsi="Arial"/>
                <w:sz w:val="22"/>
                <w:szCs w:val="22"/>
                <w:color w:val="auto"/>
              </w:rPr>
              <w:t>0.856</w:t>
            </w:r>
          </w:p>
        </w:tc>
        <w:tc>
          <w:tcPr>
            <w:tcW w:w="3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0.752</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0.902</w:t>
            </w:r>
          </w:p>
        </w:tc>
      </w:tr>
    </w:tbl>
    <w:p>
      <w:pPr>
        <w:spacing w:after="0" w:line="266" w:lineRule="exact"/>
        <w:rPr>
          <w:sz w:val="20"/>
          <w:szCs w:val="20"/>
          <w:color w:val="auto"/>
        </w:rPr>
      </w:pPr>
    </w:p>
    <w:p>
      <w:pPr>
        <w:ind w:left="100" w:right="20" w:firstLine="3"/>
        <w:spacing w:after="0" w:line="251" w:lineRule="auto"/>
        <w:tabs>
          <w:tab w:leader="none" w:pos="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revenue related to rooms as well as the fees associated with catering, laundry and other services including facilities management.</w:t>
      </w:r>
    </w:p>
    <w:p>
      <w:pPr>
        <w:spacing w:after="0" w:line="254" w:lineRule="exact"/>
        <w:rPr>
          <w:rFonts w:ascii="Arial" w:cs="Arial" w:eastAsia="Arial" w:hAnsi="Arial"/>
          <w:sz w:val="22"/>
          <w:szCs w:val="22"/>
          <w:color w:val="auto"/>
        </w:rPr>
      </w:pPr>
    </w:p>
    <w:p>
      <w:pPr>
        <w:ind w:left="100" w:right="520" w:firstLine="3"/>
        <w:spacing w:after="0" w:line="251" w:lineRule="auto"/>
        <w:tabs>
          <w:tab w:leader="none" w:pos="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left="100" w:firstLine="3"/>
        <w:spacing w:after="0" w:line="251" w:lineRule="auto"/>
        <w:tabs>
          <w:tab w:leader="none" w:pos="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 of service rooms.</w:t>
      </w:r>
    </w:p>
    <w:p>
      <w:pPr>
        <w:spacing w:after="0" w:line="254" w:lineRule="exact"/>
        <w:rPr>
          <w:rFonts w:ascii="Arial" w:cs="Arial" w:eastAsia="Arial" w:hAnsi="Arial"/>
          <w:sz w:val="22"/>
          <w:szCs w:val="22"/>
          <w:color w:val="auto"/>
        </w:rPr>
      </w:pPr>
    </w:p>
    <w:p>
      <w:pPr>
        <w:ind w:left="460" w:hanging="357"/>
        <w:spacing w:after="0"/>
        <w:tabs>
          <w:tab w:leader="none" w:pos="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100" w:right="420" w:firstLine="3"/>
        <w:spacing w:after="0" w:line="251" w:lineRule="auto"/>
        <w:tabs>
          <w:tab w:leader="none" w:pos="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Anne Pearson / Lisa Elliott</w:t>
      </w:r>
    </w:p>
    <w:p>
      <w:pPr>
        <w:spacing w:after="0" w:line="238" w:lineRule="auto"/>
        <w:rPr>
          <w:sz w:val="20"/>
          <w:szCs w:val="20"/>
          <w:color w:val="auto"/>
        </w:rPr>
      </w:pPr>
      <w:r>
        <w:rPr>
          <w:rFonts w:ascii="Arial" w:cs="Arial" w:eastAsia="Arial" w:hAnsi="Arial"/>
          <w:sz w:val="22"/>
          <w:szCs w:val="22"/>
          <w:color w:val="auto"/>
        </w:rPr>
        <w:t>Dennard ▪ Lascar Associates</w:t>
      </w:r>
    </w:p>
    <w:p>
      <w:pPr>
        <w:spacing w:after="0"/>
        <w:rPr>
          <w:sz w:val="20"/>
          <w:szCs w:val="20"/>
          <w:color w:val="auto"/>
        </w:rPr>
      </w:pPr>
      <w:r>
        <w:rPr>
          <w:rFonts w:ascii="Arial" w:cs="Arial" w:eastAsia="Arial" w:hAnsi="Arial"/>
          <w:sz w:val="22"/>
          <w:szCs w:val="22"/>
          <w:color w:val="auto"/>
        </w:rPr>
        <w:t>713-529-6600</w:t>
      </w:r>
    </w:p>
    <w:sectPr>
      <w:pgSz w:w="11900" w:h="16838" w:orient="portrait"/>
      <w:cols w:equalWidth="0" w:num="1">
        <w:col w:w="11200"/>
      </w:cols>
      <w:pgMar w:left="240" w:top="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4"/>
    </w:lvl>
  </w:abstractNum>
  <w:abstractNum w:abstractNumId="1">
    <w:nsid w:val="238E1F29"/>
    <w:multiLevelType w:val="hybridMultilevel"/>
    <w:lvl w:ilvl="0">
      <w:lvlJc w:val="left"/>
      <w:lvlText w:val="(%1)"/>
      <w:numFmt w:val="decimal"/>
      <w:start w:val="877"/>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2019-12-08T23:09:34Z</dcterms:created>
  <dcterms:modified xsi:type="dcterms:W3CDTF">2019-12-08T23:09:34Z</dcterms:modified>
</cp:coreProperties>
</file>