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16700083162.xml.htm"/>
      <w:bookmarkStart w:id="1" w:name="kswfform4_16461670008316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Brewer Barclay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4980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highlight w:val="white"/>
              </w:rPr>
              <w:t>CVEO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Vice President and Controller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02/22/2022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2,272</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9,647</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2,272</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22.51</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7,375</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64" w:type="dxa"/>
        <w:jc w:val="left"/>
        <w:tblInd w:w="0" w:type="dxa"/>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Phantom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2,272</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2,272</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10,587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phantom share was the economic equivalent of one Civeo common share and is payable in cash. The phantom shares vest at various times based on grant date. 2,272 shares vested on February 22,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/s/Barclay Brewer, by Bradley Dodson,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4660"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581</Words>
  <CharactersWithSpaces>3623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