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SWANSON DOUGLAS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8"/>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15"/>
                <w:szCs w:val="15"/>
                <w:color w:val="auto"/>
              </w:rPr>
            </w:pPr>
          </w:p>
        </w:tc>
        <w:tc>
          <w:tcPr>
            <w:tcW w:w="3600" w:type="dxa"/>
            <w:vAlign w:val="bottom"/>
            <w:gridSpan w:val="8"/>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95" w:lineRule="exact"/>
              <w:rPr>
                <w:sz w:val="20"/>
                <w:szCs w:val="20"/>
                <w:color w:val="auto"/>
              </w:rPr>
            </w:pPr>
            <w:r>
              <w:rPr>
                <w:rFonts w:ascii="Arial" w:cs="Arial" w:eastAsia="Arial" w:hAnsi="Arial"/>
                <w:sz w:val="18"/>
                <w:szCs w:val="18"/>
                <w:color w:val="0000FF"/>
              </w:rPr>
              <w:t>06/03/2014</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2"/>
                <w:szCs w:val="12"/>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vMerge w:val="restart"/>
          </w:tcPr>
          <w:p>
            <w:pPr>
              <w:spacing w:after="0"/>
              <w:rPr>
                <w:sz w:val="4"/>
                <w:szCs w:val="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7"/>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gridSpan w:val="3"/>
          </w:tcPr>
          <w:p>
            <w:pPr>
              <w:ind w:left="560"/>
              <w:spacing w:after="0"/>
              <w:rPr>
                <w:sz w:val="20"/>
                <w:szCs w:val="20"/>
                <w:color w:val="auto"/>
              </w:rPr>
            </w:pPr>
            <w:r>
              <w:rPr>
                <w:rFonts w:ascii="Arial" w:cs="Arial" w:eastAsia="Arial" w:hAnsi="Arial"/>
                <w:sz w:val="18"/>
                <w:szCs w:val="18"/>
                <w:color w:val="0000FF"/>
              </w:rPr>
              <w:t>107,609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6"/>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20"/>
        <w:spacing w:after="0" w:line="239" w:lineRule="auto"/>
        <w:rPr>
          <w:sz w:val="20"/>
          <w:szCs w:val="20"/>
          <w:color w:val="auto"/>
        </w:rPr>
      </w:pPr>
      <w:r>
        <w:rPr>
          <w:rFonts w:ascii="Arial" w:cs="Arial" w:eastAsia="Arial" w:hAnsi="Arial"/>
          <w:sz w:val="14"/>
          <w:szCs w:val="14"/>
          <w:color w:val="008000"/>
        </w:rPr>
        <w:t>In the Form 4 filed on June 3, 2014, a clerical error led to the mistaken reporting of an acquisition of 542 shares of common stock that did not in fact occur. As of May 30, 2014, the reporting person owned only 107,609 shares of common stock.</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Douglas E. Swanson,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26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Bradley J. Dodson, as</w:t>
      </w:r>
      <w:r>
        <w:rPr>
          <w:sz w:val="20"/>
          <w:szCs w:val="20"/>
          <w:color w:val="auto"/>
        </w:rPr>
        <w:tab/>
      </w:r>
      <w:r>
        <w:rPr>
          <w:rFonts w:ascii="Arial" w:cs="Arial" w:eastAsia="Arial" w:hAnsi="Arial"/>
          <w:sz w:val="15"/>
          <w:szCs w:val="15"/>
          <w:color w:val="0000FF"/>
        </w:rPr>
        <w:t>07/01/2014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8827"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2019-12-18T15:29:55Z</dcterms:created>
  <dcterms:modified xsi:type="dcterms:W3CDTF">2019-12-18T15:29:55Z</dcterms:modified>
</cp:coreProperties>
</file>