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February 23, 2017</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333 Clay Street, Suite 4980, Houston, Texas 77002</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72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February 23, 2017, Civeo Corporation (“Civeo”) issued a press release announcing its financial condition and results of operations as of and for the quarter and year ended December 31, 2016. A copy of the press release is furnished as Exhibit 99.1 to this report on Form 8-K, and is incorporated herein by reference.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contained in Item 2.02 of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8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On February 23, 2017, Civeo announced that Douglas E. Swanson, the Chairman of Civeo’s Board of Directors, will retire from the Board, effective as of May 11, 2017, which is the date Civeo has scheduled for its 2017 Annual General Meeting of Shareholders. The resignation was not a result of any disagreement with Civeo on any matter relating to its operations, policies or practices. The Board of Directors has appointed Richard A. Navarre, who has been a director of Civeo since May 2014, as Chairman of Civeo’s Board of Directors, effective upon Mr. Swanson’s retirement.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40" w:type="dxa"/>
            <w:vAlign w:val="bottom"/>
          </w:tcPr>
          <w:p>
            <w:pPr>
              <w:spacing w:after="0"/>
              <w:rPr>
                <w:sz w:val="18"/>
                <w:szCs w:val="18"/>
                <w:color w:val="auto"/>
              </w:rPr>
            </w:pPr>
          </w:p>
        </w:tc>
      </w:tr>
      <w:tr>
        <w:trPr>
          <w:trHeight w:val="190"/>
        </w:trPr>
        <w:tc>
          <w:tcPr>
            <w:tcW w:w="40" w:type="dxa"/>
            <w:vAlign w:val="bottom"/>
          </w:tcPr>
          <w:p>
            <w:pPr>
              <w:spacing w:after="0"/>
              <w:rPr>
                <w:sz w:val="16"/>
                <w:szCs w:val="16"/>
                <w:color w:val="auto"/>
              </w:rPr>
            </w:pPr>
          </w:p>
        </w:tc>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560" w:type="dxa"/>
            <w:vAlign w:val="bottom"/>
          </w:tcPr>
          <w:p>
            <w:pPr>
              <w:spacing w:after="0"/>
              <w:rPr>
                <w:sz w:val="16"/>
                <w:szCs w:val="16"/>
                <w:color w:val="auto"/>
              </w:rPr>
            </w:pPr>
          </w:p>
        </w:tc>
        <w:tc>
          <w:tcPr>
            <w:tcW w:w="10220" w:type="dxa"/>
            <w:vAlign w:val="bottom"/>
            <w:gridSpan w:val="3"/>
          </w:tcPr>
          <w:p>
            <w:pPr>
              <w:ind w:left="560"/>
              <w:spacing w:after="0" w:line="190" w:lineRule="exact"/>
              <w:rPr>
                <w:sz w:val="20"/>
                <w:szCs w:val="20"/>
                <w:color w:val="auto"/>
              </w:rPr>
            </w:pPr>
            <w:r>
              <w:rPr>
                <w:rFonts w:ascii="Arial" w:cs="Arial" w:eastAsia="Arial" w:hAnsi="Arial"/>
                <w:sz w:val="18"/>
                <w:szCs w:val="18"/>
                <w:color w:val="auto"/>
              </w:rPr>
              <w:t>Description of Document</w:t>
            </w:r>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Press Release dated February 23, 2017</w:t>
            </w:r>
          </w:p>
        </w:tc>
      </w:tr>
      <w:tr>
        <w:trPr>
          <w:trHeight w:val="267"/>
        </w:trPr>
        <w:tc>
          <w:tcPr>
            <w:tcW w:w="40" w:type="dxa"/>
            <w:vAlign w:val="bottom"/>
            <w:tcBorders>
              <w:bottom w:val="single" w:sz="8" w:color="808080"/>
            </w:tcBorders>
          </w:tcPr>
          <w:p>
            <w:pPr>
              <w:spacing w:after="0"/>
              <w:rPr>
                <w:sz w:val="23"/>
                <w:szCs w:val="23"/>
                <w:color w:val="auto"/>
              </w:rPr>
            </w:pPr>
          </w:p>
        </w:tc>
        <w:tc>
          <w:tcPr>
            <w:tcW w:w="600" w:type="dxa"/>
            <w:vAlign w:val="bottom"/>
            <w:tcBorders>
              <w:bottom w:val="single" w:sz="8" w:color="808080"/>
            </w:tcBorders>
          </w:tcPr>
          <w:p>
            <w:pPr>
              <w:spacing w:after="0"/>
              <w:rPr>
                <w:sz w:val="23"/>
                <w:szCs w:val="23"/>
                <w:color w:val="auto"/>
              </w:rPr>
            </w:pPr>
          </w:p>
        </w:tc>
        <w:tc>
          <w:tcPr>
            <w:tcW w:w="560" w:type="dxa"/>
            <w:vAlign w:val="bottom"/>
            <w:tcBorders>
              <w:bottom w:val="single" w:sz="8" w:color="808080"/>
            </w:tcBorders>
          </w:tcPr>
          <w:p>
            <w:pPr>
              <w:spacing w:after="0"/>
              <w:rPr>
                <w:sz w:val="23"/>
                <w:szCs w:val="23"/>
                <w:color w:val="auto"/>
              </w:rPr>
            </w:pPr>
          </w:p>
        </w:tc>
        <w:tc>
          <w:tcPr>
            <w:tcW w:w="560" w:type="dxa"/>
            <w:vAlign w:val="bottom"/>
            <w:tcBorders>
              <w:bottom w:val="single" w:sz="8" w:color="808080"/>
            </w:tcBorders>
          </w:tcPr>
          <w:p>
            <w:pPr>
              <w:spacing w:after="0"/>
              <w:rPr>
                <w:sz w:val="23"/>
                <w:szCs w:val="23"/>
                <w:color w:val="auto"/>
              </w:rPr>
            </w:pPr>
          </w:p>
        </w:tc>
        <w:tc>
          <w:tcPr>
            <w:tcW w:w="1820" w:type="dxa"/>
            <w:vAlign w:val="bottom"/>
            <w:tcBorders>
              <w:bottom w:val="single" w:sz="8" w:color="808080"/>
            </w:tcBorders>
          </w:tcPr>
          <w:p>
            <w:pPr>
              <w:spacing w:after="0"/>
              <w:rPr>
                <w:sz w:val="23"/>
                <w:szCs w:val="23"/>
                <w:color w:val="auto"/>
              </w:rPr>
            </w:pPr>
          </w:p>
        </w:tc>
        <w:tc>
          <w:tcPr>
            <w:tcW w:w="784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3"/>
          </w:tcPr>
          <w:p>
            <w:pPr>
              <w:ind w:left="1880"/>
              <w:spacing w:after="0"/>
              <w:rPr>
                <w:sz w:val="20"/>
                <w:szCs w:val="20"/>
                <w:color w:val="auto"/>
              </w:rPr>
            </w:pPr>
            <w:r>
              <w:rPr>
                <w:rFonts w:ascii="Arial" w:cs="Arial" w:eastAsia="Arial" w:hAnsi="Arial"/>
                <w:sz w:val="18"/>
                <w:szCs w:val="18"/>
                <w:b w:val="1"/>
                <w:bCs w:val="1"/>
                <w:color w:val="auto"/>
              </w:rPr>
              <w:t>Civeo Corporation</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February 23, 2017</w:t>
            </w:r>
          </w:p>
        </w:tc>
        <w:tc>
          <w:tcPr>
            <w:tcW w:w="7760" w:type="dxa"/>
            <w:vAlign w:val="bottom"/>
            <w:gridSpan w:val="3"/>
          </w:tcPr>
          <w:p>
            <w:pPr>
              <w:ind w:left="1880"/>
              <w:spacing w:after="0"/>
              <w:rPr>
                <w:sz w:val="20"/>
                <w:szCs w:val="20"/>
                <w:color w:val="auto"/>
              </w:rPr>
            </w:pPr>
            <w:r>
              <w:rPr>
                <w:rFonts w:ascii="Arial" w:cs="Arial" w:eastAsia="Arial" w:hAnsi="Arial"/>
                <w:sz w:val="18"/>
                <w:szCs w:val="18"/>
                <w:color w:val="auto"/>
              </w:rPr>
              <w:t>By: /s/ Frank C. Steininger</w:t>
            </w:r>
          </w:p>
        </w:tc>
      </w:tr>
      <w:tr>
        <w:trPr>
          <w:trHeight w:val="222"/>
        </w:trPr>
        <w:tc>
          <w:tcPr>
            <w:tcW w:w="3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C. Steininger</w:t>
            </w:r>
          </w:p>
        </w:tc>
        <w:tc>
          <w:tcPr>
            <w:tcW w:w="3520" w:type="dxa"/>
            <w:vAlign w:val="bottom"/>
          </w:tcPr>
          <w:p>
            <w:pPr>
              <w:spacing w:after="0"/>
              <w:rPr>
                <w:sz w:val="19"/>
                <w:szCs w:val="19"/>
                <w:color w:val="auto"/>
              </w:rPr>
            </w:pPr>
          </w:p>
        </w:tc>
      </w:tr>
      <w:tr>
        <w:trPr>
          <w:trHeight w:val="216"/>
        </w:trPr>
        <w:tc>
          <w:tcPr>
            <w:tcW w:w="3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w:t>
            </w:r>
          </w:p>
        </w:tc>
      </w:tr>
      <w:tr>
        <w:trPr>
          <w:trHeight w:val="230"/>
        </w:trPr>
        <w:tc>
          <w:tcPr>
            <w:tcW w:w="36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Officer and Treasurer</w:t>
            </w:r>
          </w:p>
        </w:tc>
      </w:tr>
      <w:tr>
        <w:trPr>
          <w:trHeight w:val="442"/>
        </w:trPr>
        <w:tc>
          <w:tcPr>
            <w:tcW w:w="366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b w:val="1"/>
          <w:bCs w:val="1"/>
          <w:color w:val="auto"/>
        </w:rPr>
        <w:t>Index to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560" w:type="dxa"/>
            <w:vAlign w:val="bottom"/>
          </w:tcPr>
          <w:p>
            <w:pPr>
              <w:spacing w:after="0"/>
              <w:rPr>
                <w:sz w:val="16"/>
                <w:szCs w:val="16"/>
                <w:color w:val="auto"/>
              </w:rPr>
            </w:pPr>
          </w:p>
        </w:tc>
        <w:tc>
          <w:tcPr>
            <w:tcW w:w="3340" w:type="dxa"/>
            <w:vAlign w:val="bottom"/>
            <w:gridSpan w:val="3"/>
          </w:tcPr>
          <w:p>
            <w:pPr>
              <w:ind w:left="560"/>
              <w:spacing w:after="0" w:line="190" w:lineRule="exact"/>
              <w:rPr>
                <w:sz w:val="20"/>
                <w:szCs w:val="20"/>
                <w:color w:val="auto"/>
              </w:rPr>
            </w:pPr>
            <w:r>
              <w:rPr>
                <w:rFonts w:ascii="Arial" w:cs="Arial" w:eastAsia="Arial" w:hAnsi="Arial"/>
                <w:sz w:val="18"/>
                <w:szCs w:val="18"/>
                <w:color w:val="auto"/>
              </w:rPr>
              <w:t>Description of Document</w:t>
            </w:r>
          </w:p>
        </w:tc>
      </w:tr>
      <w:tr>
        <w:trPr>
          <w:trHeight w:val="20"/>
        </w:trPr>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3340" w:type="dxa"/>
            <w:vAlign w:val="bottom"/>
            <w:gridSpan w:val="3"/>
          </w:tcPr>
          <w:p>
            <w:pPr>
              <w:ind w:left="560"/>
              <w:spacing w:after="0"/>
              <w:rPr>
                <w:sz w:val="20"/>
                <w:szCs w:val="20"/>
                <w:color w:val="auto"/>
              </w:rPr>
            </w:pPr>
            <w:r>
              <w:rPr>
                <w:rFonts w:ascii="Arial" w:cs="Arial" w:eastAsia="Arial" w:hAnsi="Arial"/>
                <w:sz w:val="18"/>
                <w:szCs w:val="18"/>
                <w:color w:val="auto"/>
                <w:w w:val="86"/>
              </w:rPr>
              <w:t>Press Release dated February 23, 2017</w:t>
            </w:r>
          </w:p>
        </w:tc>
      </w:tr>
    </w:tbl>
    <w:p>
      <w:pPr>
        <w:sectPr>
          <w:pgSz w:w="11900" w:h="16838" w:orient="portrait"/>
          <w:cols w:equalWidth="0" w:num="1">
            <w:col w:w="10179"/>
          </w:cols>
          <w:pgMar w:left="280" w:top="29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Reports Fourth Quarter and Full Year 2016 Results</w:t>
      </w:r>
    </w:p>
    <w:p>
      <w:pPr>
        <w:spacing w:after="0" w:line="212"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HOUSTON, Feb. 23, 2017 (GLOBE NEWSWIRE) -- Civeo Corporation (NYSE:CVEO) today reported financial and operating results for the fourth quarter and year ended December 31, 2016 as well as subsequent operational and financial updates.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Highlights include: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Delivered fourth quarter revenues of $91 million – at the high end of management’s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Generated $13.3 million in operating cash flow and $10.1 million in free cash flow benefited by ongoing cost containment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8" w:lineRule="exact"/>
        <w:rPr>
          <w:sz w:val="20"/>
          <w:szCs w:val="20"/>
          <w:color w:val="auto"/>
        </w:rPr>
      </w:pPr>
    </w:p>
    <w:p>
      <w:pPr>
        <w:ind w:left="540" w:right="120"/>
        <w:spacing w:after="0"/>
        <w:rPr>
          <w:sz w:val="20"/>
          <w:szCs w:val="20"/>
          <w:color w:val="auto"/>
        </w:rPr>
      </w:pPr>
      <w:r>
        <w:rPr>
          <w:rFonts w:ascii="Arial" w:cs="Arial" w:eastAsia="Arial" w:hAnsi="Arial"/>
          <w:sz w:val="22"/>
          <w:szCs w:val="22"/>
          <w:color w:val="auto"/>
        </w:rPr>
        <w:t>Made $12.5 million in debt repayments in the fourth quarter and $56 million in debt repayments in 2016, reducing total debt outstanding by $44 million (net of $12 million in foreign exchange adjustments) to $357 million in total debt at December 31, 2016, down from $402 million at the end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right="420"/>
        <w:spacing w:after="0" w:line="274" w:lineRule="auto"/>
        <w:rPr>
          <w:sz w:val="20"/>
          <w:szCs w:val="20"/>
          <w:color w:val="auto"/>
        </w:rPr>
      </w:pPr>
      <w:r>
        <w:rPr>
          <w:rFonts w:ascii="Arial" w:cs="Arial" w:eastAsia="Arial" w:hAnsi="Arial"/>
          <w:sz w:val="21"/>
          <w:szCs w:val="21"/>
          <w:color w:val="auto"/>
        </w:rPr>
        <w:t>Completed a public offering in January 2017 of 23 million common shares raising net proceeds of $64.9 million to repay amounts outstanding under the Company’s revolving credit facilities and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-288290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ind w:left="540" w:right="560"/>
        <w:spacing w:after="0" w:line="251" w:lineRule="auto"/>
        <w:rPr>
          <w:sz w:val="20"/>
          <w:szCs w:val="20"/>
          <w:color w:val="auto"/>
        </w:rPr>
      </w:pPr>
      <w:r>
        <w:rPr>
          <w:rFonts w:ascii="Arial" w:cs="Arial" w:eastAsia="Arial" w:hAnsi="Arial"/>
          <w:sz w:val="22"/>
          <w:szCs w:val="22"/>
          <w:color w:val="auto"/>
        </w:rPr>
        <w:t>Completed third amendment to the Company’s revolving credit facility in February 2017 providing additional financial flexibility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180"/>
        <w:spacing w:after="0"/>
        <w:rPr>
          <w:sz w:val="20"/>
          <w:szCs w:val="20"/>
          <w:color w:val="auto"/>
        </w:rPr>
      </w:pPr>
      <w:r>
        <w:rPr>
          <w:rFonts w:ascii="Arial" w:cs="Arial" w:eastAsia="Arial" w:hAnsi="Arial"/>
          <w:sz w:val="22"/>
          <w:szCs w:val="22"/>
          <w:color w:val="auto"/>
        </w:rPr>
        <w:t>Announced that Chairman Douglas E. Swanson will retire from the Board of Directors, effective May 11, 2017 and will not stand for reelection at the 2017 annual shareholders meeting scheduled to be held on that date. Current Board member, Richard A. Navarre, will replace Mr. Swanson as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“Despite the challenging market conditions in 2016, we delivered on our strategic objectives to generate free cash flow, optimize our cost structure, reduce debt, win new business and deliver best-in-class services,” said Bradley Dodson, President and Chief Executive Officer. “Our fourth quarter results reflect our previously stated cost containment initiatives. While occupancy in Australia decreased from the third quarter, we maintained EBITDA margins and look to this region as a focus area to drive growth in 2017.”</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Mr. Dodson concluded, "In recent months, several encouraging macro-economic indicators have emerged for our business, including regulatory approvals of pipeline projects in the U.S. and Canada, recovery in U.S. oil prices, and an increase in contract settlement prices for met coal in Australia. These developments are positive for our customers and are expected to drive demand for our services in the medium to long-term. We are optimistic about the health of our business and market demand heading into 2017. We continue to focus on enhancing the quality of our operations, delivering on expectations, maintaining financial vigilance and executing our long-term growth initiatives as market conditions improve."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Fourth Quarter 2016 Results</w:t>
      </w:r>
    </w:p>
    <w:p>
      <w:pPr>
        <w:spacing w:after="0" w:line="206"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color w:val="auto"/>
        </w:rPr>
        <w:t>In the fourth quarter of 2016, the Company generated revenues of $90.9 million, and net loss was $15.9 million, or $0.15 per share. During the fourth quarter of 2016, Adjusted EBITDA was $17.7 million and the Company generated operating cash flow of $13.3 million and free cash flow of $10.1 million as a result of continued cost containment initiatives.</w:t>
      </w:r>
    </w:p>
    <w:p>
      <w:pPr>
        <w:spacing w:after="0" w:line="167"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color w:val="auto"/>
        </w:rPr>
        <w:t>(EBITDA is a non-GAAP financial measure that is defined as net income plus interest, taxes, depreciation and amortization, and Adjusted EBITDA is defined as EBITDA adjusted to exclude impairment charges and certain other costs such as those directly associated with the Company’s migration to Canada.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179"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By comparison, in the fourth quarter of 2015, the Company generated revenues of $97.3 million. Net loss was $10.6 million, or $0.10 per share, which included $1.9 million in pre-tax charges ($1.2 million after-tax, or $0.01 per diluted share) related to costs incurred in connection with the migration to Canada. During the fourth quarter of 2015, Adjusted EBITDA was $22.1 million and the Company generated operating cash flow of $11.2 million and free cash flow of $2.9 million.</w:t>
      </w:r>
    </w:p>
    <w:p>
      <w:pPr>
        <w:spacing w:after="0" w:line="143" w:lineRule="exact"/>
        <w:rPr>
          <w:sz w:val="20"/>
          <w:szCs w:val="20"/>
          <w:color w:val="auto"/>
        </w:rPr>
      </w:pPr>
    </w:p>
    <w:p>
      <w:pPr>
        <w:jc w:val="both"/>
        <w:ind w:right="360"/>
        <w:spacing w:after="0" w:line="328" w:lineRule="auto"/>
        <w:rPr>
          <w:sz w:val="20"/>
          <w:szCs w:val="20"/>
          <w:color w:val="auto"/>
        </w:rPr>
      </w:pPr>
      <w:r>
        <w:rPr>
          <w:rFonts w:ascii="Arial" w:cs="Arial" w:eastAsia="Arial" w:hAnsi="Arial"/>
          <w:sz w:val="19"/>
          <w:szCs w:val="19"/>
          <w:color w:val="auto"/>
        </w:rPr>
        <w:t>Revenues and Adjusted EBITDA declined in 2016 as compared to 2015 primarily due to lower occupancy levels resulting from lower customer activity in the Australian mining industries and lower average daily rates experienced in the Canadian segment.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Full Year 2016 Results</w:t>
      </w:r>
    </w:p>
    <w:p>
      <w:pPr>
        <w:spacing w:after="0" w:line="20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For the full year 2016, the Company reported revenues of $397.2 million, a net loss of $96.4 million, or $0.90 per share. Adjusted EBITDA was $86.7 million.</w:t>
      </w:r>
    </w:p>
    <w:p>
      <w:pPr>
        <w:spacing w:after="0" w:line="173"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In 2015, the Company reported revenues of $517.9 million, a net loss of $131.8 million, or $1.24 per share. Adjusted EBITDA was $141.1 million.</w:t>
      </w:r>
    </w:p>
    <w:p>
      <w:pPr>
        <w:sectPr>
          <w:pgSz w:w="11900" w:h="16838" w:orient="portrait"/>
          <w:cols w:equalWidth="0" w:num="1">
            <w:col w:w="11420"/>
          </w:cols>
          <w:pgMar w:left="240" w:top="112" w:right="239" w:bottom="203" w:gutter="0" w:footer="0" w:header="0"/>
        </w:sectPr>
      </w:pPr>
    </w:p>
    <w:bookmarkStart w:id="5" w:name="page6"/>
    <w:bookmarkEnd w:id="5"/>
    <w:p>
      <w:pPr>
        <w:ind w:right="380"/>
        <w:spacing w:after="0" w:line="251" w:lineRule="auto"/>
        <w:rPr>
          <w:sz w:val="20"/>
          <w:szCs w:val="20"/>
          <w:color w:val="auto"/>
        </w:rPr>
      </w:pPr>
      <w:r>
        <w:rPr>
          <w:rFonts w:ascii="Arial" w:cs="Arial" w:eastAsia="Arial" w:hAnsi="Arial"/>
          <w:sz w:val="22"/>
          <w:szCs w:val="22"/>
          <w:color w:val="auto"/>
        </w:rPr>
        <w:t>The decline in revenues and Adjusted EBITDA in 2016 as compared to 2015 was largely driven by lower average daily rates in Canada, reduced occupancy in Australia and the weakening of the Canadian dollar.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Full year 2016 results included the impact of the following items:</w:t>
      </w:r>
    </w:p>
    <w:p>
      <w:pPr>
        <w:spacing w:after="0" w:line="206" w:lineRule="exact"/>
        <w:rPr>
          <w:sz w:val="20"/>
          <w:szCs w:val="20"/>
          <w:color w:val="auto"/>
        </w:rPr>
      </w:pPr>
    </w:p>
    <w:p>
      <w:pPr>
        <w:ind w:left="540" w:right="660"/>
        <w:spacing w:after="0" w:line="239" w:lineRule="auto"/>
        <w:rPr>
          <w:sz w:val="20"/>
          <w:szCs w:val="20"/>
          <w:color w:val="auto"/>
        </w:rPr>
      </w:pPr>
      <w:r>
        <w:rPr>
          <w:rFonts w:ascii="Arial" w:cs="Arial" w:eastAsia="Arial" w:hAnsi="Arial"/>
          <w:sz w:val="22"/>
          <w:szCs w:val="22"/>
          <w:color w:val="auto"/>
        </w:rPr>
        <w:t>a $47.0 million pre-tax loss ($36.6 million after-tax, or $0.34 per diluted share) from the impairment of fixed assets in Canada and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20"/>
        <w:spacing w:after="0" w:line="230" w:lineRule="auto"/>
        <w:rPr>
          <w:sz w:val="20"/>
          <w:szCs w:val="20"/>
          <w:color w:val="auto"/>
        </w:rPr>
      </w:pPr>
      <w:r>
        <w:rPr>
          <w:rFonts w:ascii="Arial" w:cs="Arial" w:eastAsia="Arial" w:hAnsi="Arial"/>
          <w:sz w:val="22"/>
          <w:szCs w:val="22"/>
          <w:color w:val="auto"/>
        </w:rPr>
        <w:t>a $1.3 million pre-tax loss ($1.2 million after-tax, or $0.01 per diluted share) from costs incurred in connection with the migration to Canada;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60"/>
        <w:spacing w:after="0" w:line="237" w:lineRule="auto"/>
        <w:rPr>
          <w:sz w:val="20"/>
          <w:szCs w:val="20"/>
          <w:color w:val="auto"/>
        </w:rPr>
      </w:pPr>
      <w:r>
        <w:rPr>
          <w:rFonts w:ascii="Arial" w:cs="Arial" w:eastAsia="Arial" w:hAnsi="Arial"/>
          <w:sz w:val="22"/>
          <w:szCs w:val="22"/>
          <w:color w:val="auto"/>
        </w:rPr>
        <w:t>a $0.9 million pre-tax loss ($0.6 million after-tax, or $0.01 per diluted share) from severance costs associated with the severance of certain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Full year 2015 results included the impact of the following items:</w:t>
      </w:r>
    </w:p>
    <w:p>
      <w:pPr>
        <w:spacing w:after="0" w:line="206" w:lineRule="exact"/>
        <w:rPr>
          <w:sz w:val="20"/>
          <w:szCs w:val="20"/>
          <w:color w:val="auto"/>
        </w:rPr>
      </w:pPr>
    </w:p>
    <w:p>
      <w:pPr>
        <w:ind w:left="540" w:right="500"/>
        <w:spacing w:after="0" w:line="239" w:lineRule="auto"/>
        <w:rPr>
          <w:sz w:val="20"/>
          <w:szCs w:val="20"/>
          <w:color w:val="auto"/>
        </w:rPr>
      </w:pPr>
      <w:r>
        <w:rPr>
          <w:rFonts w:ascii="Arial" w:cs="Arial" w:eastAsia="Arial" w:hAnsi="Arial"/>
          <w:sz w:val="22"/>
          <w:szCs w:val="22"/>
          <w:color w:val="auto"/>
        </w:rPr>
        <w:t>a $43.2 million pre-tax loss ($43.2 million after-tax, or $0.40 per diluted share) from the impairment of goodwill in our Canadian reporting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20"/>
        <w:spacing w:after="0" w:line="230" w:lineRule="auto"/>
        <w:rPr>
          <w:sz w:val="20"/>
          <w:szCs w:val="20"/>
          <w:color w:val="auto"/>
        </w:rPr>
      </w:pPr>
      <w:r>
        <w:rPr>
          <w:rFonts w:ascii="Arial" w:cs="Arial" w:eastAsia="Arial" w:hAnsi="Arial"/>
          <w:sz w:val="22"/>
          <w:szCs w:val="22"/>
          <w:color w:val="auto"/>
        </w:rPr>
        <w:t>a $80.7 million pre-tax loss ($56.0 million after-tax, or $0.52 per diluted share) from the impairment of fixed assets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20"/>
        <w:spacing w:after="0" w:line="230" w:lineRule="auto"/>
        <w:rPr>
          <w:sz w:val="20"/>
          <w:szCs w:val="20"/>
          <w:color w:val="auto"/>
        </w:rPr>
      </w:pPr>
      <w:r>
        <w:rPr>
          <w:rFonts w:ascii="Arial" w:cs="Arial" w:eastAsia="Arial" w:hAnsi="Arial"/>
          <w:sz w:val="22"/>
          <w:szCs w:val="22"/>
          <w:color w:val="auto"/>
        </w:rPr>
        <w:t>a $7.0 million pre-tax loss ($4.6 million after-tax, or $0.05 per diluted share) from costs incurred in connection with the migration to Canada;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640" w:firstLine="540"/>
        <w:spacing w:after="0" w:line="427" w:lineRule="auto"/>
        <w:rPr>
          <w:sz w:val="20"/>
          <w:szCs w:val="20"/>
          <w:color w:val="auto"/>
        </w:rPr>
      </w:pPr>
      <w:r>
        <w:rPr>
          <w:rFonts w:ascii="Arial" w:cs="Arial" w:eastAsia="Arial" w:hAnsi="Arial"/>
          <w:sz w:val="22"/>
          <w:szCs w:val="22"/>
          <w:color w:val="auto"/>
        </w:rPr>
        <w:t xml:space="preserve">a $1.5 million pre-tax loss ($1.5 million after-tax, or $0.01 per diluted share) from the write-off of debt issuance costs. </w:t>
      </w:r>
      <w:r>
        <w:rPr>
          <w:rFonts w:ascii="Arial" w:cs="Arial" w:eastAsia="Arial" w:hAnsi="Arial"/>
          <w:sz w:val="22"/>
          <w:szCs w:val="22"/>
          <w:u w:val="single" w:color="auto"/>
          <w:color w:val="auto"/>
        </w:rPr>
        <w:t>Business 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-521335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60"/>
        <w:spacing w:after="0"/>
        <w:rPr>
          <w:sz w:val="20"/>
          <w:szCs w:val="20"/>
          <w:color w:val="auto"/>
        </w:rPr>
      </w:pPr>
      <w:r>
        <w:rPr>
          <w:rFonts w:ascii="Arial" w:cs="Arial" w:eastAsia="Arial" w:hAnsi="Arial"/>
          <w:sz w:val="22"/>
          <w:szCs w:val="22"/>
          <w:color w:val="auto"/>
        </w:rPr>
        <w:t>(Unless otherwise noted, the following discussion compares the quarterly results for the fourth quarter of 2016 to the results for the fourth quarter of 2015. The results discussed below exclude the goodwill and fixed asset impairments and migration related expenses noted above.)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During the fourth quarter of 2016, the Canadian segment generated revenues of $62.3 million, operating loss of $5.6 million and Adjusted EBITDA of $14.1 million compared to revenues of $65.8 million, operating loss of $10.6 million and Adjusted EBITDA of $13.6 million in the fourth quarter of 2015. On a constant currency basis, revenues decreased primarily due to lower room rates, as well as a decline in mobile, open camp, and product revenues primarily attributable to lower activity levels. These items were partially offset by additional room needs related to improving seasonal demand for shorter-term customers and lower costs due to a focus on cost containment and operational efficiencies.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Australian segment generated revenues of $26.1 million, operating loss of $2.4 million and Adjusted EBITDA of $10.4 million in the fourth quarter of 2016, compared to revenues of $26.7 million, operating loss of $0.7 million and Adjusted EBITDA of $13.7 million in the fourth quarter of 2015. On a constant currency basis, the revenue and Adjusted EBITDA declines were primarily due to reduced occupancy resulting from the continued slowdown of mining activity, primarily in the Bowen Basin.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The U.S. segment generated revenues of $2.5 million, operating loss of $4.0 million and negative Adjusted EBITDA of $1.5 million in the fourth quarter of 2016, compared to revenues of $4.8 million, operating loss of $6.5 million and negative Adjusted EBITDA of $2.0 million in the fourth quarter of 2015. Results reflect lower U.S. drilling activity in the Bakken, Rockies and Texas markets.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The Company recognized an income tax benefit of $2.9 million, which resulted in an effective tax rate of 15% in the fourth quarter of 2016. During the fourth quarter of 2015, the Company recognized an income tax benefit of $5.6 million, which resulted in an effective tax rate of 35%.</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As of December 31, 2016, the Company had total liquidity of approximately $166.3 million, comprising $164.5 million available under its credit facilities and $1.8 million of cash on hand.</w:t>
      </w:r>
    </w:p>
    <w:p>
      <w:pPr>
        <w:spacing w:after="0" w:line="17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During 2016, the Company reduced total debt outstanding by 11% to $357.3 million at December 31, 2016, down from $401.6 million at December 31, 2015.</w:t>
      </w:r>
    </w:p>
    <w:p>
      <w:pPr>
        <w:spacing w:after="0" w:line="173" w:lineRule="exact"/>
        <w:rPr>
          <w:sz w:val="20"/>
          <w:szCs w:val="20"/>
          <w:color w:val="auto"/>
        </w:rPr>
      </w:pPr>
    </w:p>
    <w:p>
      <w:pPr>
        <w:ind w:right="540"/>
        <w:spacing w:after="0" w:line="328" w:lineRule="auto"/>
        <w:rPr>
          <w:sz w:val="20"/>
          <w:szCs w:val="20"/>
          <w:color w:val="auto"/>
        </w:rPr>
      </w:pPr>
      <w:r>
        <w:rPr>
          <w:rFonts w:ascii="Arial" w:cs="Arial" w:eastAsia="Arial" w:hAnsi="Arial"/>
          <w:sz w:val="19"/>
          <w:szCs w:val="19"/>
          <w:color w:val="auto"/>
        </w:rPr>
        <w:t>The Company invested $4.5 million in capital expenditures during the fourth quarter of 2016, primarily for routine capital maintenance. For the full year 2016, Civeo's capital expenditures totaled $19.8 million, compared with $62.5 million in 2015.</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First Quarter and Full Year 2017 Guidance</w:t>
      </w:r>
    </w:p>
    <w:p>
      <w:pPr>
        <w:sectPr>
          <w:pgSz w:w="11900" w:h="16838" w:orient="portrait"/>
          <w:cols w:equalWidth="0" w:num="1">
            <w:col w:w="11400"/>
          </w:cols>
          <w:pgMar w:left="240" w:top="118" w:right="259" w:bottom="0" w:gutter="0" w:footer="0" w:header="0"/>
        </w:sectPr>
      </w:pPr>
    </w:p>
    <w:bookmarkStart w:id="6" w:name="page7"/>
    <w:bookmarkEnd w:id="6"/>
    <w:p>
      <w:pPr>
        <w:spacing w:after="0" w:line="25" w:lineRule="exact"/>
        <w:rPr>
          <w:sz w:val="20"/>
          <w:szCs w:val="20"/>
          <w:color w:val="auto"/>
        </w:rPr>
      </w:pPr>
    </w:p>
    <w:p>
      <w:pPr>
        <w:ind w:right="220"/>
        <w:spacing w:after="0" w:line="298" w:lineRule="auto"/>
        <w:rPr>
          <w:sz w:val="20"/>
          <w:szCs w:val="20"/>
          <w:color w:val="auto"/>
        </w:rPr>
      </w:pPr>
      <w:r>
        <w:rPr>
          <w:rFonts w:ascii="Arial" w:cs="Arial" w:eastAsia="Arial" w:hAnsi="Arial"/>
          <w:sz w:val="19"/>
          <w:szCs w:val="19"/>
          <w:color w:val="auto"/>
        </w:rPr>
        <w:t>For the first quarter of 2017, the Company expects revenues of $85 million to $90 million and EBITDA of $16 million to $19 million. For the full year of 2017, the Company expects revenues of $337 million to $353 million and EBITDA of $60 million to $65 million. The Company expects capital expenditures of approximately $15 to $18 million for the full year 2017.</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Governance Matters</w:t>
      </w:r>
    </w:p>
    <w:p>
      <w:pPr>
        <w:spacing w:after="0" w:line="206"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Additionally, Civeo today announced that Chairman Douglas E. Swanson will retire from the Board of Directors, effective May 11, 2017, and will not stand for reelection at the 2017 annual shareholders’ meeting scheduled to be held on that date. Mr. Dodson commented, “We would like to recognize Doug for his leadership, service and commitment for the last 17 years. His integrity and values have deeply influenced Civeo’s culture and elevated its standards of excellence. The Company is grateful for Doug’s guidance and expertise during his tenure and wishes him the best in his retirement.”</w:t>
      </w:r>
    </w:p>
    <w:p>
      <w:pPr>
        <w:spacing w:after="0" w:line="179"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Prior to serving as the Chairman of Civeo’s Board of Directors, Mr. Swanson served as a director of Oil States from February 2001 to June 2014 and served as Oil States’ Chief Executive Officer from February 2001 until he retired in April 2007. From January 1992 to August 1999, Mr. Swanson served as President and Chief Executive Officer of Cliffs Drilling Company, a contract drilling company. Mr. Swanson intends to continue serving as Chairman of the Board of the Company until Civeo’s annual shareholders’ meeting, at which point he will be succeeded by Richard A. Navarre, who has been a director of the Company since May 2014. Mr. Navarre served as the President and Chief Commercial Officer of Peabody Energy Corporation from February 2008 until he retired in June 2012. Mr. Navarre served in various executive roles at Peabody from 1999 to 2008. Mr. Navarre currently provides advisory services to the energy industry and investment firms.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Conference Call</w:t>
      </w:r>
    </w:p>
    <w:p>
      <w:pPr>
        <w:spacing w:after="0" w:line="206" w:lineRule="exact"/>
        <w:rPr>
          <w:sz w:val="20"/>
          <w:szCs w:val="20"/>
          <w:color w:val="auto"/>
        </w:rPr>
      </w:pPr>
    </w:p>
    <w:p>
      <w:pPr>
        <w:ind w:right="120"/>
        <w:spacing w:after="0" w:line="276" w:lineRule="auto"/>
        <w:rPr>
          <w:sz w:val="20"/>
          <w:szCs w:val="20"/>
          <w:color w:val="auto"/>
        </w:rPr>
      </w:pPr>
      <w:r>
        <w:rPr>
          <w:rFonts w:ascii="Arial" w:cs="Arial" w:eastAsia="Arial" w:hAnsi="Arial"/>
          <w:sz w:val="19"/>
          <w:szCs w:val="19"/>
          <w:color w:val="auto"/>
        </w:rPr>
        <w:t>Civeo will host a conference call to discuss its fourth quarter 2016 financial results today at 11:00 a.m. Eastern time. This call is being webcast and can be accessed at Civeo's website at www.civeo.com. Participants may also join the conference call by dialing</w:t>
      </w:r>
    </w:p>
    <w:p>
      <w:pPr>
        <w:spacing w:after="0" w:line="2" w:lineRule="exact"/>
        <w:rPr>
          <w:sz w:val="20"/>
          <w:szCs w:val="20"/>
          <w:color w:val="auto"/>
        </w:rPr>
      </w:pPr>
    </w:p>
    <w:p>
      <w:pPr>
        <w:ind w:right="220" w:firstLine="8"/>
        <w:spacing w:after="0" w:line="234" w:lineRule="auto"/>
        <w:tabs>
          <w:tab w:leader="none" w:pos="522" w:val="left"/>
        </w:tabs>
        <w:numPr>
          <w:ilvl w:val="0"/>
          <w:numId w:val="3"/>
        </w:numPr>
        <w:rPr>
          <w:rFonts w:ascii="Arial" w:cs="Arial" w:eastAsia="Arial" w:hAnsi="Arial"/>
          <w:sz w:val="22"/>
          <w:szCs w:val="22"/>
          <w:color w:val="auto"/>
        </w:rPr>
      </w:pPr>
      <w:r>
        <w:rPr>
          <w:rFonts w:ascii="Arial" w:cs="Arial" w:eastAsia="Arial" w:hAnsi="Arial"/>
          <w:sz w:val="22"/>
          <w:szCs w:val="22"/>
          <w:color w:val="auto"/>
        </w:rPr>
        <w:t>778-8904 in the United States or (913) 312-0859 internationally and using the conference ID 9110443. A replay will be available after the call by dialing (844) 512-2921 in the United States or (412) 317-6671 internationally and using the conference ID 9110443.</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19 lodges and villages in operation in Canada and Australia, with an aggregate of more than 23,000 rooms. Civeo is publicly traded under the symbol CVEO on the New York Stock Exchange. For more information, please visit Civeo's website at www.civeo.com.</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 looking statements in this news release include the statements regarding the Company’s expectation that several macro-economic indicators should drive demand for its services in the medium to long term; optimism about the health of its business and market demand heading into 2017; and first quarter and full year 2017 guidance.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 risks associated with the Company's migration to Canada, including, among other things, risks associated with changes in tax laws or their interpretations, risks associated with the development of new projects, including whether such projects will continue in the future, and other factors discussed in the "Business" and "Risk Factors" sections of the Company's annual report on Form 10-K for the year ended December 31, 2015, and other reports the Company may file from time to time with the U.S. Securities and Exchange Commission. Each forward-looking statement contained in this news release speaks only as of the date of this release. Except as required by law, the Company expressly disclaims any intention or obligation to revise or update any forward-looking statements whether as a result of new information, future events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 Financial Schedules Follow -</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UNAUDITED CONSOLIDATED STATEMENTS OF OPERATIONS</w:t>
      </w:r>
    </w:p>
    <w:p>
      <w:pPr>
        <w:jc w:val="center"/>
        <w:ind w:right="360"/>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63" w:lineRule="exact"/>
        <w:rPr>
          <w:sz w:val="20"/>
          <w:szCs w:val="20"/>
          <w:color w:val="auto"/>
        </w:rPr>
      </w:pPr>
    </w:p>
    <w:p>
      <w:pPr>
        <w:ind w:left="5560"/>
        <w:spacing w:after="0"/>
        <w:rPr>
          <w:sz w:val="20"/>
          <w:szCs w:val="20"/>
          <w:color w:val="auto"/>
        </w:rPr>
      </w:pPr>
      <w:r>
        <w:rPr>
          <w:rFonts w:ascii="Arial" w:cs="Arial" w:eastAsia="Arial" w:hAnsi="Arial"/>
          <w:sz w:val="22"/>
          <w:szCs w:val="22"/>
          <w:b w:val="1"/>
          <w:bCs w:val="1"/>
          <w:color w:val="auto"/>
        </w:rPr>
        <w:t>THREE MONTHS ENDED TWELVE MONTHS ENDED</w:t>
      </w:r>
    </w:p>
    <w:p>
      <w:pPr>
        <w:spacing w:after="0" w:line="14" w:lineRule="exact"/>
        <w:rPr>
          <w:sz w:val="20"/>
          <w:szCs w:val="20"/>
          <w:color w:val="auto"/>
        </w:rPr>
      </w:pPr>
    </w:p>
    <w:p>
      <w:pPr>
        <w:ind w:left="6060"/>
        <w:spacing w:after="0"/>
        <w:tabs>
          <w:tab w:leader="none" w:pos="8820" w:val="left"/>
        </w:tabs>
        <w:rPr>
          <w:sz w:val="20"/>
          <w:szCs w:val="20"/>
          <w:color w:val="auto"/>
        </w:rPr>
      </w:pPr>
      <w:r>
        <w:rPr>
          <w:rFonts w:ascii="Arial" w:cs="Arial" w:eastAsia="Arial" w:hAnsi="Arial"/>
          <w:sz w:val="22"/>
          <w:szCs w:val="22"/>
          <w:b w:val="1"/>
          <w:bCs w:val="1"/>
          <w:color w:val="auto"/>
        </w:rPr>
        <w:t>DECEMBER 31,</w:t>
      </w:r>
      <w:r>
        <w:rPr>
          <w:sz w:val="20"/>
          <w:szCs w:val="20"/>
          <w:color w:val="auto"/>
        </w:rPr>
        <w:tab/>
      </w:r>
      <w:r>
        <w:rPr>
          <w:rFonts w:ascii="Arial" w:cs="Arial" w:eastAsia="Arial" w:hAnsi="Arial"/>
          <w:sz w:val="21"/>
          <w:szCs w:val="21"/>
          <w:b w:val="1"/>
          <w:bCs w:val="1"/>
          <w:color w:val="auto"/>
        </w:rPr>
        <w:t>DECEMBER 31,</w:t>
      </w:r>
    </w:p>
    <w:p>
      <w:pPr>
        <w:sectPr>
          <w:pgSz w:w="11900" w:h="16863" w:orient="portrait"/>
          <w:cols w:equalWidth="0" w:num="1">
            <w:col w:w="11380"/>
          </w:cols>
          <w:pgMar w:left="240" w:top="118" w:right="279" w:bottom="0" w:gutter="0" w:footer="0" w:header="0"/>
        </w:sectPr>
      </w:pPr>
    </w:p>
    <w:bookmarkStart w:id="7" w:name="page8"/>
    <w:bookmarkEnd w:id="7"/>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2015</w:t>
            </w:r>
          </w:p>
        </w:tc>
      </w:tr>
      <w:tr>
        <w:trPr>
          <w:trHeight w:val="532"/>
        </w:trPr>
        <w:tc>
          <w:tcPr>
            <w:tcW w:w="5520" w:type="dxa"/>
            <w:vAlign w:val="bottom"/>
          </w:tcPr>
          <w:p>
            <w:pPr>
              <w:spacing w:after="0"/>
              <w:rPr>
                <w:sz w:val="20"/>
                <w:szCs w:val="20"/>
                <w:color w:val="auto"/>
              </w:rPr>
            </w:pPr>
            <w:r>
              <w:rPr>
                <w:rFonts w:ascii="Arial" w:cs="Arial" w:eastAsia="Arial" w:hAnsi="Arial"/>
                <w:sz w:val="22"/>
                <w:szCs w:val="22"/>
                <w:color w:val="auto"/>
              </w:rPr>
              <w:t>Revenues</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90,921</w:t>
            </w:r>
          </w:p>
        </w:tc>
        <w:tc>
          <w:tcPr>
            <w:tcW w:w="10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97,285</w:t>
            </w:r>
          </w:p>
        </w:tc>
        <w:tc>
          <w:tcPr>
            <w:tcW w:w="8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397,230</w:t>
            </w:r>
          </w:p>
        </w:tc>
        <w:tc>
          <w:tcPr>
            <w:tcW w:w="120" w:type="dxa"/>
            <w:vAlign w:val="bottom"/>
          </w:tcPr>
          <w:p>
            <w:pPr>
              <w:spacing w:after="0"/>
              <w:rPr>
                <w:sz w:val="24"/>
                <w:szCs w:val="24"/>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517,963</w:t>
            </w:r>
          </w:p>
        </w:tc>
      </w:tr>
      <w:tr>
        <w:trPr>
          <w:trHeight w:val="536"/>
        </w:trPr>
        <w:tc>
          <w:tcPr>
            <w:tcW w:w="5520" w:type="dxa"/>
            <w:vAlign w:val="bottom"/>
          </w:tcPr>
          <w:p>
            <w:pPr>
              <w:spacing w:after="0"/>
              <w:rPr>
                <w:sz w:val="20"/>
                <w:szCs w:val="20"/>
                <w:color w:val="auto"/>
              </w:rPr>
            </w:pPr>
            <w:r>
              <w:rPr>
                <w:rFonts w:ascii="Arial" w:cs="Arial" w:eastAsia="Arial" w:hAnsi="Arial"/>
                <w:sz w:val="22"/>
                <w:szCs w:val="22"/>
                <w:color w:val="auto"/>
              </w:rPr>
              <w:t>Costs and expenses: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520" w:type="dxa"/>
            <w:vAlign w:val="bottom"/>
          </w:tcPr>
          <w:p>
            <w:pPr>
              <w:ind w:left="120"/>
              <w:spacing w:after="0"/>
              <w:rPr>
                <w:sz w:val="20"/>
                <w:szCs w:val="20"/>
                <w:color w:val="auto"/>
              </w:rPr>
            </w:pPr>
            <w:r>
              <w:rPr>
                <w:rFonts w:ascii="Arial" w:cs="Arial" w:eastAsia="Arial" w:hAnsi="Arial"/>
                <w:sz w:val="22"/>
                <w:szCs w:val="22"/>
                <w:color w:val="auto"/>
              </w:rPr>
              <w:t>Cost of sales and services</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61,157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65,527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259,650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327,613</w:t>
            </w:r>
          </w:p>
        </w:tc>
      </w:tr>
      <w:tr>
        <w:trPr>
          <w:trHeight w:val="270"/>
        </w:trPr>
        <w:tc>
          <w:tcPr>
            <w:tcW w:w="5520" w:type="dxa"/>
            <w:vAlign w:val="bottom"/>
          </w:tcPr>
          <w:p>
            <w:pPr>
              <w:ind w:left="120"/>
              <w:spacing w:after="0"/>
              <w:rPr>
                <w:sz w:val="20"/>
                <w:szCs w:val="20"/>
                <w:color w:val="auto"/>
              </w:rPr>
            </w:pPr>
            <w:r>
              <w:rPr>
                <w:rFonts w:ascii="Arial" w:cs="Arial" w:eastAsia="Arial" w:hAnsi="Arial"/>
                <w:sz w:val="22"/>
                <w:szCs w:val="22"/>
                <w:color w:val="auto"/>
              </w:rPr>
              <w:t>Selling, general and administrative expenses</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13,241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16,645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55,297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68,441</w:t>
            </w:r>
          </w:p>
        </w:tc>
      </w:tr>
      <w:tr>
        <w:trPr>
          <w:trHeight w:val="270"/>
        </w:trPr>
        <w:tc>
          <w:tcPr>
            <w:tcW w:w="5520" w:type="dxa"/>
            <w:vAlign w:val="bottom"/>
          </w:tcPr>
          <w:p>
            <w:pPr>
              <w:ind w:left="120"/>
              <w:spacing w:after="0"/>
              <w:rPr>
                <w:sz w:val="20"/>
                <w:szCs w:val="20"/>
                <w:color w:val="auto"/>
              </w:rPr>
            </w:pPr>
            <w:r>
              <w:rPr>
                <w:rFonts w:ascii="Arial" w:cs="Arial" w:eastAsia="Arial" w:hAnsi="Arial"/>
                <w:sz w:val="22"/>
                <w:szCs w:val="22"/>
                <w:color w:val="auto"/>
              </w:rPr>
              <w:t>Depreciation and amortization expense</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30,858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31,831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131,302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152,990</w:t>
            </w:r>
          </w:p>
        </w:tc>
      </w:tr>
      <w:tr>
        <w:trPr>
          <w:trHeight w:val="270"/>
        </w:trPr>
        <w:tc>
          <w:tcPr>
            <w:tcW w:w="5520" w:type="dxa"/>
            <w:vAlign w:val="bottom"/>
          </w:tcPr>
          <w:p>
            <w:pPr>
              <w:ind w:left="120"/>
              <w:spacing w:after="0"/>
              <w:rPr>
                <w:sz w:val="20"/>
                <w:szCs w:val="20"/>
                <w:color w:val="auto"/>
              </w:rPr>
            </w:pPr>
            <w:r>
              <w:rPr>
                <w:rFonts w:ascii="Arial" w:cs="Arial" w:eastAsia="Arial" w:hAnsi="Arial"/>
                <w:sz w:val="22"/>
                <w:szCs w:val="22"/>
                <w:color w:val="auto"/>
              </w:rPr>
              <w:t>Impairment expense</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46,129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122,926</w:t>
            </w:r>
          </w:p>
        </w:tc>
      </w:tr>
      <w:tr>
        <w:trPr>
          <w:trHeight w:val="276"/>
        </w:trPr>
        <w:tc>
          <w:tcPr>
            <w:tcW w:w="5520" w:type="dxa"/>
            <w:vAlign w:val="bottom"/>
          </w:tcPr>
          <w:p>
            <w:pPr>
              <w:ind w:left="120"/>
              <w:spacing w:after="0"/>
              <w:rPr>
                <w:sz w:val="20"/>
                <w:szCs w:val="20"/>
                <w:color w:val="auto"/>
              </w:rPr>
            </w:pPr>
            <w:r>
              <w:rPr>
                <w:rFonts w:ascii="Arial" w:cs="Arial" w:eastAsia="Arial" w:hAnsi="Arial"/>
                <w:sz w:val="22"/>
                <w:szCs w:val="22"/>
                <w:color w:val="auto"/>
              </w:rPr>
              <w:t>Other operating expense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(3,816)</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612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(9,004)</w:t>
            </w:r>
          </w:p>
        </w:tc>
      </w:tr>
      <w:tr>
        <w:trPr>
          <w:trHeight w:val="265"/>
        </w:trPr>
        <w:tc>
          <w:tcPr>
            <w:tcW w:w="55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105,512</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110,187</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492,990</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662,966</w:t>
            </w:r>
          </w:p>
        </w:tc>
      </w:tr>
      <w:tr>
        <w:trPr>
          <w:trHeight w:val="268"/>
        </w:trPr>
        <w:tc>
          <w:tcPr>
            <w:tcW w:w="5520" w:type="dxa"/>
            <w:vAlign w:val="bottom"/>
          </w:tcPr>
          <w:p>
            <w:pPr>
              <w:spacing w:after="0"/>
              <w:rPr>
                <w:sz w:val="20"/>
                <w:szCs w:val="20"/>
                <w:color w:val="auto"/>
              </w:rPr>
            </w:pPr>
            <w:r>
              <w:rPr>
                <w:rFonts w:ascii="Arial" w:cs="Arial" w:eastAsia="Arial" w:hAnsi="Arial"/>
                <w:sz w:val="22"/>
                <w:szCs w:val="22"/>
                <w:color w:val="auto"/>
              </w:rPr>
              <w:t>Operating loss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(14,591)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(12,902)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(95,760)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(145,003)</w:t>
            </w:r>
          </w:p>
        </w:tc>
      </w:tr>
      <w:tr>
        <w:trPr>
          <w:trHeight w:val="528"/>
        </w:trPr>
        <w:tc>
          <w:tcPr>
            <w:tcW w:w="5520" w:type="dxa"/>
            <w:vAlign w:val="bottom"/>
          </w:tcPr>
          <w:p>
            <w:pPr>
              <w:spacing w:after="0"/>
              <w:rPr>
                <w:sz w:val="20"/>
                <w:szCs w:val="20"/>
                <w:color w:val="auto"/>
              </w:rPr>
            </w:pPr>
            <w:r>
              <w:rPr>
                <w:rFonts w:ascii="Arial" w:cs="Arial" w:eastAsia="Arial" w:hAnsi="Arial"/>
                <w:sz w:val="22"/>
                <w:szCs w:val="22"/>
                <w:color w:val="auto"/>
                <w:w w:val="97"/>
              </w:rPr>
              <w:t>Interest expense to third-parties, net of capitalized interest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(5,726)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(4,706)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(22,667)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(22,585)</w:t>
            </w:r>
          </w:p>
        </w:tc>
      </w:tr>
      <w:tr>
        <w:trPr>
          <w:trHeight w:val="270"/>
        </w:trPr>
        <w:tc>
          <w:tcPr>
            <w:tcW w:w="552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(1,474)</w:t>
            </w:r>
          </w:p>
        </w:tc>
      </w:tr>
      <w:tr>
        <w:trPr>
          <w:trHeight w:val="270"/>
        </w:trPr>
        <w:tc>
          <w:tcPr>
            <w:tcW w:w="5520" w:type="dxa"/>
            <w:vAlign w:val="bottom"/>
          </w:tcPr>
          <w:p>
            <w:pPr>
              <w:spacing w:after="0"/>
              <w:rPr>
                <w:sz w:val="20"/>
                <w:szCs w:val="20"/>
                <w:color w:val="auto"/>
              </w:rPr>
            </w:pPr>
            <w:r>
              <w:rPr>
                <w:rFonts w:ascii="Arial" w:cs="Arial" w:eastAsia="Arial" w:hAnsi="Arial"/>
                <w:sz w:val="22"/>
                <w:szCs w:val="22"/>
                <w:color w:val="auto"/>
              </w:rPr>
              <w:t>Interest income</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64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2,033</w:t>
            </w:r>
          </w:p>
        </w:tc>
      </w:tr>
      <w:tr>
        <w:trPr>
          <w:trHeight w:val="275"/>
        </w:trPr>
        <w:tc>
          <w:tcPr>
            <w:tcW w:w="5520" w:type="dxa"/>
            <w:vAlign w:val="bottom"/>
          </w:tcPr>
          <w:p>
            <w:pPr>
              <w:spacing w:after="0"/>
              <w:rPr>
                <w:sz w:val="20"/>
                <w:szCs w:val="20"/>
                <w:color w:val="auto"/>
              </w:rPr>
            </w:pPr>
            <w:r>
              <w:rPr>
                <w:rFonts w:ascii="Arial" w:cs="Arial" w:eastAsia="Arial" w:hAnsi="Arial"/>
                <w:sz w:val="22"/>
                <w:szCs w:val="22"/>
                <w:color w:val="auto"/>
              </w:rPr>
              <w:t>Other income</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1,587</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1,451</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2,645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3,276</w:t>
            </w:r>
          </w:p>
        </w:tc>
      </w:tr>
      <w:tr>
        <w:trPr>
          <w:trHeight w:val="259"/>
        </w:trPr>
        <w:tc>
          <w:tcPr>
            <w:tcW w:w="5520" w:type="dxa"/>
            <w:vAlign w:val="bottom"/>
          </w:tcPr>
          <w:p>
            <w:pPr>
              <w:ind w:left="120"/>
              <w:spacing w:after="0"/>
              <w:rPr>
                <w:sz w:val="20"/>
                <w:szCs w:val="20"/>
                <w:color w:val="auto"/>
              </w:rPr>
            </w:pPr>
            <w:r>
              <w:rPr>
                <w:rFonts w:ascii="Arial" w:cs="Arial" w:eastAsia="Arial" w:hAnsi="Arial"/>
                <w:sz w:val="22"/>
                <w:szCs w:val="22"/>
                <w:color w:val="auto"/>
              </w:rPr>
              <w:t>Loss before income taxes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(18,718)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(16,093)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(115,932)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(163,753)</w:t>
            </w:r>
          </w:p>
        </w:tc>
      </w:tr>
      <w:tr>
        <w:trPr>
          <w:trHeight w:val="275"/>
        </w:trPr>
        <w:tc>
          <w:tcPr>
            <w:tcW w:w="5520" w:type="dxa"/>
            <w:vAlign w:val="bottom"/>
          </w:tcPr>
          <w:p>
            <w:pPr>
              <w:spacing w:after="0"/>
              <w:rPr>
                <w:sz w:val="20"/>
                <w:szCs w:val="20"/>
                <w:color w:val="auto"/>
              </w:rPr>
            </w:pPr>
            <w:r>
              <w:rPr>
                <w:rFonts w:ascii="Arial" w:cs="Arial" w:eastAsia="Arial" w:hAnsi="Arial"/>
                <w:sz w:val="22"/>
                <w:szCs w:val="22"/>
                <w:color w:val="auto"/>
              </w:rPr>
              <w:t>Income tax benefit</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2,888</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5,638</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20,105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33,089</w:t>
            </w:r>
          </w:p>
        </w:tc>
      </w:tr>
      <w:tr>
        <w:trPr>
          <w:trHeight w:val="259"/>
        </w:trPr>
        <w:tc>
          <w:tcPr>
            <w:tcW w:w="5520" w:type="dxa"/>
            <w:vAlign w:val="bottom"/>
          </w:tcPr>
          <w:p>
            <w:pPr>
              <w:spacing w:after="0"/>
              <w:rPr>
                <w:sz w:val="20"/>
                <w:szCs w:val="20"/>
                <w:color w:val="auto"/>
              </w:rPr>
            </w:pPr>
            <w:r>
              <w:rPr>
                <w:rFonts w:ascii="Arial" w:cs="Arial" w:eastAsia="Arial" w:hAnsi="Arial"/>
                <w:sz w:val="22"/>
                <w:szCs w:val="22"/>
                <w:color w:val="auto"/>
              </w:rPr>
              <w:t>Net loss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(15,830)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(10,455)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(95,827)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(130,664)</w:t>
            </w:r>
          </w:p>
        </w:tc>
      </w:tr>
      <w:tr>
        <w:trPr>
          <w:trHeight w:val="276"/>
        </w:trPr>
        <w:tc>
          <w:tcPr>
            <w:tcW w:w="5520" w:type="dxa"/>
            <w:vAlign w:val="bottom"/>
          </w:tcPr>
          <w:p>
            <w:pPr>
              <w:ind w:left="120"/>
              <w:spacing w:after="0"/>
              <w:rPr>
                <w:sz w:val="20"/>
                <w:szCs w:val="20"/>
                <w:color w:val="auto"/>
              </w:rPr>
            </w:pPr>
            <w:r>
              <w:rPr>
                <w:rFonts w:ascii="Arial" w:cs="Arial" w:eastAsia="Arial" w:hAnsi="Arial"/>
                <w:sz w:val="22"/>
                <w:szCs w:val="22"/>
                <w:color w:val="auto"/>
              </w:rPr>
              <w:t>Less: Net income attributable to noncontrolling interest</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142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561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1,095</w:t>
            </w:r>
          </w:p>
        </w:tc>
      </w:tr>
      <w:tr>
        <w:trPr>
          <w:trHeight w:val="265"/>
        </w:trPr>
        <w:tc>
          <w:tcPr>
            <w:tcW w:w="5520" w:type="dxa"/>
            <w:vAlign w:val="bottom"/>
          </w:tcPr>
          <w:p>
            <w:pPr>
              <w:spacing w:after="0"/>
              <w:rPr>
                <w:sz w:val="20"/>
                <w:szCs w:val="20"/>
                <w:color w:val="auto"/>
              </w:rPr>
            </w:pPr>
            <w:r>
              <w:rPr>
                <w:rFonts w:ascii="Arial" w:cs="Arial" w:eastAsia="Arial" w:hAnsi="Arial"/>
                <w:sz w:val="22"/>
                <w:szCs w:val="22"/>
                <w:color w:val="auto"/>
              </w:rPr>
              <w:t>Net loss attributable to Civeo Corporation</w:t>
            </w: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(15,949)</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(10,597)</w:t>
            </w:r>
          </w:p>
        </w:tc>
        <w:tc>
          <w:tcPr>
            <w:tcW w:w="80" w:type="dxa"/>
            <w:vAlign w:val="bottom"/>
          </w:tcPr>
          <w:p>
            <w:pPr>
              <w:spacing w:after="0"/>
              <w:rPr>
                <w:sz w:val="23"/>
                <w:szCs w:val="23"/>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(96,388)</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(131,759)</w:t>
            </w:r>
          </w:p>
        </w:tc>
      </w:tr>
      <w:tr>
        <w:trPr>
          <w:trHeight w:val="21"/>
        </w:trPr>
        <w:tc>
          <w:tcPr>
            <w:tcW w:w="55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26"/>
        </w:trPr>
        <w:tc>
          <w:tcPr>
            <w:tcW w:w="6900" w:type="dxa"/>
            <w:vAlign w:val="bottom"/>
            <w:gridSpan w:val="4"/>
          </w:tcPr>
          <w:p>
            <w:pPr>
              <w:spacing w:after="0"/>
              <w:rPr>
                <w:sz w:val="20"/>
                <w:szCs w:val="20"/>
                <w:color w:val="auto"/>
              </w:rPr>
            </w:pPr>
            <w:r>
              <w:rPr>
                <w:rFonts w:ascii="Arial" w:cs="Arial" w:eastAsia="Arial" w:hAnsi="Arial"/>
                <w:sz w:val="22"/>
                <w:szCs w:val="22"/>
                <w:color w:val="auto"/>
                <w:w w:val="94"/>
              </w:rPr>
              <w:t>Net loss per share attributable to Civeo Corporation common stockholders: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520" w:type="dxa"/>
            <w:vAlign w:val="bottom"/>
          </w:tcPr>
          <w:p>
            <w:pPr>
              <w:ind w:left="120"/>
              <w:spacing w:after="0"/>
              <w:rPr>
                <w:sz w:val="20"/>
                <w:szCs w:val="20"/>
                <w:color w:val="auto"/>
              </w:rPr>
            </w:pPr>
            <w:r>
              <w:rPr>
                <w:rFonts w:ascii="Arial" w:cs="Arial" w:eastAsia="Arial" w:hAnsi="Arial"/>
                <w:sz w:val="22"/>
                <w:szCs w:val="22"/>
                <w:color w:val="auto"/>
              </w:rPr>
              <w:t>Basic</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(0.15)</w:t>
            </w:r>
          </w:p>
        </w:tc>
        <w:tc>
          <w:tcPr>
            <w:tcW w:w="100" w:type="dxa"/>
            <w:vAlign w:val="bottom"/>
          </w:tcPr>
          <w:p>
            <w:pPr>
              <w:spacing w:after="0"/>
              <w:rPr>
                <w:sz w:val="23"/>
                <w:szCs w:val="23"/>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(0.10)</w:t>
            </w:r>
          </w:p>
        </w:tc>
        <w:tc>
          <w:tcPr>
            <w:tcW w:w="80" w:type="dxa"/>
            <w:vAlign w:val="bottom"/>
          </w:tcPr>
          <w:p>
            <w:pPr>
              <w:spacing w:after="0"/>
              <w:rPr>
                <w:sz w:val="23"/>
                <w:szCs w:val="23"/>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(0.90)</w:t>
            </w:r>
          </w:p>
        </w:tc>
        <w:tc>
          <w:tcPr>
            <w:tcW w:w="12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275"/>
        </w:trPr>
        <w:tc>
          <w:tcPr>
            <w:tcW w:w="5520" w:type="dxa"/>
            <w:vAlign w:val="bottom"/>
          </w:tcPr>
          <w:p>
            <w:pPr>
              <w:ind w:left="120"/>
              <w:spacing w:after="0"/>
              <w:rPr>
                <w:sz w:val="20"/>
                <w:szCs w:val="20"/>
                <w:color w:val="auto"/>
              </w:rPr>
            </w:pPr>
            <w:r>
              <w:rPr>
                <w:rFonts w:ascii="Arial" w:cs="Arial" w:eastAsia="Arial" w:hAnsi="Arial"/>
                <w:sz w:val="22"/>
                <w:szCs w:val="22"/>
                <w:color w:val="auto"/>
              </w:rPr>
              <w:t>Diluted</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(0.15)</w:t>
            </w:r>
          </w:p>
        </w:tc>
        <w:tc>
          <w:tcPr>
            <w:tcW w:w="100" w:type="dxa"/>
            <w:vAlign w:val="bottom"/>
          </w:tcPr>
          <w:p>
            <w:pPr>
              <w:spacing w:after="0"/>
              <w:rPr>
                <w:sz w:val="23"/>
                <w:szCs w:val="23"/>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(0.10)</w:t>
            </w:r>
          </w:p>
        </w:tc>
        <w:tc>
          <w:tcPr>
            <w:tcW w:w="80" w:type="dxa"/>
            <w:vAlign w:val="bottom"/>
          </w:tcPr>
          <w:p>
            <w:pPr>
              <w:spacing w:after="0"/>
              <w:rPr>
                <w:sz w:val="23"/>
                <w:szCs w:val="23"/>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(0.90)</w:t>
            </w:r>
          </w:p>
        </w:tc>
        <w:tc>
          <w:tcPr>
            <w:tcW w:w="12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536"/>
        </w:trPr>
        <w:tc>
          <w:tcPr>
            <w:tcW w:w="5520" w:type="dxa"/>
            <w:vAlign w:val="bottom"/>
          </w:tcPr>
          <w:p>
            <w:pPr>
              <w:spacing w:after="0"/>
              <w:rPr>
                <w:sz w:val="20"/>
                <w:szCs w:val="20"/>
                <w:color w:val="auto"/>
              </w:rPr>
            </w:pPr>
            <w:r>
              <w:rPr>
                <w:rFonts w:ascii="Arial" w:cs="Arial" w:eastAsia="Arial" w:hAnsi="Arial"/>
                <w:sz w:val="22"/>
                <w:szCs w:val="22"/>
                <w:color w:val="auto"/>
                <w:w w:val="96"/>
              </w:rPr>
              <w:t>Weighted average number of common shares outstanding:</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520" w:type="dxa"/>
            <w:vAlign w:val="bottom"/>
          </w:tcPr>
          <w:p>
            <w:pPr>
              <w:ind w:left="120"/>
              <w:spacing w:after="0"/>
              <w:rPr>
                <w:sz w:val="20"/>
                <w:szCs w:val="20"/>
                <w:color w:val="auto"/>
              </w:rPr>
            </w:pPr>
            <w:r>
              <w:rPr>
                <w:rFonts w:ascii="Arial" w:cs="Arial" w:eastAsia="Arial" w:hAnsi="Arial"/>
                <w:sz w:val="22"/>
                <w:szCs w:val="22"/>
                <w:color w:val="auto"/>
              </w:rPr>
              <w:t>Basic</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107,128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106,667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107,024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106,604</w:t>
            </w:r>
          </w:p>
        </w:tc>
      </w:tr>
      <w:tr>
        <w:trPr>
          <w:trHeight w:val="275"/>
        </w:trPr>
        <w:tc>
          <w:tcPr>
            <w:tcW w:w="5520" w:type="dxa"/>
            <w:vAlign w:val="bottom"/>
          </w:tcPr>
          <w:p>
            <w:pPr>
              <w:ind w:left="120"/>
              <w:spacing w:after="0"/>
              <w:rPr>
                <w:sz w:val="20"/>
                <w:szCs w:val="20"/>
                <w:color w:val="auto"/>
              </w:rPr>
            </w:pPr>
            <w:r>
              <w:rPr>
                <w:rFonts w:ascii="Arial" w:cs="Arial" w:eastAsia="Arial" w:hAnsi="Arial"/>
                <w:sz w:val="22"/>
                <w:szCs w:val="22"/>
                <w:color w:val="auto"/>
              </w:rPr>
              <w:t>Diluted</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107,128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106,667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107,024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106,604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34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3340"/>
        <w:spacing w:after="0"/>
        <w:rPr>
          <w:sz w:val="20"/>
          <w:szCs w:val="20"/>
          <w:color w:val="auto"/>
        </w:rPr>
      </w:pPr>
      <w:r>
        <w:rPr>
          <w:rFonts w:ascii="Arial" w:cs="Arial" w:eastAsia="Arial" w:hAnsi="Arial"/>
          <w:sz w:val="22"/>
          <w:szCs w:val="22"/>
          <w:b w:val="1"/>
          <w:bCs w:val="1"/>
          <w:color w:val="auto"/>
        </w:rPr>
        <w:t>CONSOLIDATED BALANCE SHEETS</w:t>
      </w:r>
    </w:p>
    <w:p>
      <w:pPr>
        <w:spacing w:after="0" w:line="4"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80" w:type="dxa"/>
            <w:vAlign w:val="bottom"/>
          </w:tcPr>
          <w:p>
            <w:pPr>
              <w:spacing w:after="0"/>
              <w:rPr>
                <w:sz w:val="21"/>
                <w:szCs w:val="21"/>
                <w:color w:val="auto"/>
              </w:rPr>
            </w:pPr>
          </w:p>
        </w:tc>
        <w:tc>
          <w:tcPr>
            <w:tcW w:w="3300" w:type="dxa"/>
            <w:vAlign w:val="bottom"/>
            <w:gridSpan w:val="5"/>
          </w:tcPr>
          <w:p>
            <w:pPr>
              <w:jc w:val="right"/>
              <w:spacing w:after="0"/>
              <w:rPr>
                <w:sz w:val="20"/>
                <w:szCs w:val="20"/>
                <w:color w:val="auto"/>
              </w:rPr>
            </w:pPr>
            <w:r>
              <w:rPr>
                <w:rFonts w:ascii="Arial" w:cs="Arial" w:eastAsia="Arial" w:hAnsi="Arial"/>
                <w:sz w:val="22"/>
                <w:szCs w:val="22"/>
                <w:b w:val="1"/>
                <w:bCs w:val="1"/>
                <w:color w:val="auto"/>
                <w:w w:val="98"/>
              </w:rPr>
              <w:t>DECEMBER 31, DECEMBER 31,</w:t>
            </w:r>
          </w:p>
        </w:tc>
        <w:tc>
          <w:tcPr>
            <w:tcW w:w="0" w:type="dxa"/>
            <w:vAlign w:val="bottom"/>
          </w:tcPr>
          <w:p>
            <w:pPr>
              <w:spacing w:after="0"/>
              <w:rPr>
                <w:sz w:val="1"/>
                <w:szCs w:val="1"/>
                <w:color w:val="auto"/>
              </w:rPr>
            </w:pPr>
          </w:p>
        </w:tc>
      </w:tr>
      <w:tr>
        <w:trPr>
          <w:trHeight w:val="281"/>
        </w:trPr>
        <w:tc>
          <w:tcPr>
            <w:tcW w:w="4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2015</w:t>
            </w:r>
          </w:p>
        </w:tc>
        <w:tc>
          <w:tcPr>
            <w:tcW w:w="0" w:type="dxa"/>
            <w:vAlign w:val="bottom"/>
          </w:tcPr>
          <w:p>
            <w:pPr>
              <w:spacing w:after="0"/>
              <w:rPr>
                <w:sz w:val="1"/>
                <w:szCs w:val="1"/>
                <w:color w:val="auto"/>
              </w:rPr>
            </w:pPr>
          </w:p>
        </w:tc>
      </w:tr>
      <w:tr>
        <w:trPr>
          <w:trHeight w:val="278"/>
        </w:trPr>
        <w:tc>
          <w:tcPr>
            <w:tcW w:w="4380" w:type="dxa"/>
            <w:vAlign w:val="bottom"/>
            <w:vMerge w:val="restart"/>
          </w:tcPr>
          <w:p>
            <w:pPr>
              <w:spacing w:after="0"/>
              <w:rPr>
                <w:sz w:val="20"/>
                <w:szCs w:val="20"/>
                <w:color w:val="auto"/>
              </w:rPr>
            </w:pPr>
            <w:r>
              <w:rPr>
                <w:rFonts w:ascii="Arial" w:cs="Arial" w:eastAsia="Arial" w:hAnsi="Arial"/>
                <w:sz w:val="22"/>
                <w:szCs w:val="22"/>
                <w:color w:val="auto"/>
              </w:rPr>
              <w:t>Current assets:</w:t>
            </w:r>
          </w:p>
        </w:tc>
        <w:tc>
          <w:tcPr>
            <w:tcW w:w="1600" w:type="dxa"/>
            <w:vAlign w:val="bottom"/>
            <w:gridSpan w:val="2"/>
          </w:tcPr>
          <w:p>
            <w:pPr>
              <w:ind w:left="80"/>
              <w:spacing w:after="0"/>
              <w:rPr>
                <w:sz w:val="20"/>
                <w:szCs w:val="20"/>
                <w:color w:val="auto"/>
              </w:rPr>
            </w:pPr>
            <w:r>
              <w:rPr>
                <w:rFonts w:ascii="Arial" w:cs="Arial" w:eastAsia="Arial" w:hAnsi="Arial"/>
                <w:sz w:val="22"/>
                <w:szCs w:val="22"/>
                <w:b w:val="1"/>
                <w:bCs w:val="1"/>
                <w:color w:val="auto"/>
              </w:rPr>
              <w:t>(UNAUDITED)</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38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Cash and cash equivalents</w:t>
            </w:r>
          </w:p>
        </w:tc>
        <w:tc>
          <w:tcPr>
            <w:tcW w:w="380" w:type="dxa"/>
            <w:vAlign w:val="bottom"/>
          </w:tcPr>
          <w:p>
            <w:pPr>
              <w:ind w:left="60"/>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1,785</w:t>
            </w:r>
          </w:p>
        </w:tc>
        <w:tc>
          <w:tcPr>
            <w:tcW w:w="80" w:type="dxa"/>
            <w:vAlign w:val="bottom"/>
          </w:tcPr>
          <w:p>
            <w:pPr>
              <w:spacing w:after="0"/>
              <w:rPr>
                <w:sz w:val="23"/>
                <w:szCs w:val="23"/>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7,837</w:t>
            </w: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Accounts receivable, net</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56,302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61,467</w:t>
            </w: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Inventories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3,112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5,631</w:t>
            </w:r>
          </w:p>
        </w:tc>
        <w:tc>
          <w:tcPr>
            <w:tcW w:w="0" w:type="dxa"/>
            <w:vAlign w:val="bottom"/>
          </w:tcPr>
          <w:p>
            <w:pPr>
              <w:spacing w:after="0"/>
              <w:rPr>
                <w:sz w:val="1"/>
                <w:szCs w:val="1"/>
                <w:color w:val="auto"/>
              </w:rPr>
            </w:pPr>
          </w:p>
        </w:tc>
      </w:tr>
      <w:tr>
        <w:trPr>
          <w:trHeight w:val="275"/>
        </w:trPr>
        <w:tc>
          <w:tcPr>
            <w:tcW w:w="4380" w:type="dxa"/>
            <w:vAlign w:val="bottom"/>
          </w:tcPr>
          <w:p>
            <w:pPr>
              <w:ind w:left="120"/>
              <w:spacing w:after="0"/>
              <w:rPr>
                <w:sz w:val="20"/>
                <w:szCs w:val="20"/>
                <w:color w:val="auto"/>
              </w:rPr>
            </w:pPr>
            <w:r>
              <w:rPr>
                <w:rFonts w:ascii="Arial" w:cs="Arial" w:eastAsia="Arial" w:hAnsi="Arial"/>
                <w:sz w:val="22"/>
                <w:szCs w:val="22"/>
                <w:color w:val="auto"/>
              </w:rPr>
              <w:t>Prepaid expenses and other current assets</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21,369</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15,024</w:t>
            </w:r>
          </w:p>
        </w:tc>
        <w:tc>
          <w:tcPr>
            <w:tcW w:w="0" w:type="dxa"/>
            <w:vAlign w:val="bottom"/>
          </w:tcPr>
          <w:p>
            <w:pPr>
              <w:spacing w:after="0"/>
              <w:rPr>
                <w:sz w:val="1"/>
                <w:szCs w:val="1"/>
                <w:color w:val="auto"/>
              </w:rPr>
            </w:pPr>
          </w:p>
        </w:tc>
      </w:tr>
      <w:tr>
        <w:trPr>
          <w:trHeight w:val="272"/>
        </w:trPr>
        <w:tc>
          <w:tcPr>
            <w:tcW w:w="4380" w:type="dxa"/>
            <w:vAlign w:val="bottom"/>
          </w:tcPr>
          <w:p>
            <w:pPr>
              <w:ind w:left="260"/>
              <w:spacing w:after="0"/>
              <w:rPr>
                <w:sz w:val="20"/>
                <w:szCs w:val="20"/>
                <w:color w:val="auto"/>
              </w:rPr>
            </w:pPr>
            <w:r>
              <w:rPr>
                <w:rFonts w:ascii="Arial" w:cs="Arial" w:eastAsia="Arial" w:hAnsi="Arial"/>
                <w:sz w:val="22"/>
                <w:szCs w:val="22"/>
                <w:color w:val="auto"/>
              </w:rPr>
              <w:t>Total current assets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82,568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89,959</w:t>
            </w:r>
          </w:p>
        </w:tc>
        <w:tc>
          <w:tcPr>
            <w:tcW w:w="0" w:type="dxa"/>
            <w:vAlign w:val="bottom"/>
          </w:tcPr>
          <w:p>
            <w:pPr>
              <w:spacing w:after="0"/>
              <w:rPr>
                <w:sz w:val="1"/>
                <w:szCs w:val="1"/>
                <w:color w:val="auto"/>
              </w:rPr>
            </w:pPr>
          </w:p>
        </w:tc>
      </w:tr>
      <w:tr>
        <w:trPr>
          <w:trHeight w:val="528"/>
        </w:trPr>
        <w:tc>
          <w:tcPr>
            <w:tcW w:w="438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38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789,710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931,914</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22"/>
                <w:szCs w:val="22"/>
                <w:color w:val="auto"/>
              </w:rPr>
              <w:t>Other intangible assets, net</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28,039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35,309</w:t>
            </w:r>
          </w:p>
        </w:tc>
        <w:tc>
          <w:tcPr>
            <w:tcW w:w="0" w:type="dxa"/>
            <w:vAlign w:val="bottom"/>
          </w:tcPr>
          <w:p>
            <w:pPr>
              <w:spacing w:after="0"/>
              <w:rPr>
                <w:sz w:val="1"/>
                <w:szCs w:val="1"/>
                <w:color w:val="auto"/>
              </w:rPr>
            </w:pPr>
          </w:p>
        </w:tc>
      </w:tr>
      <w:tr>
        <w:trPr>
          <w:trHeight w:val="276"/>
        </w:trPr>
        <w:tc>
          <w:tcPr>
            <w:tcW w:w="438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10,129</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9,347</w:t>
            </w:r>
          </w:p>
        </w:tc>
        <w:tc>
          <w:tcPr>
            <w:tcW w:w="0" w:type="dxa"/>
            <w:vAlign w:val="bottom"/>
          </w:tcPr>
          <w:p>
            <w:pPr>
              <w:spacing w:after="0"/>
              <w:rPr>
                <w:sz w:val="1"/>
                <w:szCs w:val="1"/>
                <w:color w:val="auto"/>
              </w:rPr>
            </w:pPr>
          </w:p>
        </w:tc>
      </w:tr>
      <w:tr>
        <w:trPr>
          <w:trHeight w:val="265"/>
        </w:trPr>
        <w:tc>
          <w:tcPr>
            <w:tcW w:w="4380" w:type="dxa"/>
            <w:vAlign w:val="bottom"/>
          </w:tcPr>
          <w:p>
            <w:pPr>
              <w:ind w:left="260"/>
              <w:spacing w:after="0"/>
              <w:rPr>
                <w:sz w:val="20"/>
                <w:szCs w:val="20"/>
                <w:color w:val="auto"/>
              </w:rPr>
            </w:pPr>
            <w:r>
              <w:rPr>
                <w:rFonts w:ascii="Arial" w:cs="Arial" w:eastAsia="Arial" w:hAnsi="Arial"/>
                <w:sz w:val="22"/>
                <w:szCs w:val="22"/>
                <w:color w:val="auto"/>
              </w:rPr>
              <w:t>Total assets</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910,446</w:t>
            </w:r>
          </w:p>
        </w:tc>
        <w:tc>
          <w:tcPr>
            <w:tcW w:w="80" w:type="dxa"/>
            <w:vAlign w:val="bottom"/>
          </w:tcPr>
          <w:p>
            <w:pPr>
              <w:spacing w:after="0"/>
              <w:rPr>
                <w:sz w:val="23"/>
                <w:szCs w:val="23"/>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1,066,529</w:t>
            </w:r>
          </w:p>
        </w:tc>
        <w:tc>
          <w:tcPr>
            <w:tcW w:w="0" w:type="dxa"/>
            <w:vAlign w:val="bottom"/>
          </w:tcPr>
          <w:p>
            <w:pPr>
              <w:spacing w:after="0"/>
              <w:rPr>
                <w:sz w:val="1"/>
                <w:szCs w:val="1"/>
                <w:color w:val="auto"/>
              </w:rPr>
            </w:pPr>
          </w:p>
        </w:tc>
      </w:tr>
      <w:tr>
        <w:trPr>
          <w:trHeight w:val="21"/>
        </w:trPr>
        <w:tc>
          <w:tcPr>
            <w:tcW w:w="4380" w:type="dxa"/>
            <w:vAlign w:val="bottom"/>
            <w:vMerge w:val="restart"/>
          </w:tcPr>
          <w:p>
            <w:pPr>
              <w:spacing w:after="0"/>
              <w:rPr>
                <w:sz w:val="20"/>
                <w:szCs w:val="20"/>
                <w:color w:val="auto"/>
              </w:rPr>
            </w:pPr>
            <w:r>
              <w:rPr>
                <w:rFonts w:ascii="Arial" w:cs="Arial" w:eastAsia="Arial" w:hAnsi="Arial"/>
                <w:sz w:val="22"/>
                <w:szCs w:val="22"/>
                <w:color w:val="auto"/>
              </w:rPr>
              <w:t>Current liabilities: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3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Accounts payable</w:t>
            </w:r>
          </w:p>
        </w:tc>
        <w:tc>
          <w:tcPr>
            <w:tcW w:w="380" w:type="dxa"/>
            <w:vAlign w:val="bottom"/>
          </w:tcPr>
          <w:p>
            <w:pPr>
              <w:ind w:left="60"/>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21,119</w:t>
            </w:r>
          </w:p>
        </w:tc>
        <w:tc>
          <w:tcPr>
            <w:tcW w:w="80" w:type="dxa"/>
            <w:vAlign w:val="bottom"/>
          </w:tcPr>
          <w:p>
            <w:pPr>
              <w:spacing w:after="0"/>
              <w:rPr>
                <w:sz w:val="23"/>
                <w:szCs w:val="23"/>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24,609</w:t>
            </w: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Accrued liabilities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14,378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14,834</w:t>
            </w: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Income taxes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111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1,104</w:t>
            </w: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Current portion of long-term debt</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15,471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17,461</w:t>
            </w:r>
          </w:p>
        </w:tc>
        <w:tc>
          <w:tcPr>
            <w:tcW w:w="0" w:type="dxa"/>
            <w:vAlign w:val="bottom"/>
          </w:tcPr>
          <w:p>
            <w:pPr>
              <w:spacing w:after="0"/>
              <w:rPr>
                <w:sz w:val="1"/>
                <w:szCs w:val="1"/>
                <w:color w:val="auto"/>
              </w:rPr>
            </w:pPr>
          </w:p>
        </w:tc>
      </w:tr>
      <w:tr>
        <w:trPr>
          <w:trHeight w:val="270"/>
        </w:trPr>
        <w:tc>
          <w:tcPr>
            <w:tcW w:w="4380" w:type="dxa"/>
            <w:vAlign w:val="bottom"/>
          </w:tcPr>
          <w:p>
            <w:pPr>
              <w:ind w:left="120"/>
              <w:spacing w:after="0"/>
              <w:rPr>
                <w:sz w:val="20"/>
                <w:szCs w:val="20"/>
                <w:color w:val="auto"/>
              </w:rPr>
            </w:pPr>
            <w:r>
              <w:rPr>
                <w:rFonts w:ascii="Arial" w:cs="Arial" w:eastAsia="Arial" w:hAnsi="Arial"/>
                <w:sz w:val="22"/>
                <w:szCs w:val="22"/>
                <w:color w:val="auto"/>
              </w:rPr>
              <w:t>Deferred revenue</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6,792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7,747</w:t>
            </w:r>
          </w:p>
        </w:tc>
        <w:tc>
          <w:tcPr>
            <w:tcW w:w="0" w:type="dxa"/>
            <w:vAlign w:val="bottom"/>
          </w:tcPr>
          <w:p>
            <w:pPr>
              <w:spacing w:after="0"/>
              <w:rPr>
                <w:sz w:val="1"/>
                <w:szCs w:val="1"/>
                <w:color w:val="auto"/>
              </w:rPr>
            </w:pPr>
          </w:p>
        </w:tc>
      </w:tr>
      <w:tr>
        <w:trPr>
          <w:trHeight w:val="275"/>
        </w:trPr>
        <w:tc>
          <w:tcPr>
            <w:tcW w:w="4380" w:type="dxa"/>
            <w:vAlign w:val="bottom"/>
          </w:tcPr>
          <w:p>
            <w:pPr>
              <w:ind w:left="120"/>
              <w:spacing w:after="0"/>
              <w:rPr>
                <w:sz w:val="20"/>
                <w:szCs w:val="20"/>
                <w:color w:val="auto"/>
              </w:rPr>
            </w:pPr>
            <w:r>
              <w:rPr>
                <w:rFonts w:ascii="Arial" w:cs="Arial" w:eastAsia="Arial" w:hAnsi="Arial"/>
                <w:sz w:val="22"/>
                <w:szCs w:val="22"/>
                <w:color w:val="auto"/>
              </w:rPr>
              <w:t>Other current liabilities</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2,572</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493</w:t>
            </w:r>
          </w:p>
        </w:tc>
        <w:tc>
          <w:tcPr>
            <w:tcW w:w="0" w:type="dxa"/>
            <w:vAlign w:val="bottom"/>
          </w:tcPr>
          <w:p>
            <w:pPr>
              <w:spacing w:after="0"/>
              <w:rPr>
                <w:sz w:val="1"/>
                <w:szCs w:val="1"/>
                <w:color w:val="auto"/>
              </w:rPr>
            </w:pPr>
          </w:p>
        </w:tc>
      </w:tr>
      <w:tr>
        <w:trPr>
          <w:trHeight w:val="272"/>
        </w:trPr>
        <w:tc>
          <w:tcPr>
            <w:tcW w:w="4380" w:type="dxa"/>
            <w:vAlign w:val="bottom"/>
          </w:tcPr>
          <w:p>
            <w:pPr>
              <w:ind w:left="260"/>
              <w:spacing w:after="0"/>
              <w:rPr>
                <w:sz w:val="20"/>
                <w:szCs w:val="20"/>
                <w:color w:val="auto"/>
              </w:rPr>
            </w:pPr>
            <w:r>
              <w:rPr>
                <w:rFonts w:ascii="Arial" w:cs="Arial" w:eastAsia="Arial" w:hAnsi="Arial"/>
                <w:sz w:val="22"/>
                <w:szCs w:val="22"/>
                <w:color w:val="auto"/>
              </w:rPr>
              <w:t>Total current liabilities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60,443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66,248</w:t>
            </w:r>
          </w:p>
        </w:tc>
        <w:tc>
          <w:tcPr>
            <w:tcW w:w="0" w:type="dxa"/>
            <w:vAlign w:val="bottom"/>
          </w:tcPr>
          <w:p>
            <w:pPr>
              <w:spacing w:after="0"/>
              <w:rPr>
                <w:sz w:val="1"/>
                <w:szCs w:val="1"/>
                <w:color w:val="auto"/>
              </w:rPr>
            </w:pPr>
          </w:p>
        </w:tc>
      </w:tr>
    </w:tbl>
    <w:p>
      <w:pPr>
        <w:sectPr>
          <w:pgSz w:w="11900" w:h="16861" w:orient="portrait"/>
          <w:cols w:equalWidth="0" w:num="1">
            <w:col w:w="11000"/>
          </w:cols>
          <w:pgMar w:left="260" w:top="111" w:right="6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80" w:type="dxa"/>
            <w:vAlign w:val="bottom"/>
          </w:tcPr>
          <w:p>
            <w:pPr>
              <w:spacing w:after="0"/>
              <w:rPr>
                <w:sz w:val="20"/>
                <w:szCs w:val="20"/>
                <w:color w:val="auto"/>
              </w:rPr>
            </w:pPr>
            <w:r>
              <w:rPr>
                <w:rFonts w:ascii="Arial" w:cs="Arial" w:eastAsia="Arial" w:hAnsi="Arial"/>
                <w:sz w:val="22"/>
                <w:szCs w:val="22"/>
                <w:color w:val="auto"/>
              </w:rPr>
              <w:t>Long-term debt to third-parties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337,800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379,416</w:t>
            </w:r>
          </w:p>
        </w:tc>
      </w:tr>
      <w:tr>
        <w:trPr>
          <w:trHeight w:val="270"/>
        </w:trPr>
        <w:tc>
          <w:tcPr>
            <w:tcW w:w="4380" w:type="dxa"/>
            <w:vAlign w:val="bottom"/>
          </w:tcPr>
          <w:p>
            <w:pPr>
              <w:spacing w:after="0"/>
              <w:rPr>
                <w:sz w:val="20"/>
                <w:szCs w:val="20"/>
                <w:color w:val="auto"/>
              </w:rPr>
            </w:pPr>
            <w:r>
              <w:rPr>
                <w:rFonts w:ascii="Arial" w:cs="Arial" w:eastAsia="Arial" w:hAnsi="Arial"/>
                <w:sz w:val="22"/>
                <w:szCs w:val="22"/>
                <w:color w:val="auto"/>
              </w:rPr>
              <w:t>Deferred income taxes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9,194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25,391</w:t>
            </w:r>
          </w:p>
        </w:tc>
      </w:tr>
      <w:tr>
        <w:trPr>
          <w:trHeight w:val="275"/>
        </w:trPr>
        <w:tc>
          <w:tcPr>
            <w:tcW w:w="438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27,019</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31,704</w:t>
            </w:r>
          </w:p>
        </w:tc>
      </w:tr>
      <w:tr>
        <w:trPr>
          <w:trHeight w:val="272"/>
        </w:trPr>
        <w:tc>
          <w:tcPr>
            <w:tcW w:w="4380" w:type="dxa"/>
            <w:vAlign w:val="bottom"/>
          </w:tcPr>
          <w:p>
            <w:pPr>
              <w:ind w:left="260"/>
              <w:spacing w:after="0"/>
              <w:rPr>
                <w:sz w:val="20"/>
                <w:szCs w:val="20"/>
                <w:color w:val="auto"/>
              </w:rPr>
            </w:pPr>
            <w:r>
              <w:rPr>
                <w:rFonts w:ascii="Arial" w:cs="Arial" w:eastAsia="Arial" w:hAnsi="Arial"/>
                <w:sz w:val="22"/>
                <w:szCs w:val="22"/>
                <w:color w:val="auto"/>
              </w:rPr>
              <w:t>Total liabilities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434,456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502,759</w:t>
            </w:r>
          </w:p>
        </w:tc>
      </w:tr>
      <w:tr>
        <w:trPr>
          <w:trHeight w:val="528"/>
        </w:trPr>
        <w:tc>
          <w:tcPr>
            <w:tcW w:w="4380" w:type="dxa"/>
            <w:vAlign w:val="bottom"/>
          </w:tcPr>
          <w:p>
            <w:pPr>
              <w:spacing w:after="0"/>
              <w:rPr>
                <w:sz w:val="20"/>
                <w:szCs w:val="20"/>
                <w:color w:val="auto"/>
              </w:rPr>
            </w:pPr>
            <w:r>
              <w:rPr>
                <w:rFonts w:ascii="Arial" w:cs="Arial" w:eastAsia="Arial" w:hAnsi="Arial"/>
                <w:sz w:val="22"/>
                <w:szCs w:val="22"/>
                <w:color w:val="auto"/>
              </w:rPr>
              <w:t>Shareholders' equity:</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380" w:type="dxa"/>
            <w:vAlign w:val="bottom"/>
          </w:tcPr>
          <w:p>
            <w:pPr>
              <w:ind w:left="260"/>
              <w:spacing w:after="0"/>
              <w:rPr>
                <w:sz w:val="20"/>
                <w:szCs w:val="20"/>
                <w:color w:val="auto"/>
              </w:rPr>
            </w:pPr>
            <w:r>
              <w:rPr>
                <w:rFonts w:ascii="Arial" w:cs="Arial" w:eastAsia="Arial" w:hAnsi="Arial"/>
                <w:sz w:val="22"/>
                <w:szCs w:val="22"/>
                <w:color w:val="auto"/>
              </w:rPr>
              <w:t>Common shares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w:t>
            </w:r>
          </w:p>
        </w:tc>
      </w:tr>
      <w:tr>
        <w:trPr>
          <w:trHeight w:val="270"/>
        </w:trPr>
        <w:tc>
          <w:tcPr>
            <w:tcW w:w="4380" w:type="dxa"/>
            <w:vAlign w:val="bottom"/>
          </w:tcPr>
          <w:p>
            <w:pPr>
              <w:ind w:left="260"/>
              <w:spacing w:after="0"/>
              <w:rPr>
                <w:sz w:val="20"/>
                <w:szCs w:val="20"/>
                <w:color w:val="auto"/>
              </w:rPr>
            </w:pPr>
            <w:r>
              <w:rPr>
                <w:rFonts w:ascii="Arial" w:cs="Arial" w:eastAsia="Arial" w:hAnsi="Arial"/>
                <w:sz w:val="22"/>
                <w:szCs w:val="22"/>
                <w:color w:val="auto"/>
              </w:rPr>
              <w:t>Additional paid-in capital</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1,311,226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1,305,930</w:t>
            </w:r>
          </w:p>
        </w:tc>
      </w:tr>
      <w:tr>
        <w:trPr>
          <w:trHeight w:val="270"/>
        </w:trPr>
        <w:tc>
          <w:tcPr>
            <w:tcW w:w="4380" w:type="dxa"/>
            <w:vAlign w:val="bottom"/>
          </w:tcPr>
          <w:p>
            <w:pPr>
              <w:ind w:left="260"/>
              <w:spacing w:after="0"/>
              <w:rPr>
                <w:sz w:val="20"/>
                <w:szCs w:val="20"/>
                <w:color w:val="auto"/>
              </w:rPr>
            </w:pPr>
            <w:r>
              <w:rPr>
                <w:rFonts w:ascii="Arial" w:cs="Arial" w:eastAsia="Arial" w:hAnsi="Arial"/>
                <w:sz w:val="22"/>
                <w:szCs w:val="22"/>
                <w:color w:val="auto"/>
              </w:rPr>
              <w:t>Accumulated deficit</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(472,764)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(376,376)</w:t>
            </w:r>
          </w:p>
        </w:tc>
      </w:tr>
      <w:tr>
        <w:trPr>
          <w:trHeight w:val="270"/>
        </w:trPr>
        <w:tc>
          <w:tcPr>
            <w:tcW w:w="4380" w:type="dxa"/>
            <w:vAlign w:val="bottom"/>
          </w:tcPr>
          <w:p>
            <w:pPr>
              <w:ind w:left="260"/>
              <w:spacing w:after="0"/>
              <w:rPr>
                <w:sz w:val="20"/>
                <w:szCs w:val="20"/>
                <w:color w:val="auto"/>
              </w:rPr>
            </w:pPr>
            <w:r>
              <w:rPr>
                <w:rFonts w:ascii="Arial" w:cs="Arial" w:eastAsia="Arial" w:hAnsi="Arial"/>
                <w:sz w:val="22"/>
                <w:szCs w:val="22"/>
                <w:color w:val="auto"/>
              </w:rPr>
              <w:t>Treasury stock</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(65)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w:t>
            </w:r>
          </w:p>
        </w:tc>
      </w:tr>
      <w:tr>
        <w:trPr>
          <w:trHeight w:val="275"/>
        </w:trPr>
        <w:tc>
          <w:tcPr>
            <w:tcW w:w="4380" w:type="dxa"/>
            <w:vAlign w:val="bottom"/>
          </w:tcPr>
          <w:p>
            <w:pPr>
              <w:ind w:left="260"/>
              <w:spacing w:after="0"/>
              <w:rPr>
                <w:sz w:val="20"/>
                <w:szCs w:val="20"/>
                <w:color w:val="auto"/>
              </w:rPr>
            </w:pPr>
            <w:r>
              <w:rPr>
                <w:rFonts w:ascii="Arial" w:cs="Arial" w:eastAsia="Arial" w:hAnsi="Arial"/>
                <w:sz w:val="22"/>
                <w:szCs w:val="22"/>
                <w:color w:val="auto"/>
              </w:rPr>
              <w:t>Accumulated other comprehensive loss</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(362,930)</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(366,309)</w:t>
            </w:r>
          </w:p>
        </w:tc>
      </w:tr>
      <w:tr>
        <w:trPr>
          <w:trHeight w:val="267"/>
        </w:trPr>
        <w:tc>
          <w:tcPr>
            <w:tcW w:w="4380" w:type="dxa"/>
            <w:vAlign w:val="bottom"/>
          </w:tcPr>
          <w:p>
            <w:pPr>
              <w:ind w:left="400"/>
              <w:spacing w:after="0"/>
              <w:rPr>
                <w:sz w:val="20"/>
                <w:szCs w:val="20"/>
                <w:color w:val="auto"/>
              </w:rPr>
            </w:pPr>
            <w:r>
              <w:rPr>
                <w:rFonts w:ascii="Arial" w:cs="Arial" w:eastAsia="Arial" w:hAnsi="Arial"/>
                <w:sz w:val="22"/>
                <w:szCs w:val="22"/>
                <w:color w:val="auto"/>
                <w:w w:val="91"/>
              </w:rPr>
              <w:t>Total Civeo Corporation shareholders' equity</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475,467</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563,245</w:t>
            </w:r>
          </w:p>
        </w:tc>
      </w:tr>
      <w:tr>
        <w:trPr>
          <w:trHeight w:val="264"/>
        </w:trPr>
        <w:tc>
          <w:tcPr>
            <w:tcW w:w="4380" w:type="dxa"/>
            <w:vAlign w:val="bottom"/>
          </w:tcPr>
          <w:p>
            <w:pPr>
              <w:spacing w:after="0"/>
              <w:rPr>
                <w:sz w:val="20"/>
                <w:szCs w:val="20"/>
                <w:color w:val="auto"/>
              </w:rPr>
            </w:pPr>
            <w:r>
              <w:rPr>
                <w:rFonts w:ascii="Arial" w:cs="Arial" w:eastAsia="Arial" w:hAnsi="Arial"/>
                <w:sz w:val="22"/>
                <w:szCs w:val="22"/>
                <w:color w:val="auto"/>
              </w:rPr>
              <w:t>Noncontrolling interest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523</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525</w:t>
            </w:r>
          </w:p>
        </w:tc>
      </w:tr>
      <w:tr>
        <w:trPr>
          <w:trHeight w:val="264"/>
        </w:trPr>
        <w:tc>
          <w:tcPr>
            <w:tcW w:w="4380" w:type="dxa"/>
            <w:vAlign w:val="bottom"/>
          </w:tcPr>
          <w:p>
            <w:pPr>
              <w:ind w:left="120"/>
              <w:spacing w:after="0"/>
              <w:rPr>
                <w:sz w:val="20"/>
                <w:szCs w:val="20"/>
                <w:color w:val="auto"/>
              </w:rPr>
            </w:pPr>
            <w:r>
              <w:rPr>
                <w:rFonts w:ascii="Arial" w:cs="Arial" w:eastAsia="Arial" w:hAnsi="Arial"/>
                <w:sz w:val="22"/>
                <w:szCs w:val="22"/>
                <w:color w:val="auto"/>
              </w:rPr>
              <w:t>Total shareholders' equity</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475,990</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563,770</w:t>
            </w:r>
          </w:p>
        </w:tc>
      </w:tr>
      <w:tr>
        <w:trPr>
          <w:trHeight w:val="264"/>
        </w:trPr>
        <w:tc>
          <w:tcPr>
            <w:tcW w:w="4380" w:type="dxa"/>
            <w:vAlign w:val="bottom"/>
          </w:tcPr>
          <w:p>
            <w:pPr>
              <w:ind w:left="260"/>
              <w:spacing w:after="0"/>
              <w:rPr>
                <w:sz w:val="20"/>
                <w:szCs w:val="20"/>
                <w:color w:val="auto"/>
              </w:rPr>
            </w:pPr>
            <w:r>
              <w:rPr>
                <w:rFonts w:ascii="Arial" w:cs="Arial" w:eastAsia="Arial" w:hAnsi="Arial"/>
                <w:sz w:val="22"/>
                <w:szCs w:val="22"/>
                <w:color w:val="auto"/>
              </w:rPr>
              <w:t>Total liabilities and shareholders' equity</w:t>
            </w: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910,446</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1,066,529</w:t>
            </w:r>
          </w:p>
        </w:tc>
      </w:tr>
      <w:tr>
        <w:trPr>
          <w:trHeight w:val="21"/>
        </w:trPr>
        <w:tc>
          <w:tcPr>
            <w:tcW w:w="4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19"/>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619"/>
        <w:spacing w:after="0"/>
        <w:rPr>
          <w:sz w:val="20"/>
          <w:szCs w:val="20"/>
          <w:color w:val="auto"/>
        </w:rPr>
      </w:pPr>
      <w:r>
        <w:rPr>
          <w:rFonts w:ascii="Arial" w:cs="Arial" w:eastAsia="Arial" w:hAnsi="Arial"/>
          <w:sz w:val="22"/>
          <w:szCs w:val="22"/>
          <w:b w:val="1"/>
          <w:bCs w:val="1"/>
          <w:color w:val="auto"/>
        </w:rPr>
        <w:t>UNAUDITED CONSOLIDATED STATEMENTS OF CASH FLOWS</w:t>
      </w:r>
    </w:p>
    <w:p>
      <w:pPr>
        <w:spacing w:after="0" w:line="4"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(in thousands)</w:t>
      </w:r>
    </w:p>
    <w:p>
      <w:pPr>
        <w:spacing w:after="0" w:line="277" w:lineRule="exact"/>
        <w:rPr>
          <w:sz w:val="20"/>
          <w:szCs w:val="20"/>
          <w:color w:val="auto"/>
        </w:rPr>
      </w:pPr>
    </w:p>
    <w:p>
      <w:pPr>
        <w:jc w:val="center"/>
        <w:ind w:left="5020"/>
        <w:spacing w:after="0"/>
        <w:rPr>
          <w:sz w:val="20"/>
          <w:szCs w:val="20"/>
          <w:color w:val="auto"/>
        </w:rPr>
      </w:pPr>
      <w:r>
        <w:rPr>
          <w:rFonts w:ascii="Arial" w:cs="Arial" w:eastAsia="Arial" w:hAnsi="Arial"/>
          <w:sz w:val="22"/>
          <w:szCs w:val="22"/>
          <w:b w:val="1"/>
          <w:bCs w:val="1"/>
          <w:color w:val="auto"/>
        </w:rPr>
        <w:t>TWELVE MONTHS ENDED</w:t>
      </w:r>
    </w:p>
    <w:p>
      <w:pPr>
        <w:spacing w:after="0" w:line="14" w:lineRule="exact"/>
        <w:rPr>
          <w:sz w:val="20"/>
          <w:szCs w:val="20"/>
          <w:color w:val="auto"/>
        </w:rPr>
      </w:pPr>
    </w:p>
    <w:p>
      <w:pPr>
        <w:jc w:val="center"/>
        <w:ind w:left="5020"/>
        <w:spacing w:after="0"/>
        <w:rPr>
          <w:sz w:val="20"/>
          <w:szCs w:val="20"/>
          <w:color w:val="auto"/>
        </w:rPr>
      </w:pPr>
      <w:r>
        <w:rPr>
          <w:rFonts w:ascii="Arial" w:cs="Arial" w:eastAsia="Arial" w:hAnsi="Arial"/>
          <w:sz w:val="22"/>
          <w:szCs w:val="22"/>
          <w:b w:val="1"/>
          <w:bCs w:val="1"/>
          <w:color w:val="auto"/>
        </w:rPr>
        <w:t>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00" w:type="dxa"/>
            <w:vAlign w:val="bottom"/>
          </w:tcPr>
          <w:p>
            <w:pPr>
              <w:spacing w:after="0"/>
              <w:rPr>
                <w:sz w:val="23"/>
                <w:szCs w:val="23"/>
                <w:color w:val="auto"/>
              </w:rPr>
            </w:pPr>
          </w:p>
        </w:tc>
        <w:tc>
          <w:tcPr>
            <w:tcW w:w="126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2016</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2015</w:t>
            </w:r>
          </w:p>
        </w:tc>
      </w:tr>
      <w:tr>
        <w:trPr>
          <w:trHeight w:val="526"/>
        </w:trPr>
        <w:tc>
          <w:tcPr>
            <w:tcW w:w="6800" w:type="dxa"/>
            <w:vAlign w:val="bottom"/>
          </w:tcPr>
          <w:p>
            <w:pPr>
              <w:spacing w:after="0"/>
              <w:rPr>
                <w:sz w:val="20"/>
                <w:szCs w:val="20"/>
                <w:color w:val="auto"/>
              </w:rPr>
            </w:pPr>
            <w:r>
              <w:rPr>
                <w:rFonts w:ascii="Arial" w:cs="Arial" w:eastAsia="Arial" w:hAnsi="Arial"/>
                <w:sz w:val="22"/>
                <w:szCs w:val="22"/>
                <w:color w:val="auto"/>
              </w:rPr>
              <w:t>Cash flows from operating activities: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22"/>
                <w:szCs w:val="22"/>
                <w:color w:val="auto"/>
              </w:rPr>
              <w:t>Net loss</w:t>
            </w:r>
          </w:p>
        </w:tc>
        <w:tc>
          <w:tcPr>
            <w:tcW w:w="1260" w:type="dxa"/>
            <w:vAlign w:val="bottom"/>
          </w:tcPr>
          <w:p>
            <w:pPr>
              <w:jc w:val="right"/>
              <w:spacing w:after="0"/>
              <w:rPr>
                <w:sz w:val="20"/>
                <w:szCs w:val="20"/>
                <w:color w:val="auto"/>
              </w:rPr>
            </w:pPr>
            <w:r>
              <w:rPr>
                <w:rFonts w:ascii="Arial" w:cs="Arial" w:eastAsia="Arial" w:hAnsi="Arial"/>
                <w:sz w:val="22"/>
                <w:szCs w:val="22"/>
                <w:color w:val="auto"/>
              </w:rPr>
              <w:t>$   (95,827)</w:t>
            </w:r>
          </w:p>
        </w:tc>
        <w:tc>
          <w:tcPr>
            <w:tcW w:w="120" w:type="dxa"/>
            <w:vAlign w:val="bottom"/>
          </w:tcPr>
          <w:p>
            <w:pPr>
              <w:spacing w:after="0"/>
              <w:rPr>
                <w:sz w:val="23"/>
                <w:szCs w:val="23"/>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(130,664)</w:t>
            </w:r>
          </w:p>
        </w:tc>
      </w:tr>
      <w:tr>
        <w:trPr>
          <w:trHeight w:val="270"/>
        </w:trPr>
        <w:tc>
          <w:tcPr>
            <w:tcW w:w="6800" w:type="dxa"/>
            <w:vAlign w:val="bottom"/>
          </w:tcPr>
          <w:p>
            <w:pPr>
              <w:spacing w:after="0"/>
              <w:rPr>
                <w:sz w:val="20"/>
                <w:szCs w:val="20"/>
                <w:color w:val="auto"/>
              </w:rPr>
            </w:pPr>
            <w:r>
              <w:rPr>
                <w:rFonts w:ascii="Arial" w:cs="Arial" w:eastAsia="Arial" w:hAnsi="Arial"/>
                <w:sz w:val="22"/>
                <w:szCs w:val="22"/>
                <w:color w:val="auto"/>
                <w:w w:val="90"/>
              </w:rPr>
              <w:t>Adjustments to reconcile net loss to net cash provided by operating activities:</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Depreciation and amortization</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131,302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152,990</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Impairment charges</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46,129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122,926</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Inventory write-down</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850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1,015</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Loss on extinguishment of debt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302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1,474</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Deferred income tax benefit</w:t>
            </w:r>
          </w:p>
        </w:tc>
        <w:tc>
          <w:tcPr>
            <w:tcW w:w="1260" w:type="dxa"/>
            <w:vAlign w:val="bottom"/>
          </w:tcPr>
          <w:p>
            <w:pPr>
              <w:jc w:val="right"/>
              <w:spacing w:after="0"/>
              <w:rPr>
                <w:sz w:val="20"/>
                <w:szCs w:val="20"/>
                <w:color w:val="auto"/>
              </w:rPr>
            </w:pPr>
            <w:r>
              <w:rPr>
                <w:rFonts w:ascii="Arial" w:cs="Arial" w:eastAsia="Arial" w:hAnsi="Arial"/>
                <w:sz w:val="22"/>
                <w:szCs w:val="22"/>
                <w:color w:val="auto"/>
              </w:rPr>
              <w:t>(13,208)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(34,175)</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Non-cash compensation charge</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5,297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4,614</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Losses (gains) on disposals of assets</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(1,826)</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Provision (benefit) for loss on receivables, net of recoveries</w:t>
            </w:r>
          </w:p>
        </w:tc>
        <w:tc>
          <w:tcPr>
            <w:tcW w:w="1260" w:type="dxa"/>
            <w:vAlign w:val="bottom"/>
          </w:tcPr>
          <w:p>
            <w:pPr>
              <w:jc w:val="right"/>
              <w:spacing w:after="0"/>
              <w:rPr>
                <w:sz w:val="20"/>
                <w:szCs w:val="20"/>
                <w:color w:val="auto"/>
              </w:rPr>
            </w:pPr>
            <w:r>
              <w:rPr>
                <w:rFonts w:ascii="Arial" w:cs="Arial" w:eastAsia="Arial" w:hAnsi="Arial"/>
                <w:sz w:val="22"/>
                <w:szCs w:val="22"/>
                <w:color w:val="auto"/>
              </w:rPr>
              <w:t>(54)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1,205</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Other, net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867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1,424</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Changes in operating assets and liabilities:</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6800" w:type="dxa"/>
            <w:vAlign w:val="bottom"/>
          </w:tcPr>
          <w:p>
            <w:pPr>
              <w:ind w:left="260"/>
              <w:spacing w:after="0"/>
              <w:rPr>
                <w:sz w:val="20"/>
                <w:szCs w:val="20"/>
                <w:color w:val="auto"/>
              </w:rPr>
            </w:pPr>
            <w:r>
              <w:rPr>
                <w:rFonts w:ascii="Arial" w:cs="Arial" w:eastAsia="Arial" w:hAnsi="Arial"/>
                <w:sz w:val="22"/>
                <w:szCs w:val="22"/>
                <w:color w:val="auto"/>
              </w:rPr>
              <w:t>Accounts receivable</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6,680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80,347</w:t>
            </w:r>
          </w:p>
        </w:tc>
      </w:tr>
      <w:tr>
        <w:trPr>
          <w:trHeight w:val="270"/>
        </w:trPr>
        <w:tc>
          <w:tcPr>
            <w:tcW w:w="6800" w:type="dxa"/>
            <w:vAlign w:val="bottom"/>
          </w:tcPr>
          <w:p>
            <w:pPr>
              <w:ind w:left="260"/>
              <w:spacing w:after="0"/>
              <w:rPr>
                <w:sz w:val="20"/>
                <w:szCs w:val="20"/>
                <w:color w:val="auto"/>
              </w:rPr>
            </w:pPr>
            <w:r>
              <w:rPr>
                <w:rFonts w:ascii="Arial" w:cs="Arial" w:eastAsia="Arial" w:hAnsi="Arial"/>
                <w:sz w:val="22"/>
                <w:szCs w:val="22"/>
                <w:color w:val="auto"/>
              </w:rPr>
              <w:t>Inventories</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1,773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5,406</w:t>
            </w:r>
          </w:p>
        </w:tc>
      </w:tr>
      <w:tr>
        <w:trPr>
          <w:trHeight w:val="270"/>
        </w:trPr>
        <w:tc>
          <w:tcPr>
            <w:tcW w:w="6800" w:type="dxa"/>
            <w:vAlign w:val="bottom"/>
          </w:tcPr>
          <w:p>
            <w:pPr>
              <w:ind w:left="260"/>
              <w:spacing w:after="0"/>
              <w:rPr>
                <w:sz w:val="20"/>
                <w:szCs w:val="20"/>
                <w:color w:val="auto"/>
              </w:rPr>
            </w:pPr>
            <w:r>
              <w:rPr>
                <w:rFonts w:ascii="Arial" w:cs="Arial" w:eastAsia="Arial" w:hAnsi="Arial"/>
                <w:sz w:val="22"/>
                <w:szCs w:val="22"/>
                <w:color w:val="auto"/>
              </w:rPr>
              <w:t>Accounts payable and accrued liabilities</w:t>
            </w:r>
          </w:p>
        </w:tc>
        <w:tc>
          <w:tcPr>
            <w:tcW w:w="1260" w:type="dxa"/>
            <w:vAlign w:val="bottom"/>
          </w:tcPr>
          <w:p>
            <w:pPr>
              <w:jc w:val="right"/>
              <w:spacing w:after="0"/>
              <w:rPr>
                <w:sz w:val="20"/>
                <w:szCs w:val="20"/>
                <w:color w:val="auto"/>
              </w:rPr>
            </w:pPr>
            <w:r>
              <w:rPr>
                <w:rFonts w:ascii="Arial" w:cs="Arial" w:eastAsia="Arial" w:hAnsi="Arial"/>
                <w:sz w:val="22"/>
                <w:szCs w:val="22"/>
                <w:color w:val="auto"/>
              </w:rPr>
              <w:t>(4,463)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(12,885)</w:t>
            </w:r>
          </w:p>
        </w:tc>
      </w:tr>
      <w:tr>
        <w:trPr>
          <w:trHeight w:val="270"/>
        </w:trPr>
        <w:tc>
          <w:tcPr>
            <w:tcW w:w="6800" w:type="dxa"/>
            <w:vAlign w:val="bottom"/>
          </w:tcPr>
          <w:p>
            <w:pPr>
              <w:ind w:left="260"/>
              <w:spacing w:after="0"/>
              <w:rPr>
                <w:sz w:val="20"/>
                <w:szCs w:val="20"/>
                <w:color w:val="auto"/>
              </w:rPr>
            </w:pPr>
            <w:r>
              <w:rPr>
                <w:rFonts w:ascii="Arial" w:cs="Arial" w:eastAsia="Arial" w:hAnsi="Arial"/>
                <w:sz w:val="22"/>
                <w:szCs w:val="22"/>
                <w:color w:val="auto"/>
              </w:rPr>
              <w:t>Taxes payable</w:t>
            </w:r>
          </w:p>
        </w:tc>
        <w:tc>
          <w:tcPr>
            <w:tcW w:w="1260" w:type="dxa"/>
            <w:vAlign w:val="bottom"/>
          </w:tcPr>
          <w:p>
            <w:pPr>
              <w:jc w:val="right"/>
              <w:spacing w:after="0"/>
              <w:rPr>
                <w:sz w:val="20"/>
                <w:szCs w:val="20"/>
                <w:color w:val="auto"/>
              </w:rPr>
            </w:pPr>
            <w:r>
              <w:rPr>
                <w:rFonts w:ascii="Arial" w:cs="Arial" w:eastAsia="Arial" w:hAnsi="Arial"/>
                <w:sz w:val="22"/>
                <w:szCs w:val="22"/>
                <w:color w:val="auto"/>
              </w:rPr>
              <w:t>(10,239)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6,204</w:t>
            </w:r>
          </w:p>
        </w:tc>
      </w:tr>
      <w:tr>
        <w:trPr>
          <w:trHeight w:val="275"/>
        </w:trPr>
        <w:tc>
          <w:tcPr>
            <w:tcW w:w="6800" w:type="dxa"/>
            <w:vAlign w:val="bottom"/>
          </w:tcPr>
          <w:p>
            <w:pPr>
              <w:ind w:left="260"/>
              <w:spacing w:after="0"/>
              <w:rPr>
                <w:sz w:val="20"/>
                <w:szCs w:val="20"/>
                <w:color w:val="auto"/>
              </w:rPr>
            </w:pPr>
            <w:r>
              <w:rPr>
                <w:rFonts w:ascii="Arial" w:cs="Arial" w:eastAsia="Arial" w:hAnsi="Arial"/>
                <w:sz w:val="22"/>
                <w:szCs w:val="22"/>
                <w:color w:val="auto"/>
              </w:rPr>
              <w:t>Other current assets and liabilities, net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(7,334)</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(11,924)</w:t>
            </w:r>
          </w:p>
        </w:tc>
      </w:tr>
      <w:tr>
        <w:trPr>
          <w:trHeight w:val="272"/>
        </w:trPr>
        <w:tc>
          <w:tcPr>
            <w:tcW w:w="6800" w:type="dxa"/>
            <w:vAlign w:val="bottom"/>
          </w:tcPr>
          <w:p>
            <w:pPr>
              <w:ind w:left="320"/>
              <w:spacing w:after="0"/>
              <w:rPr>
                <w:sz w:val="20"/>
                <w:szCs w:val="20"/>
                <w:color w:val="auto"/>
              </w:rPr>
            </w:pPr>
            <w:r>
              <w:rPr>
                <w:rFonts w:ascii="Arial" w:cs="Arial" w:eastAsia="Arial" w:hAnsi="Arial"/>
                <w:sz w:val="22"/>
                <w:szCs w:val="22"/>
                <w:color w:val="auto"/>
              </w:rPr>
              <w:t>Net cash flows provided by operating activities</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62,104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186,131</w:t>
            </w:r>
          </w:p>
        </w:tc>
      </w:tr>
      <w:tr>
        <w:trPr>
          <w:trHeight w:val="528"/>
        </w:trPr>
        <w:tc>
          <w:tcPr>
            <w:tcW w:w="6800" w:type="dxa"/>
            <w:vAlign w:val="bottom"/>
          </w:tcPr>
          <w:p>
            <w:pPr>
              <w:spacing w:after="0"/>
              <w:rPr>
                <w:sz w:val="20"/>
                <w:szCs w:val="20"/>
                <w:color w:val="auto"/>
              </w:rPr>
            </w:pPr>
            <w:r>
              <w:rPr>
                <w:rFonts w:ascii="Arial" w:cs="Arial" w:eastAsia="Arial" w:hAnsi="Arial"/>
                <w:sz w:val="22"/>
                <w:szCs w:val="22"/>
                <w:color w:val="auto"/>
              </w:rPr>
              <w:t>Cash flows from investing activities: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Capital expenditures, including capitalized interest</w:t>
            </w:r>
          </w:p>
        </w:tc>
        <w:tc>
          <w:tcPr>
            <w:tcW w:w="1260" w:type="dxa"/>
            <w:vAlign w:val="bottom"/>
          </w:tcPr>
          <w:p>
            <w:pPr>
              <w:jc w:val="right"/>
              <w:spacing w:after="0"/>
              <w:rPr>
                <w:sz w:val="20"/>
                <w:szCs w:val="20"/>
                <w:color w:val="auto"/>
              </w:rPr>
            </w:pPr>
            <w:r>
              <w:rPr>
                <w:rFonts w:ascii="Arial" w:cs="Arial" w:eastAsia="Arial" w:hAnsi="Arial"/>
                <w:sz w:val="22"/>
                <w:szCs w:val="22"/>
                <w:color w:val="auto"/>
              </w:rPr>
              <w:t>(19,779)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(62,451)</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Proceeds from disposition of property, plant and equipment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5,775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12,683</w:t>
            </w:r>
          </w:p>
        </w:tc>
      </w:tr>
      <w:tr>
        <w:trPr>
          <w:trHeight w:val="275"/>
        </w:trPr>
        <w:tc>
          <w:tcPr>
            <w:tcW w:w="6800" w:type="dxa"/>
            <w:vAlign w:val="bottom"/>
          </w:tcPr>
          <w:p>
            <w:pPr>
              <w:ind w:left="120"/>
              <w:spacing w:after="0"/>
              <w:rPr>
                <w:sz w:val="20"/>
                <w:szCs w:val="20"/>
                <w:color w:val="auto"/>
              </w:rPr>
            </w:pPr>
            <w:r>
              <w:rPr>
                <w:rFonts w:ascii="Arial" w:cs="Arial" w:eastAsia="Arial" w:hAnsi="Arial"/>
                <w:sz w:val="22"/>
                <w:szCs w:val="22"/>
                <w:color w:val="auto"/>
              </w:rPr>
              <w:t>Other, net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1,315</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r>
      <w:tr>
        <w:trPr>
          <w:trHeight w:val="272"/>
        </w:trPr>
        <w:tc>
          <w:tcPr>
            <w:tcW w:w="6800" w:type="dxa"/>
            <w:vAlign w:val="bottom"/>
          </w:tcPr>
          <w:p>
            <w:pPr>
              <w:ind w:left="320"/>
              <w:spacing w:after="0"/>
              <w:rPr>
                <w:sz w:val="20"/>
                <w:szCs w:val="20"/>
                <w:color w:val="auto"/>
              </w:rPr>
            </w:pPr>
            <w:r>
              <w:rPr>
                <w:rFonts w:ascii="Arial" w:cs="Arial" w:eastAsia="Arial" w:hAnsi="Arial"/>
                <w:sz w:val="22"/>
                <w:szCs w:val="22"/>
                <w:color w:val="auto"/>
              </w:rPr>
              <w:t>Net cash flows used in investing activities</w:t>
            </w:r>
          </w:p>
        </w:tc>
        <w:tc>
          <w:tcPr>
            <w:tcW w:w="1260" w:type="dxa"/>
            <w:vAlign w:val="bottom"/>
          </w:tcPr>
          <w:p>
            <w:pPr>
              <w:jc w:val="right"/>
              <w:spacing w:after="0"/>
              <w:rPr>
                <w:sz w:val="20"/>
                <w:szCs w:val="20"/>
                <w:color w:val="auto"/>
              </w:rPr>
            </w:pPr>
            <w:r>
              <w:rPr>
                <w:rFonts w:ascii="Arial" w:cs="Arial" w:eastAsia="Arial" w:hAnsi="Arial"/>
                <w:sz w:val="22"/>
                <w:szCs w:val="22"/>
                <w:color w:val="auto"/>
              </w:rPr>
              <w:t>(12,689)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(49,768)</w:t>
            </w:r>
          </w:p>
        </w:tc>
      </w:tr>
      <w:tr>
        <w:trPr>
          <w:trHeight w:val="528"/>
        </w:trPr>
        <w:tc>
          <w:tcPr>
            <w:tcW w:w="6800" w:type="dxa"/>
            <w:vAlign w:val="bottom"/>
          </w:tcPr>
          <w:p>
            <w:pPr>
              <w:spacing w:after="0"/>
              <w:rPr>
                <w:sz w:val="20"/>
                <w:szCs w:val="20"/>
                <w:color w:val="auto"/>
              </w:rPr>
            </w:pPr>
            <w:r>
              <w:rPr>
                <w:rFonts w:ascii="Arial" w:cs="Arial" w:eastAsia="Arial" w:hAnsi="Arial"/>
                <w:sz w:val="22"/>
                <w:szCs w:val="22"/>
                <w:color w:val="auto"/>
              </w:rPr>
              <w:t>Cash flows from financing activities: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Proceeds from issuance of common stock</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500</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Term loan borrowings</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325,000</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Term loan repayments</w:t>
            </w:r>
          </w:p>
        </w:tc>
        <w:tc>
          <w:tcPr>
            <w:tcW w:w="1260" w:type="dxa"/>
            <w:vAlign w:val="bottom"/>
          </w:tcPr>
          <w:p>
            <w:pPr>
              <w:jc w:val="right"/>
              <w:spacing w:after="0"/>
              <w:rPr>
                <w:sz w:val="20"/>
                <w:szCs w:val="20"/>
                <w:color w:val="auto"/>
              </w:rPr>
            </w:pPr>
            <w:r>
              <w:rPr>
                <w:rFonts w:ascii="Arial" w:cs="Arial" w:eastAsia="Arial" w:hAnsi="Arial"/>
                <w:sz w:val="22"/>
                <w:szCs w:val="22"/>
                <w:color w:val="auto"/>
              </w:rPr>
              <w:t>(41,023)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(729,425)</w:t>
            </w:r>
          </w:p>
        </w:tc>
      </w:tr>
      <w:tr>
        <w:trPr>
          <w:trHeight w:val="270"/>
        </w:trPr>
        <w:tc>
          <w:tcPr>
            <w:tcW w:w="6800" w:type="dxa"/>
            <w:vAlign w:val="bottom"/>
          </w:tcPr>
          <w:p>
            <w:pPr>
              <w:ind w:left="120"/>
              <w:spacing w:after="0"/>
              <w:rPr>
                <w:sz w:val="20"/>
                <w:szCs w:val="20"/>
                <w:color w:val="auto"/>
              </w:rPr>
            </w:pPr>
            <w:r>
              <w:rPr>
                <w:rFonts w:ascii="Arial" w:cs="Arial" w:eastAsia="Arial" w:hAnsi="Arial"/>
                <w:sz w:val="22"/>
                <w:szCs w:val="22"/>
                <w:color w:val="auto"/>
              </w:rPr>
              <w:t>Revolver borrowings (repayments), net</w:t>
            </w:r>
          </w:p>
        </w:tc>
        <w:tc>
          <w:tcPr>
            <w:tcW w:w="1260" w:type="dxa"/>
            <w:vAlign w:val="bottom"/>
          </w:tcPr>
          <w:p>
            <w:pPr>
              <w:jc w:val="right"/>
              <w:spacing w:after="0"/>
              <w:rPr>
                <w:sz w:val="20"/>
                <w:szCs w:val="20"/>
                <w:color w:val="auto"/>
              </w:rPr>
            </w:pPr>
            <w:r>
              <w:rPr>
                <w:rFonts w:ascii="Arial" w:cs="Arial" w:eastAsia="Arial" w:hAnsi="Arial"/>
                <w:sz w:val="22"/>
                <w:szCs w:val="22"/>
                <w:color w:val="auto"/>
              </w:rPr>
              <w:t>(15,199)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59,143</w:t>
            </w:r>
          </w:p>
        </w:tc>
      </w:tr>
      <w:tr>
        <w:trPr>
          <w:trHeight w:val="275"/>
        </w:trPr>
        <w:tc>
          <w:tcPr>
            <w:tcW w:w="6800" w:type="dxa"/>
            <w:vAlign w:val="bottom"/>
          </w:tcPr>
          <w:p>
            <w:pPr>
              <w:ind w:left="120"/>
              <w:spacing w:after="0"/>
              <w:rPr>
                <w:sz w:val="20"/>
                <w:szCs w:val="20"/>
                <w:color w:val="auto"/>
              </w:rPr>
            </w:pPr>
            <w:r>
              <w:rPr>
                <w:rFonts w:ascii="Arial" w:cs="Arial" w:eastAsia="Arial" w:hAnsi="Arial"/>
                <w:sz w:val="22"/>
                <w:szCs w:val="22"/>
                <w:color w:val="auto"/>
              </w:rPr>
              <w:t>Debt issuance costs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(2,062)</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(4,833)</w:t>
            </w:r>
          </w:p>
        </w:tc>
      </w:tr>
      <w:tr>
        <w:trPr>
          <w:trHeight w:val="272"/>
        </w:trPr>
        <w:tc>
          <w:tcPr>
            <w:tcW w:w="6800" w:type="dxa"/>
            <w:vAlign w:val="bottom"/>
          </w:tcPr>
          <w:p>
            <w:pPr>
              <w:ind w:left="320"/>
              <w:spacing w:after="0"/>
              <w:rPr>
                <w:sz w:val="20"/>
                <w:szCs w:val="20"/>
                <w:color w:val="auto"/>
              </w:rPr>
            </w:pPr>
            <w:r>
              <w:rPr>
                <w:rFonts w:ascii="Arial" w:cs="Arial" w:eastAsia="Arial" w:hAnsi="Arial"/>
                <w:sz w:val="22"/>
                <w:szCs w:val="22"/>
                <w:color w:val="auto"/>
              </w:rPr>
              <w:t>Net cash flows used in financing activities</w:t>
            </w:r>
          </w:p>
        </w:tc>
        <w:tc>
          <w:tcPr>
            <w:tcW w:w="1260" w:type="dxa"/>
            <w:vAlign w:val="bottom"/>
          </w:tcPr>
          <w:p>
            <w:pPr>
              <w:jc w:val="right"/>
              <w:spacing w:after="0"/>
              <w:rPr>
                <w:sz w:val="20"/>
                <w:szCs w:val="20"/>
                <w:color w:val="auto"/>
              </w:rPr>
            </w:pPr>
            <w:r>
              <w:rPr>
                <w:rFonts w:ascii="Arial" w:cs="Arial" w:eastAsia="Arial" w:hAnsi="Arial"/>
                <w:sz w:val="22"/>
                <w:szCs w:val="22"/>
                <w:color w:val="auto"/>
              </w:rPr>
              <w:t>(58,284)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(349,615)</w:t>
            </w:r>
          </w:p>
        </w:tc>
      </w:tr>
    </w:tbl>
    <w:p>
      <w:pPr>
        <w:sectPr>
          <w:pgSz w:w="11900" w:h="16838" w:orient="portrait"/>
          <w:cols w:equalWidth="0" w:num="1">
            <w:col w:w="10199"/>
          </w:cols>
          <w:pgMar w:left="260" w:top="388"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80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2,817</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(42,225)</w:t>
            </w:r>
          </w:p>
        </w:tc>
      </w:tr>
      <w:tr>
        <w:trPr>
          <w:trHeight w:val="272"/>
        </w:trPr>
        <w:tc>
          <w:tcPr>
            <w:tcW w:w="6800" w:type="dxa"/>
            <w:vAlign w:val="bottom"/>
          </w:tcPr>
          <w:p>
            <w:pPr>
              <w:spacing w:after="0"/>
              <w:rPr>
                <w:sz w:val="20"/>
                <w:szCs w:val="20"/>
                <w:color w:val="auto"/>
              </w:rPr>
            </w:pPr>
            <w:r>
              <w:rPr>
                <w:rFonts w:ascii="Arial" w:cs="Arial" w:eastAsia="Arial" w:hAnsi="Arial"/>
                <w:sz w:val="22"/>
                <w:szCs w:val="22"/>
                <w:color w:val="auto"/>
              </w:rPr>
              <w:t>Net change in cash and cash equivalents</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(6,052)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(255,477)</w:t>
            </w:r>
          </w:p>
        </w:tc>
      </w:tr>
      <w:tr>
        <w:trPr>
          <w:trHeight w:val="532"/>
        </w:trPr>
        <w:tc>
          <w:tcPr>
            <w:tcW w:w="6800" w:type="dxa"/>
            <w:vAlign w:val="bottom"/>
          </w:tcPr>
          <w:p>
            <w:pPr>
              <w:spacing w:after="0"/>
              <w:rPr>
                <w:sz w:val="20"/>
                <w:szCs w:val="20"/>
                <w:color w:val="auto"/>
              </w:rPr>
            </w:pPr>
            <w:r>
              <w:rPr>
                <w:rFonts w:ascii="Arial" w:cs="Arial" w:eastAsia="Arial" w:hAnsi="Arial"/>
                <w:sz w:val="22"/>
                <w:szCs w:val="22"/>
                <w:color w:val="auto"/>
              </w:rPr>
              <w:t>Cash and cash equivalents, beginning of period</w:t>
            </w:r>
          </w:p>
        </w:tc>
        <w:tc>
          <w:tcPr>
            <w:tcW w:w="38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7,837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263,314</w:t>
            </w:r>
          </w:p>
        </w:tc>
      </w:tr>
      <w:tr>
        <w:trPr>
          <w:trHeight w:val="274"/>
        </w:trPr>
        <w:tc>
          <w:tcPr>
            <w:tcW w:w="68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64"/>
        </w:trPr>
        <w:tc>
          <w:tcPr>
            <w:tcW w:w="6800" w:type="dxa"/>
            <w:vAlign w:val="bottom"/>
          </w:tcPr>
          <w:p>
            <w:pPr>
              <w:spacing w:after="0"/>
              <w:rPr>
                <w:sz w:val="20"/>
                <w:szCs w:val="20"/>
                <w:color w:val="auto"/>
              </w:rPr>
            </w:pPr>
            <w:r>
              <w:rPr>
                <w:rFonts w:ascii="Arial" w:cs="Arial" w:eastAsia="Arial" w:hAnsi="Arial"/>
                <w:sz w:val="22"/>
                <w:szCs w:val="22"/>
                <w:color w:val="auto"/>
              </w:rPr>
              <w:t>Cash and cash equivalents, end of period</w:t>
            </w: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1,785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7,837</w:t>
            </w:r>
          </w:p>
        </w:tc>
      </w:tr>
      <w:tr>
        <w:trPr>
          <w:trHeight w:val="21"/>
        </w:trPr>
        <w:tc>
          <w:tcPr>
            <w:tcW w:w="6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5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520"/>
        <w:spacing w:after="0"/>
        <w:rPr>
          <w:sz w:val="20"/>
          <w:szCs w:val="20"/>
          <w:color w:val="auto"/>
        </w:rPr>
      </w:pPr>
      <w:r>
        <w:rPr>
          <w:rFonts w:ascii="Arial" w:cs="Arial" w:eastAsia="Arial" w:hAnsi="Arial"/>
          <w:sz w:val="22"/>
          <w:szCs w:val="22"/>
          <w:b w:val="1"/>
          <w:bCs w:val="1"/>
          <w:color w:val="auto"/>
        </w:rPr>
        <w:t>SEGMENT DATA</w:t>
      </w:r>
    </w:p>
    <w:p>
      <w:pPr>
        <w:jc w:val="center"/>
        <w:ind w:right="25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5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5480" w:type="dxa"/>
            <w:vAlign w:val="bottom"/>
            <w:gridSpan w:val="11"/>
          </w:tcPr>
          <w:p>
            <w:pPr>
              <w:jc w:val="right"/>
              <w:spacing w:after="0"/>
              <w:rPr>
                <w:sz w:val="20"/>
                <w:szCs w:val="20"/>
                <w:color w:val="auto"/>
              </w:rPr>
            </w:pPr>
            <w:r>
              <w:rPr>
                <w:rFonts w:ascii="Arial" w:cs="Arial" w:eastAsia="Arial" w:hAnsi="Arial"/>
                <w:sz w:val="22"/>
                <w:szCs w:val="22"/>
                <w:b w:val="1"/>
                <w:bCs w:val="1"/>
                <w:color w:val="auto"/>
              </w:rPr>
              <w:t>THREE MONTHS ENDED TWELVE MONTHS ENDED</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60" w:type="dxa"/>
            <w:vAlign w:val="bottom"/>
            <w:gridSpan w:val="5"/>
          </w:tcPr>
          <w:p>
            <w:pPr>
              <w:ind w:left="180"/>
              <w:spacing w:after="0"/>
              <w:rPr>
                <w:sz w:val="20"/>
                <w:szCs w:val="20"/>
                <w:color w:val="auto"/>
              </w:rPr>
            </w:pPr>
            <w:r>
              <w:rPr>
                <w:rFonts w:ascii="Arial" w:cs="Arial" w:eastAsia="Arial" w:hAnsi="Arial"/>
                <w:sz w:val="22"/>
                <w:szCs w:val="22"/>
                <w:b w:val="1"/>
                <w:bCs w:val="1"/>
                <w:color w:val="auto"/>
              </w:rPr>
              <w:t>DECEMBER 31,</w:t>
            </w:r>
          </w:p>
        </w:tc>
        <w:tc>
          <w:tcPr>
            <w:tcW w:w="300" w:type="dxa"/>
            <w:vAlign w:val="bottom"/>
          </w:tcPr>
          <w:p>
            <w:pPr>
              <w:spacing w:after="0"/>
              <w:rPr>
                <w:sz w:val="23"/>
                <w:szCs w:val="23"/>
                <w:color w:val="auto"/>
              </w:rPr>
            </w:pPr>
          </w:p>
        </w:tc>
        <w:tc>
          <w:tcPr>
            <w:tcW w:w="2480" w:type="dxa"/>
            <w:vAlign w:val="bottom"/>
            <w:gridSpan w:val="4"/>
          </w:tcPr>
          <w:p>
            <w:pPr>
              <w:jc w:val="right"/>
              <w:ind w:right="49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81"/>
        </w:trPr>
        <w:tc>
          <w:tcPr>
            <w:tcW w:w="3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2015</w:t>
            </w:r>
          </w:p>
        </w:tc>
        <w:tc>
          <w:tcPr>
            <w:tcW w:w="0" w:type="dxa"/>
            <w:vAlign w:val="bottom"/>
          </w:tcPr>
          <w:p>
            <w:pPr>
              <w:spacing w:after="0"/>
              <w:rPr>
                <w:sz w:val="1"/>
                <w:szCs w:val="1"/>
                <w:color w:val="auto"/>
              </w:rPr>
            </w:pPr>
          </w:p>
        </w:tc>
      </w:tr>
      <w:tr>
        <w:trPr>
          <w:trHeight w:val="259"/>
        </w:trPr>
        <w:tc>
          <w:tcPr>
            <w:tcW w:w="3340" w:type="dxa"/>
            <w:vAlign w:val="bottom"/>
          </w:tcPr>
          <w:p>
            <w:pPr>
              <w:spacing w:after="0"/>
              <w:rPr>
                <w:sz w:val="20"/>
                <w:szCs w:val="20"/>
                <w:color w:val="auto"/>
              </w:rPr>
            </w:pPr>
            <w:r>
              <w:rPr>
                <w:rFonts w:ascii="Arial" w:cs="Arial" w:eastAsia="Arial" w:hAnsi="Arial"/>
                <w:sz w:val="22"/>
                <w:szCs w:val="22"/>
                <w:color w:val="auto"/>
              </w:rPr>
              <w:t>Revenues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120"/>
              <w:spacing w:after="0"/>
              <w:rPr>
                <w:sz w:val="20"/>
                <w:szCs w:val="20"/>
                <w:color w:val="auto"/>
              </w:rPr>
            </w:pPr>
            <w:r>
              <w:rPr>
                <w:rFonts w:ascii="Arial" w:cs="Arial" w:eastAsia="Arial" w:hAnsi="Arial"/>
                <w:sz w:val="22"/>
                <w:szCs w:val="22"/>
                <w:color w:val="auto"/>
              </w:rPr>
              <w:t>Canada</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62,296</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65,777</w:t>
            </w:r>
          </w:p>
        </w:tc>
        <w:tc>
          <w:tcPr>
            <w:tcW w:w="8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278,464</w:t>
            </w:r>
          </w:p>
        </w:tc>
        <w:tc>
          <w:tcPr>
            <w:tcW w:w="100" w:type="dxa"/>
            <w:vAlign w:val="bottom"/>
          </w:tcPr>
          <w:p>
            <w:pPr>
              <w:spacing w:after="0"/>
              <w:rPr>
                <w:sz w:val="23"/>
                <w:szCs w:val="23"/>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344,249</w:t>
            </w:r>
          </w:p>
        </w:tc>
        <w:tc>
          <w:tcPr>
            <w:tcW w:w="0" w:type="dxa"/>
            <w:vAlign w:val="bottom"/>
          </w:tcPr>
          <w:p>
            <w:pPr>
              <w:spacing w:after="0"/>
              <w:rPr>
                <w:sz w:val="1"/>
                <w:szCs w:val="1"/>
                <w:color w:val="auto"/>
              </w:rPr>
            </w:pPr>
          </w:p>
        </w:tc>
      </w:tr>
      <w:tr>
        <w:trPr>
          <w:trHeight w:val="270"/>
        </w:trPr>
        <w:tc>
          <w:tcPr>
            <w:tcW w:w="3340" w:type="dxa"/>
            <w:vAlign w:val="bottom"/>
          </w:tcPr>
          <w:p>
            <w:pPr>
              <w:ind w:left="120"/>
              <w:spacing w:after="0"/>
              <w:rPr>
                <w:sz w:val="20"/>
                <w:szCs w:val="20"/>
                <w:color w:val="auto"/>
              </w:rPr>
            </w:pPr>
            <w:r>
              <w:rPr>
                <w:rFonts w:ascii="Arial" w:cs="Arial" w:eastAsia="Arial" w:hAnsi="Arial"/>
                <w:sz w:val="22"/>
                <w:szCs w:val="22"/>
                <w:color w:val="auto"/>
              </w:rPr>
              <w:t>Australia</w:t>
            </w:r>
          </w:p>
        </w:tc>
        <w:tc>
          <w:tcPr>
            <w:tcW w:w="3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26,121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26,660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106,815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135,964</w:t>
            </w:r>
          </w:p>
        </w:tc>
        <w:tc>
          <w:tcPr>
            <w:tcW w:w="0" w:type="dxa"/>
            <w:vAlign w:val="bottom"/>
          </w:tcPr>
          <w:p>
            <w:pPr>
              <w:spacing w:after="0"/>
              <w:rPr>
                <w:sz w:val="1"/>
                <w:szCs w:val="1"/>
                <w:color w:val="auto"/>
              </w:rPr>
            </w:pPr>
          </w:p>
        </w:tc>
      </w:tr>
      <w:tr>
        <w:trPr>
          <w:trHeight w:val="276"/>
        </w:trPr>
        <w:tc>
          <w:tcPr>
            <w:tcW w:w="3340" w:type="dxa"/>
            <w:vAlign w:val="bottom"/>
          </w:tcPr>
          <w:p>
            <w:pPr>
              <w:ind w:left="120"/>
              <w:spacing w:after="0"/>
              <w:rPr>
                <w:sz w:val="20"/>
                <w:szCs w:val="20"/>
                <w:color w:val="auto"/>
              </w:rPr>
            </w:pPr>
            <w:r>
              <w:rPr>
                <w:rFonts w:ascii="Arial" w:cs="Arial" w:eastAsia="Arial" w:hAnsi="Arial"/>
                <w:sz w:val="22"/>
                <w:szCs w:val="22"/>
                <w:color w:val="auto"/>
              </w:rPr>
              <w:t>United States</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2,504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4,848</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11,951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37,750</w:t>
            </w:r>
          </w:p>
        </w:tc>
        <w:tc>
          <w:tcPr>
            <w:tcW w:w="0" w:type="dxa"/>
            <w:vAlign w:val="bottom"/>
          </w:tcPr>
          <w:p>
            <w:pPr>
              <w:spacing w:after="0"/>
              <w:rPr>
                <w:sz w:val="1"/>
                <w:szCs w:val="1"/>
                <w:color w:val="auto"/>
              </w:rPr>
            </w:pPr>
          </w:p>
        </w:tc>
      </w:tr>
      <w:tr>
        <w:trPr>
          <w:trHeight w:val="265"/>
        </w:trPr>
        <w:tc>
          <w:tcPr>
            <w:tcW w:w="3340" w:type="dxa"/>
            <w:vAlign w:val="bottom"/>
          </w:tcPr>
          <w:p>
            <w:pPr>
              <w:ind w:left="260"/>
              <w:spacing w:after="0"/>
              <w:rPr>
                <w:sz w:val="20"/>
                <w:szCs w:val="20"/>
                <w:color w:val="auto"/>
              </w:rPr>
            </w:pPr>
            <w:r>
              <w:rPr>
                <w:rFonts w:ascii="Arial" w:cs="Arial" w:eastAsia="Arial" w:hAnsi="Arial"/>
                <w:sz w:val="22"/>
                <w:szCs w:val="22"/>
                <w:color w:val="auto"/>
              </w:rPr>
              <w:t>Total revenues</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90,921</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97,285</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397,230</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517,963</w:t>
            </w: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22"/>
                <w:szCs w:val="22"/>
                <w:color w:val="auto"/>
              </w:rPr>
              <w:t>EBITDA (1)</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120"/>
              <w:spacing w:after="0"/>
              <w:rPr>
                <w:sz w:val="20"/>
                <w:szCs w:val="20"/>
                <w:color w:val="auto"/>
              </w:rPr>
            </w:pPr>
            <w:r>
              <w:rPr>
                <w:rFonts w:ascii="Arial" w:cs="Arial" w:eastAsia="Arial" w:hAnsi="Arial"/>
                <w:sz w:val="22"/>
                <w:szCs w:val="22"/>
                <w:color w:val="auto"/>
              </w:rPr>
              <w:t>Canada</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14,072</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13,530</w:t>
            </w:r>
          </w:p>
        </w:tc>
        <w:tc>
          <w:tcPr>
            <w:tcW w:w="8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32,022</w:t>
            </w:r>
          </w:p>
        </w:tc>
        <w:tc>
          <w:tcPr>
            <w:tcW w:w="100" w:type="dxa"/>
            <w:vAlign w:val="bottom"/>
          </w:tcPr>
          <w:p>
            <w:pPr>
              <w:spacing w:after="0"/>
              <w:rPr>
                <w:sz w:val="23"/>
                <w:szCs w:val="23"/>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28,215</w:t>
            </w:r>
          </w:p>
        </w:tc>
        <w:tc>
          <w:tcPr>
            <w:tcW w:w="0" w:type="dxa"/>
            <w:vAlign w:val="bottom"/>
          </w:tcPr>
          <w:p>
            <w:pPr>
              <w:spacing w:after="0"/>
              <w:rPr>
                <w:sz w:val="1"/>
                <w:szCs w:val="1"/>
                <w:color w:val="auto"/>
              </w:rPr>
            </w:pPr>
          </w:p>
        </w:tc>
      </w:tr>
      <w:tr>
        <w:trPr>
          <w:trHeight w:val="270"/>
        </w:trPr>
        <w:tc>
          <w:tcPr>
            <w:tcW w:w="3340" w:type="dxa"/>
            <w:vAlign w:val="bottom"/>
          </w:tcPr>
          <w:p>
            <w:pPr>
              <w:ind w:left="120"/>
              <w:spacing w:after="0"/>
              <w:rPr>
                <w:sz w:val="20"/>
                <w:szCs w:val="20"/>
                <w:color w:val="auto"/>
              </w:rPr>
            </w:pPr>
            <w:r>
              <w:rPr>
                <w:rFonts w:ascii="Arial" w:cs="Arial" w:eastAsia="Arial" w:hAnsi="Arial"/>
                <w:sz w:val="22"/>
                <w:szCs w:val="22"/>
                <w:color w:val="auto"/>
              </w:rPr>
              <w:t>Australia</w:t>
            </w:r>
          </w:p>
        </w:tc>
        <w:tc>
          <w:tcPr>
            <w:tcW w:w="3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10,387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13,791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43,168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31,919</w:t>
            </w:r>
          </w:p>
        </w:tc>
        <w:tc>
          <w:tcPr>
            <w:tcW w:w="0" w:type="dxa"/>
            <w:vAlign w:val="bottom"/>
          </w:tcPr>
          <w:p>
            <w:pPr>
              <w:spacing w:after="0"/>
              <w:rPr>
                <w:sz w:val="1"/>
                <w:szCs w:val="1"/>
                <w:color w:val="auto"/>
              </w:rPr>
            </w:pPr>
          </w:p>
        </w:tc>
      </w:tr>
      <w:tr>
        <w:trPr>
          <w:trHeight w:val="270"/>
        </w:trPr>
        <w:tc>
          <w:tcPr>
            <w:tcW w:w="3340" w:type="dxa"/>
            <w:vAlign w:val="bottom"/>
          </w:tcPr>
          <w:p>
            <w:pPr>
              <w:ind w:left="120"/>
              <w:spacing w:after="0"/>
              <w:rPr>
                <w:sz w:val="20"/>
                <w:szCs w:val="20"/>
                <w:color w:val="auto"/>
              </w:rPr>
            </w:pPr>
            <w:r>
              <w:rPr>
                <w:rFonts w:ascii="Arial" w:cs="Arial" w:eastAsia="Arial" w:hAnsi="Arial"/>
                <w:sz w:val="22"/>
                <w:szCs w:val="22"/>
                <w:color w:val="auto"/>
              </w:rPr>
              <w:t>United States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(1,478)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(2,014)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(16,722)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(25,201)</w:t>
            </w:r>
          </w:p>
        </w:tc>
        <w:tc>
          <w:tcPr>
            <w:tcW w:w="0" w:type="dxa"/>
            <w:vAlign w:val="bottom"/>
          </w:tcPr>
          <w:p>
            <w:pPr>
              <w:spacing w:after="0"/>
              <w:rPr>
                <w:sz w:val="1"/>
                <w:szCs w:val="1"/>
                <w:color w:val="auto"/>
              </w:rPr>
            </w:pPr>
          </w:p>
        </w:tc>
      </w:tr>
      <w:tr>
        <w:trPr>
          <w:trHeight w:val="276"/>
        </w:trPr>
        <w:tc>
          <w:tcPr>
            <w:tcW w:w="3340" w:type="dxa"/>
            <w:vAlign w:val="bottom"/>
          </w:tcPr>
          <w:p>
            <w:pPr>
              <w:ind w:left="120"/>
              <w:spacing w:after="0"/>
              <w:rPr>
                <w:sz w:val="20"/>
                <w:szCs w:val="20"/>
                <w:color w:val="auto"/>
              </w:rPr>
            </w:pPr>
            <w:r>
              <w:rPr>
                <w:rFonts w:ascii="Arial" w:cs="Arial" w:eastAsia="Arial" w:hAnsi="Arial"/>
                <w:sz w:val="22"/>
                <w:szCs w:val="22"/>
                <w:color w:val="auto"/>
              </w:rPr>
              <w:t>Corporate and eliminations</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(5,246)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(5,069)</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(20,842)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(24,765)</w:t>
            </w:r>
          </w:p>
        </w:tc>
        <w:tc>
          <w:tcPr>
            <w:tcW w:w="0" w:type="dxa"/>
            <w:vAlign w:val="bottom"/>
          </w:tcPr>
          <w:p>
            <w:pPr>
              <w:spacing w:after="0"/>
              <w:rPr>
                <w:sz w:val="1"/>
                <w:szCs w:val="1"/>
                <w:color w:val="auto"/>
              </w:rPr>
            </w:pPr>
          </w:p>
        </w:tc>
      </w:tr>
      <w:tr>
        <w:trPr>
          <w:trHeight w:val="265"/>
        </w:trPr>
        <w:tc>
          <w:tcPr>
            <w:tcW w:w="3340" w:type="dxa"/>
            <w:vAlign w:val="bottom"/>
          </w:tcPr>
          <w:p>
            <w:pPr>
              <w:ind w:left="260"/>
              <w:spacing w:after="0"/>
              <w:rPr>
                <w:sz w:val="20"/>
                <w:szCs w:val="20"/>
                <w:color w:val="auto"/>
              </w:rPr>
            </w:pPr>
            <w:r>
              <w:rPr>
                <w:rFonts w:ascii="Arial" w:cs="Arial" w:eastAsia="Arial" w:hAnsi="Arial"/>
                <w:sz w:val="22"/>
                <w:szCs w:val="22"/>
                <w:color w:val="auto"/>
              </w:rPr>
              <w:t>Total EBITDA</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17,735</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20,238</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37,626</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10,168</w:t>
            </w: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22"/>
                <w:szCs w:val="22"/>
                <w:color w:val="auto"/>
              </w:rPr>
              <w:t>Adjusted EBITDA (1)</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120"/>
              <w:spacing w:after="0"/>
              <w:rPr>
                <w:sz w:val="20"/>
                <w:szCs w:val="20"/>
                <w:color w:val="auto"/>
              </w:rPr>
            </w:pPr>
            <w:r>
              <w:rPr>
                <w:rFonts w:ascii="Arial" w:cs="Arial" w:eastAsia="Arial" w:hAnsi="Arial"/>
                <w:sz w:val="22"/>
                <w:szCs w:val="22"/>
                <w:color w:val="auto"/>
              </w:rPr>
              <w:t>Canada</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14,072</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13,601</w:t>
            </w:r>
          </w:p>
        </w:tc>
        <w:tc>
          <w:tcPr>
            <w:tcW w:w="8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71,699</w:t>
            </w:r>
          </w:p>
        </w:tc>
        <w:tc>
          <w:tcPr>
            <w:tcW w:w="100" w:type="dxa"/>
            <w:vAlign w:val="bottom"/>
          </w:tcPr>
          <w:p>
            <w:pPr>
              <w:spacing w:after="0"/>
              <w:rPr>
                <w:sz w:val="23"/>
                <w:szCs w:val="23"/>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95,125</w:t>
            </w:r>
          </w:p>
        </w:tc>
        <w:tc>
          <w:tcPr>
            <w:tcW w:w="0" w:type="dxa"/>
            <w:vAlign w:val="bottom"/>
          </w:tcPr>
          <w:p>
            <w:pPr>
              <w:spacing w:after="0"/>
              <w:rPr>
                <w:sz w:val="1"/>
                <w:szCs w:val="1"/>
                <w:color w:val="auto"/>
              </w:rPr>
            </w:pPr>
          </w:p>
        </w:tc>
      </w:tr>
      <w:tr>
        <w:trPr>
          <w:trHeight w:val="270"/>
        </w:trPr>
        <w:tc>
          <w:tcPr>
            <w:tcW w:w="3340" w:type="dxa"/>
            <w:vAlign w:val="bottom"/>
          </w:tcPr>
          <w:p>
            <w:pPr>
              <w:ind w:left="120"/>
              <w:spacing w:after="0"/>
              <w:rPr>
                <w:sz w:val="20"/>
                <w:szCs w:val="20"/>
                <w:color w:val="auto"/>
              </w:rPr>
            </w:pPr>
            <w:r>
              <w:rPr>
                <w:rFonts w:ascii="Arial" w:cs="Arial" w:eastAsia="Arial" w:hAnsi="Arial"/>
                <w:sz w:val="22"/>
                <w:szCs w:val="22"/>
                <w:color w:val="auto"/>
              </w:rPr>
              <w:t>Australia</w:t>
            </w:r>
          </w:p>
        </w:tc>
        <w:tc>
          <w:tcPr>
            <w:tcW w:w="3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10,387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22"/>
                <w:szCs w:val="22"/>
                <w:color w:val="auto"/>
              </w:rPr>
              <w:t>13,710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43,188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65,686</w:t>
            </w:r>
          </w:p>
        </w:tc>
        <w:tc>
          <w:tcPr>
            <w:tcW w:w="0" w:type="dxa"/>
            <w:vAlign w:val="bottom"/>
          </w:tcPr>
          <w:p>
            <w:pPr>
              <w:spacing w:after="0"/>
              <w:rPr>
                <w:sz w:val="1"/>
                <w:szCs w:val="1"/>
                <w:color w:val="auto"/>
              </w:rPr>
            </w:pPr>
          </w:p>
        </w:tc>
      </w:tr>
      <w:tr>
        <w:trPr>
          <w:trHeight w:val="270"/>
        </w:trPr>
        <w:tc>
          <w:tcPr>
            <w:tcW w:w="3340" w:type="dxa"/>
            <w:vAlign w:val="bottom"/>
          </w:tcPr>
          <w:p>
            <w:pPr>
              <w:ind w:left="120"/>
              <w:spacing w:after="0"/>
              <w:rPr>
                <w:sz w:val="20"/>
                <w:szCs w:val="20"/>
                <w:color w:val="auto"/>
              </w:rPr>
            </w:pPr>
            <w:r>
              <w:rPr>
                <w:rFonts w:ascii="Arial" w:cs="Arial" w:eastAsia="Arial" w:hAnsi="Arial"/>
                <w:sz w:val="22"/>
                <w:szCs w:val="22"/>
                <w:color w:val="auto"/>
              </w:rPr>
              <w:t>United States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(1,478)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(2,014)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(8,322)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(948)</w:t>
            </w:r>
          </w:p>
        </w:tc>
        <w:tc>
          <w:tcPr>
            <w:tcW w:w="0" w:type="dxa"/>
            <w:vAlign w:val="bottom"/>
          </w:tcPr>
          <w:p>
            <w:pPr>
              <w:spacing w:after="0"/>
              <w:rPr>
                <w:sz w:val="1"/>
                <w:szCs w:val="1"/>
                <w:color w:val="auto"/>
              </w:rPr>
            </w:pPr>
          </w:p>
        </w:tc>
      </w:tr>
      <w:tr>
        <w:trPr>
          <w:trHeight w:val="276"/>
        </w:trPr>
        <w:tc>
          <w:tcPr>
            <w:tcW w:w="3340" w:type="dxa"/>
            <w:vAlign w:val="bottom"/>
          </w:tcPr>
          <w:p>
            <w:pPr>
              <w:ind w:left="120"/>
              <w:spacing w:after="0"/>
              <w:rPr>
                <w:sz w:val="20"/>
                <w:szCs w:val="20"/>
                <w:color w:val="auto"/>
              </w:rPr>
            </w:pPr>
            <w:r>
              <w:rPr>
                <w:rFonts w:ascii="Arial" w:cs="Arial" w:eastAsia="Arial" w:hAnsi="Arial"/>
                <w:sz w:val="22"/>
                <w:szCs w:val="22"/>
                <w:color w:val="auto"/>
              </w:rPr>
              <w:t>Corporate and eliminations</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(5,246)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(3,175)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(19,832)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(18,743)</w:t>
            </w:r>
          </w:p>
        </w:tc>
        <w:tc>
          <w:tcPr>
            <w:tcW w:w="0" w:type="dxa"/>
            <w:vAlign w:val="bottom"/>
          </w:tcPr>
          <w:p>
            <w:pPr>
              <w:spacing w:after="0"/>
              <w:rPr>
                <w:sz w:val="1"/>
                <w:szCs w:val="1"/>
                <w:color w:val="auto"/>
              </w:rPr>
            </w:pPr>
          </w:p>
        </w:tc>
      </w:tr>
      <w:tr>
        <w:trPr>
          <w:trHeight w:val="265"/>
        </w:trPr>
        <w:tc>
          <w:tcPr>
            <w:tcW w:w="3340" w:type="dxa"/>
            <w:vAlign w:val="bottom"/>
          </w:tcPr>
          <w:p>
            <w:pPr>
              <w:ind w:left="260"/>
              <w:spacing w:after="0"/>
              <w:rPr>
                <w:sz w:val="20"/>
                <w:szCs w:val="20"/>
                <w:color w:val="auto"/>
              </w:rPr>
            </w:pPr>
            <w:r>
              <w:rPr>
                <w:rFonts w:ascii="Arial" w:cs="Arial" w:eastAsia="Arial" w:hAnsi="Arial"/>
                <w:sz w:val="22"/>
                <w:szCs w:val="22"/>
                <w:color w:val="auto"/>
              </w:rPr>
              <w:t>Total adjusted EBITDA</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17,735</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22,122</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86,733</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141,120</w:t>
            </w: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120"/>
              <w:spacing w:after="0"/>
              <w:rPr>
                <w:sz w:val="20"/>
                <w:szCs w:val="20"/>
                <w:color w:val="auto"/>
              </w:rPr>
            </w:pPr>
            <w:r>
              <w:rPr>
                <w:rFonts w:ascii="Arial" w:cs="Arial" w:eastAsia="Arial" w:hAnsi="Arial"/>
                <w:sz w:val="22"/>
                <w:szCs w:val="22"/>
                <w:color w:val="auto"/>
              </w:rPr>
              <w:t>Canada</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(5,593)</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spacing w:after="0"/>
              <w:rPr>
                <w:sz w:val="20"/>
                <w:szCs w:val="20"/>
                <w:color w:val="auto"/>
              </w:rPr>
            </w:pPr>
            <w:r>
              <w:rPr>
                <w:rFonts w:ascii="Arial" w:cs="Arial" w:eastAsia="Arial" w:hAnsi="Arial"/>
                <w:sz w:val="22"/>
                <w:szCs w:val="22"/>
                <w:color w:val="auto"/>
                <w:w w:val="97"/>
              </w:rPr>
              <w:t>(10,606)</w:t>
            </w:r>
          </w:p>
        </w:tc>
        <w:tc>
          <w:tcPr>
            <w:tcW w:w="8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(59,351)</w:t>
            </w:r>
          </w:p>
        </w:tc>
        <w:tc>
          <w:tcPr>
            <w:tcW w:w="100" w:type="dxa"/>
            <w:vAlign w:val="bottom"/>
          </w:tcPr>
          <w:p>
            <w:pPr>
              <w:spacing w:after="0"/>
              <w:rPr>
                <w:sz w:val="23"/>
                <w:szCs w:val="23"/>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(73,215)</w:t>
            </w:r>
          </w:p>
        </w:tc>
        <w:tc>
          <w:tcPr>
            <w:tcW w:w="0" w:type="dxa"/>
            <w:vAlign w:val="bottom"/>
          </w:tcPr>
          <w:p>
            <w:pPr>
              <w:spacing w:after="0"/>
              <w:rPr>
                <w:sz w:val="1"/>
                <w:szCs w:val="1"/>
                <w:color w:val="auto"/>
              </w:rPr>
            </w:pPr>
          </w:p>
        </w:tc>
      </w:tr>
      <w:tr>
        <w:trPr>
          <w:trHeight w:val="270"/>
        </w:trPr>
        <w:tc>
          <w:tcPr>
            <w:tcW w:w="3340" w:type="dxa"/>
            <w:vAlign w:val="bottom"/>
          </w:tcPr>
          <w:p>
            <w:pPr>
              <w:ind w:left="120"/>
              <w:spacing w:after="0"/>
              <w:rPr>
                <w:sz w:val="20"/>
                <w:szCs w:val="20"/>
                <w:color w:val="auto"/>
              </w:rPr>
            </w:pPr>
            <w:r>
              <w:rPr>
                <w:rFonts w:ascii="Arial" w:cs="Arial" w:eastAsia="Arial" w:hAnsi="Arial"/>
                <w:sz w:val="22"/>
                <w:szCs w:val="22"/>
                <w:color w:val="auto"/>
              </w:rPr>
              <w:t>Australia</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(2,399)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(667)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(6,853)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(24,817)</w:t>
            </w:r>
          </w:p>
        </w:tc>
        <w:tc>
          <w:tcPr>
            <w:tcW w:w="0" w:type="dxa"/>
            <w:vAlign w:val="bottom"/>
          </w:tcPr>
          <w:p>
            <w:pPr>
              <w:spacing w:after="0"/>
              <w:rPr>
                <w:sz w:val="1"/>
                <w:szCs w:val="1"/>
                <w:color w:val="auto"/>
              </w:rPr>
            </w:pPr>
          </w:p>
        </w:tc>
      </w:tr>
      <w:tr>
        <w:trPr>
          <w:trHeight w:val="270"/>
        </w:trPr>
        <w:tc>
          <w:tcPr>
            <w:tcW w:w="3340" w:type="dxa"/>
            <w:vAlign w:val="bottom"/>
          </w:tcPr>
          <w:p>
            <w:pPr>
              <w:ind w:left="120"/>
              <w:spacing w:after="0"/>
              <w:rPr>
                <w:sz w:val="20"/>
                <w:szCs w:val="20"/>
                <w:color w:val="auto"/>
              </w:rPr>
            </w:pPr>
            <w:r>
              <w:rPr>
                <w:rFonts w:ascii="Arial" w:cs="Arial" w:eastAsia="Arial" w:hAnsi="Arial"/>
                <w:sz w:val="22"/>
                <w:szCs w:val="22"/>
                <w:color w:val="auto"/>
              </w:rPr>
              <w:t>United States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(3,954)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(6,472)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(24,616)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(40,083)</w:t>
            </w:r>
          </w:p>
        </w:tc>
        <w:tc>
          <w:tcPr>
            <w:tcW w:w="0" w:type="dxa"/>
            <w:vAlign w:val="bottom"/>
          </w:tcPr>
          <w:p>
            <w:pPr>
              <w:spacing w:after="0"/>
              <w:rPr>
                <w:sz w:val="1"/>
                <w:szCs w:val="1"/>
                <w:color w:val="auto"/>
              </w:rPr>
            </w:pPr>
          </w:p>
        </w:tc>
      </w:tr>
      <w:tr>
        <w:trPr>
          <w:trHeight w:val="276"/>
        </w:trPr>
        <w:tc>
          <w:tcPr>
            <w:tcW w:w="3340" w:type="dxa"/>
            <w:vAlign w:val="bottom"/>
          </w:tcPr>
          <w:p>
            <w:pPr>
              <w:ind w:left="120"/>
              <w:spacing w:after="0"/>
              <w:rPr>
                <w:sz w:val="20"/>
                <w:szCs w:val="20"/>
                <w:color w:val="auto"/>
              </w:rPr>
            </w:pPr>
            <w:r>
              <w:rPr>
                <w:rFonts w:ascii="Arial" w:cs="Arial" w:eastAsia="Arial" w:hAnsi="Arial"/>
                <w:sz w:val="22"/>
                <w:szCs w:val="22"/>
                <w:color w:val="auto"/>
              </w:rPr>
              <w:t>Corporate and eliminations</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(2,645)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4,843</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(4,940)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(6,888)</w:t>
            </w:r>
          </w:p>
        </w:tc>
        <w:tc>
          <w:tcPr>
            <w:tcW w:w="0" w:type="dxa"/>
            <w:vAlign w:val="bottom"/>
          </w:tcPr>
          <w:p>
            <w:pPr>
              <w:spacing w:after="0"/>
              <w:rPr>
                <w:sz w:val="1"/>
                <w:szCs w:val="1"/>
                <w:color w:val="auto"/>
              </w:rPr>
            </w:pPr>
          </w:p>
        </w:tc>
      </w:tr>
      <w:tr>
        <w:trPr>
          <w:trHeight w:val="265"/>
        </w:trPr>
        <w:tc>
          <w:tcPr>
            <w:tcW w:w="3340" w:type="dxa"/>
            <w:vAlign w:val="bottom"/>
          </w:tcPr>
          <w:p>
            <w:pPr>
              <w:ind w:left="260"/>
              <w:spacing w:after="0"/>
              <w:rPr>
                <w:sz w:val="20"/>
                <w:szCs w:val="20"/>
                <w:color w:val="auto"/>
              </w:rPr>
            </w:pPr>
            <w:r>
              <w:rPr>
                <w:rFonts w:ascii="Arial" w:cs="Arial" w:eastAsia="Arial" w:hAnsi="Arial"/>
                <w:sz w:val="22"/>
                <w:szCs w:val="22"/>
                <w:color w:val="auto"/>
              </w:rPr>
              <w:t>Total operating loss</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(14,591)</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(12,902)</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(95,760)</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(145,003)</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Please see Non-GAAP Reconciliation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w:t>
      </w:r>
    </w:p>
    <w:p>
      <w:pPr>
        <w:jc w:val="center"/>
        <w:ind w:right="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20" w:type="dxa"/>
            <w:vAlign w:val="bottom"/>
          </w:tcPr>
          <w:p>
            <w:pPr>
              <w:spacing w:after="0"/>
              <w:rPr>
                <w:sz w:val="21"/>
                <w:szCs w:val="21"/>
                <w:color w:val="auto"/>
              </w:rPr>
            </w:pPr>
          </w:p>
        </w:tc>
        <w:tc>
          <w:tcPr>
            <w:tcW w:w="2760" w:type="dxa"/>
            <w:vAlign w:val="bottom"/>
            <w:gridSpan w:val="5"/>
          </w:tcPr>
          <w:p>
            <w:pPr>
              <w:ind w:left="60"/>
              <w:spacing w:after="0"/>
              <w:rPr>
                <w:sz w:val="20"/>
                <w:szCs w:val="20"/>
                <w:color w:val="auto"/>
              </w:rPr>
            </w:pPr>
            <w:r>
              <w:rPr>
                <w:rFonts w:ascii="Arial" w:cs="Arial" w:eastAsia="Arial" w:hAnsi="Arial"/>
                <w:sz w:val="22"/>
                <w:szCs w:val="22"/>
                <w:b w:val="1"/>
                <w:bCs w:val="1"/>
                <w:color w:val="auto"/>
              </w:rPr>
              <w:t>THREE MONTHS ENDED</w:t>
            </w:r>
          </w:p>
        </w:tc>
        <w:tc>
          <w:tcPr>
            <w:tcW w:w="2940" w:type="dxa"/>
            <w:vAlign w:val="bottom"/>
            <w:gridSpan w:val="4"/>
          </w:tcPr>
          <w:p>
            <w:pPr>
              <w:ind w:left="100"/>
              <w:spacing w:after="0"/>
              <w:rPr>
                <w:sz w:val="20"/>
                <w:szCs w:val="20"/>
                <w:color w:val="auto"/>
              </w:rPr>
            </w:pPr>
            <w:r>
              <w:rPr>
                <w:rFonts w:ascii="Arial" w:cs="Arial" w:eastAsia="Arial" w:hAnsi="Arial"/>
                <w:sz w:val="22"/>
                <w:szCs w:val="22"/>
                <w:b w:val="1"/>
                <w:bCs w:val="1"/>
                <w:color w:val="auto"/>
              </w:rPr>
              <w:t>TWELVE MONTHS ENDED</w:t>
            </w:r>
          </w:p>
        </w:tc>
      </w:tr>
      <w:tr>
        <w:trPr>
          <w:trHeight w:val="270"/>
        </w:trPr>
        <w:tc>
          <w:tcPr>
            <w:tcW w:w="5620" w:type="dxa"/>
            <w:vAlign w:val="bottom"/>
          </w:tcPr>
          <w:p>
            <w:pPr>
              <w:spacing w:after="0"/>
              <w:rPr>
                <w:sz w:val="23"/>
                <w:szCs w:val="23"/>
                <w:color w:val="auto"/>
              </w:rPr>
            </w:pPr>
          </w:p>
        </w:tc>
        <w:tc>
          <w:tcPr>
            <w:tcW w:w="2760" w:type="dxa"/>
            <w:vAlign w:val="bottom"/>
            <w:gridSpan w:val="5"/>
          </w:tcPr>
          <w:p>
            <w:pPr>
              <w:ind w:left="560"/>
              <w:spacing w:after="0"/>
              <w:rPr>
                <w:sz w:val="20"/>
                <w:szCs w:val="20"/>
                <w:color w:val="auto"/>
              </w:rPr>
            </w:pPr>
            <w:r>
              <w:rPr>
                <w:rFonts w:ascii="Arial" w:cs="Arial" w:eastAsia="Arial" w:hAnsi="Arial"/>
                <w:sz w:val="22"/>
                <w:szCs w:val="22"/>
                <w:b w:val="1"/>
                <w:bCs w:val="1"/>
                <w:color w:val="auto"/>
              </w:rPr>
              <w:t>DECEMBER 31,</w:t>
            </w:r>
          </w:p>
        </w:tc>
        <w:tc>
          <w:tcPr>
            <w:tcW w:w="2940" w:type="dxa"/>
            <w:vAlign w:val="bottom"/>
            <w:gridSpan w:val="4"/>
          </w:tcPr>
          <w:p>
            <w:pPr>
              <w:ind w:left="680"/>
              <w:spacing w:after="0"/>
              <w:rPr>
                <w:sz w:val="20"/>
                <w:szCs w:val="20"/>
                <w:color w:val="auto"/>
              </w:rPr>
            </w:pPr>
            <w:r>
              <w:rPr>
                <w:rFonts w:ascii="Arial" w:cs="Arial" w:eastAsia="Arial" w:hAnsi="Arial"/>
                <w:sz w:val="22"/>
                <w:szCs w:val="22"/>
                <w:b w:val="1"/>
                <w:bCs w:val="1"/>
                <w:color w:val="auto"/>
              </w:rPr>
              <w:t>DECEMBER 31,</w:t>
            </w:r>
          </w:p>
        </w:tc>
      </w:tr>
      <w:tr>
        <w:trPr>
          <w:trHeight w:val="282"/>
        </w:trPr>
        <w:tc>
          <w:tcPr>
            <w:tcW w:w="5620" w:type="dxa"/>
            <w:vAlign w:val="bottom"/>
          </w:tcPr>
          <w:p>
            <w:pPr>
              <w:spacing w:after="0"/>
              <w:rPr>
                <w:sz w:val="24"/>
                <w:szCs w:val="24"/>
                <w:color w:val="auto"/>
              </w:rPr>
            </w:pP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2015</w:t>
            </w:r>
          </w:p>
        </w:tc>
        <w:tc>
          <w:tcPr>
            <w:tcW w:w="80" w:type="dxa"/>
            <w:vAlign w:val="bottom"/>
          </w:tcPr>
          <w:p>
            <w:pPr>
              <w:spacing w:after="0"/>
              <w:rPr>
                <w:sz w:val="24"/>
                <w:szCs w:val="24"/>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22"/>
                <w:szCs w:val="22"/>
                <w:b w:val="1"/>
                <w:bCs w:val="1"/>
                <w:color w:val="auto"/>
              </w:rPr>
              <w:t>2016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2015</w:t>
            </w:r>
          </w:p>
        </w:tc>
      </w:tr>
      <w:tr>
        <w:trPr>
          <w:trHeight w:val="532"/>
        </w:trPr>
        <w:tc>
          <w:tcPr>
            <w:tcW w:w="5620" w:type="dxa"/>
            <w:vAlign w:val="bottom"/>
          </w:tcPr>
          <w:p>
            <w:pPr>
              <w:spacing w:after="0"/>
              <w:rPr>
                <w:sz w:val="20"/>
                <w:szCs w:val="20"/>
                <w:color w:val="auto"/>
              </w:rPr>
            </w:pPr>
            <w:r>
              <w:rPr>
                <w:rFonts w:ascii="Arial" w:cs="Arial" w:eastAsia="Arial" w:hAnsi="Arial"/>
                <w:sz w:val="22"/>
                <w:szCs w:val="22"/>
                <w:color w:val="auto"/>
              </w:rPr>
              <w:t>EBITDA (1)</w:t>
            </w:r>
          </w:p>
        </w:tc>
        <w:tc>
          <w:tcPr>
            <w:tcW w:w="1260" w:type="dxa"/>
            <w:vAlign w:val="bottom"/>
          </w:tcPr>
          <w:p>
            <w:pPr>
              <w:ind w:left="60"/>
              <w:spacing w:after="0"/>
              <w:rPr>
                <w:sz w:val="20"/>
                <w:szCs w:val="20"/>
                <w:color w:val="auto"/>
              </w:rPr>
            </w:pPr>
            <w:r>
              <w:rPr>
                <w:rFonts w:ascii="Arial" w:cs="Arial" w:eastAsia="Arial" w:hAnsi="Arial"/>
                <w:sz w:val="22"/>
                <w:szCs w:val="22"/>
                <w:color w:val="auto"/>
              </w:rPr>
              <w:t>$    17,735</w:t>
            </w:r>
          </w:p>
        </w:tc>
        <w:tc>
          <w:tcPr>
            <w:tcW w:w="10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20,238</w:t>
            </w:r>
          </w:p>
        </w:tc>
        <w:tc>
          <w:tcPr>
            <w:tcW w:w="80" w:type="dxa"/>
            <w:vAlign w:val="bottom"/>
          </w:tcPr>
          <w:p>
            <w:pPr>
              <w:spacing w:after="0"/>
              <w:rPr>
                <w:sz w:val="24"/>
                <w:szCs w:val="24"/>
                <w:color w:val="auto"/>
              </w:rPr>
            </w:pPr>
          </w:p>
        </w:tc>
        <w:tc>
          <w:tcPr>
            <w:tcW w:w="1300" w:type="dxa"/>
            <w:vAlign w:val="bottom"/>
          </w:tcPr>
          <w:p>
            <w:pPr>
              <w:ind w:left="60"/>
              <w:spacing w:after="0"/>
              <w:rPr>
                <w:sz w:val="20"/>
                <w:szCs w:val="20"/>
                <w:color w:val="auto"/>
              </w:rPr>
            </w:pPr>
            <w:r>
              <w:rPr>
                <w:rFonts w:ascii="Arial" w:cs="Arial" w:eastAsia="Arial" w:hAnsi="Arial"/>
                <w:sz w:val="22"/>
                <w:szCs w:val="22"/>
                <w:color w:val="auto"/>
                <w:w w:val="89"/>
              </w:rPr>
              <w:t>$37,626</w:t>
            </w:r>
          </w:p>
        </w:tc>
        <w:tc>
          <w:tcPr>
            <w:tcW w:w="120" w:type="dxa"/>
            <w:vAlign w:val="bottom"/>
          </w:tcPr>
          <w:p>
            <w:pPr>
              <w:spacing w:after="0"/>
              <w:rPr>
                <w:sz w:val="24"/>
                <w:szCs w:val="24"/>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80" w:type="dxa"/>
            <w:vAlign w:val="bottom"/>
          </w:tcPr>
          <w:p>
            <w:pPr>
              <w:jc w:val="right"/>
              <w:ind w:right="52"/>
              <w:spacing w:after="0"/>
              <w:rPr>
                <w:sz w:val="20"/>
                <w:szCs w:val="20"/>
                <w:color w:val="auto"/>
              </w:rPr>
            </w:pPr>
            <w:r>
              <w:rPr>
                <w:rFonts w:ascii="Arial" w:cs="Arial" w:eastAsia="Arial" w:hAnsi="Arial"/>
                <w:sz w:val="22"/>
                <w:szCs w:val="22"/>
                <w:color w:val="auto"/>
              </w:rPr>
              <w:t>10,168</w:t>
            </w:r>
          </w:p>
        </w:tc>
      </w:tr>
    </w:tbl>
    <w:p>
      <w:pPr>
        <w:sectPr>
          <w:pgSz w:w="11900" w:h="16838" w:orient="portrait"/>
          <w:cols w:equalWidth="0" w:num="1">
            <w:col w:w="11320"/>
          </w:cols>
          <w:pgMar w:left="260" w:top="388" w:right="31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800" w:type="dxa"/>
            <w:vAlign w:val="bottom"/>
          </w:tcPr>
          <w:p>
            <w:pPr>
              <w:spacing w:after="0"/>
              <w:rPr>
                <w:sz w:val="20"/>
                <w:szCs w:val="20"/>
                <w:color w:val="auto"/>
              </w:rPr>
            </w:pPr>
            <w:r>
              <w:rPr>
                <w:rFonts w:ascii="Arial" w:cs="Arial" w:eastAsia="Arial" w:hAnsi="Arial"/>
                <w:sz w:val="22"/>
                <w:szCs w:val="22"/>
                <w:color w:val="auto"/>
              </w:rPr>
              <w:t>Adjusted EBITDA (1)</w:t>
            </w:r>
          </w:p>
        </w:tc>
        <w:tc>
          <w:tcPr>
            <w:tcW w:w="21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17,735</w:t>
            </w:r>
          </w:p>
        </w:tc>
        <w:tc>
          <w:tcPr>
            <w:tcW w:w="4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22,122</w:t>
            </w:r>
          </w:p>
        </w:tc>
        <w:tc>
          <w:tcPr>
            <w:tcW w:w="4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86,733</w:t>
            </w:r>
          </w:p>
        </w:tc>
        <w:tc>
          <w:tcPr>
            <w:tcW w:w="50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141,120</w:t>
            </w:r>
          </w:p>
        </w:tc>
      </w:tr>
      <w:tr>
        <w:trPr>
          <w:trHeight w:val="275"/>
        </w:trPr>
        <w:tc>
          <w:tcPr>
            <w:tcW w:w="3800" w:type="dxa"/>
            <w:vAlign w:val="bottom"/>
          </w:tcPr>
          <w:p>
            <w:pPr>
              <w:spacing w:after="0"/>
              <w:rPr>
                <w:sz w:val="20"/>
                <w:szCs w:val="20"/>
                <w:color w:val="auto"/>
              </w:rPr>
            </w:pPr>
            <w:r>
              <w:rPr>
                <w:rFonts w:ascii="Arial" w:cs="Arial" w:eastAsia="Arial" w:hAnsi="Arial"/>
                <w:sz w:val="22"/>
                <w:szCs w:val="22"/>
                <w:color w:val="auto"/>
              </w:rPr>
              <w:t>Free Cash Flow (2)</w:t>
            </w:r>
          </w:p>
        </w:tc>
        <w:tc>
          <w:tcPr>
            <w:tcW w:w="21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10,091</w:t>
            </w:r>
          </w:p>
        </w:tc>
        <w:tc>
          <w:tcPr>
            <w:tcW w:w="4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2,876</w:t>
            </w:r>
          </w:p>
        </w:tc>
        <w:tc>
          <w:tcPr>
            <w:tcW w:w="4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48,100</w:t>
            </w:r>
          </w:p>
        </w:tc>
        <w:tc>
          <w:tcPr>
            <w:tcW w:w="50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136,363</w:t>
            </w:r>
          </w:p>
        </w:tc>
      </w:tr>
    </w:tbl>
    <w:p>
      <w:pPr>
        <w:spacing w:after="0" w:line="266" w:lineRule="exact"/>
        <w:rPr>
          <w:sz w:val="20"/>
          <w:szCs w:val="20"/>
          <w:color w:val="auto"/>
        </w:rPr>
      </w:pPr>
    </w:p>
    <w:p>
      <w:pPr>
        <w:ind w:right="100" w:firstLine="2"/>
        <w:spacing w:after="0" w:line="272" w:lineRule="auto"/>
        <w:tabs>
          <w:tab w:leader="none" w:pos="306"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term EBITDA is defined as net income (loss) plus interest, taxes, depreciation and amortization. The term Adjusted EBITDA is defined as EBITDA adjusted to exclude impairment charges and certain other costs such as those incurred associated with the Company's redomiciliation.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 useful information regarding our ability to service debt and to fund capital expenditures and provide investors a helpful measure for comparing the Company's operating performance with the performance of other companies that have different 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43" w:lineRule="exact"/>
        <w:rPr>
          <w:sz w:val="20"/>
          <w:szCs w:val="20"/>
          <w:color w:val="auto"/>
        </w:rPr>
      </w:pPr>
    </w:p>
    <w:p>
      <w:pPr>
        <w:jc w:val="both"/>
        <w:ind w:right="980"/>
        <w:spacing w:after="0"/>
        <w:rPr>
          <w:sz w:val="20"/>
          <w:szCs w:val="20"/>
          <w:color w:val="auto"/>
        </w:rPr>
      </w:pPr>
      <w:r>
        <w:rPr>
          <w:rFonts w:ascii="Arial" w:cs="Arial" w:eastAsia="Arial" w:hAnsi="Arial"/>
          <w:sz w:val="22"/>
          <w:szCs w:val="22"/>
          <w:color w:val="auto"/>
        </w:rPr>
        <w:t>The following table sets forth a reconciliation of EBITDA and Adjusted EBITDA to net loss,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5420" w:type="dxa"/>
            <w:vAlign w:val="bottom"/>
          </w:tcPr>
          <w:p>
            <w:pPr>
              <w:spacing w:after="0"/>
              <w:rPr>
                <w:sz w:val="21"/>
                <w:szCs w:val="21"/>
                <w:color w:val="auto"/>
              </w:rPr>
            </w:pPr>
          </w:p>
        </w:tc>
        <w:tc>
          <w:tcPr>
            <w:tcW w:w="2760" w:type="dxa"/>
            <w:vAlign w:val="bottom"/>
            <w:gridSpan w:val="6"/>
          </w:tcPr>
          <w:p>
            <w:pPr>
              <w:ind w:left="60"/>
              <w:spacing w:after="0"/>
              <w:rPr>
                <w:sz w:val="20"/>
                <w:szCs w:val="20"/>
                <w:color w:val="auto"/>
              </w:rPr>
            </w:pPr>
            <w:r>
              <w:rPr>
                <w:rFonts w:ascii="Arial" w:cs="Arial" w:eastAsia="Arial" w:hAnsi="Arial"/>
                <w:sz w:val="22"/>
                <w:szCs w:val="22"/>
                <w:b w:val="1"/>
                <w:bCs w:val="1"/>
                <w:color w:val="auto"/>
              </w:rPr>
              <w:t>THREE MONTHS ENDED</w:t>
            </w:r>
          </w:p>
        </w:tc>
        <w:tc>
          <w:tcPr>
            <w:tcW w:w="2940" w:type="dxa"/>
            <w:vAlign w:val="bottom"/>
            <w:gridSpan w:val="5"/>
          </w:tcPr>
          <w:p>
            <w:pPr>
              <w:jc w:val="right"/>
              <w:spacing w:after="0"/>
              <w:rPr>
                <w:sz w:val="20"/>
                <w:szCs w:val="20"/>
                <w:color w:val="auto"/>
              </w:rPr>
            </w:pPr>
            <w:r>
              <w:rPr>
                <w:rFonts w:ascii="Arial" w:cs="Arial" w:eastAsia="Arial" w:hAnsi="Arial"/>
                <w:sz w:val="22"/>
                <w:szCs w:val="22"/>
                <w:b w:val="1"/>
                <w:bCs w:val="1"/>
                <w:color w:val="auto"/>
              </w:rPr>
              <w:t>TWELVE MONTHS ENDED</w:t>
            </w:r>
          </w:p>
        </w:tc>
      </w:tr>
      <w:tr>
        <w:trPr>
          <w:trHeight w:val="270"/>
        </w:trPr>
        <w:tc>
          <w:tcPr>
            <w:tcW w:w="5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60" w:type="dxa"/>
            <w:vAlign w:val="bottom"/>
            <w:gridSpan w:val="5"/>
          </w:tcPr>
          <w:p>
            <w:pPr>
              <w:ind w:left="260"/>
              <w:spacing w:after="0"/>
              <w:rPr>
                <w:sz w:val="20"/>
                <w:szCs w:val="20"/>
                <w:color w:val="auto"/>
              </w:rPr>
            </w:pPr>
            <w:r>
              <w:rPr>
                <w:rFonts w:ascii="Arial" w:cs="Arial" w:eastAsia="Arial" w:hAnsi="Arial"/>
                <w:sz w:val="22"/>
                <w:szCs w:val="22"/>
                <w:b w:val="1"/>
                <w:bCs w:val="1"/>
                <w:color w:val="auto"/>
              </w:rPr>
              <w:t>DECEMBER 31,</w:t>
            </w:r>
          </w:p>
        </w:tc>
        <w:tc>
          <w:tcPr>
            <w:tcW w:w="320" w:type="dxa"/>
            <w:vAlign w:val="bottom"/>
          </w:tcPr>
          <w:p>
            <w:pPr>
              <w:spacing w:after="0"/>
              <w:rPr>
                <w:sz w:val="23"/>
                <w:szCs w:val="23"/>
                <w:color w:val="auto"/>
              </w:rPr>
            </w:pPr>
          </w:p>
        </w:tc>
        <w:tc>
          <w:tcPr>
            <w:tcW w:w="2620" w:type="dxa"/>
            <w:vAlign w:val="bottom"/>
            <w:gridSpan w:val="4"/>
          </w:tcPr>
          <w:p>
            <w:pPr>
              <w:jc w:val="right"/>
              <w:ind w:right="572"/>
              <w:spacing w:after="0"/>
              <w:rPr>
                <w:sz w:val="20"/>
                <w:szCs w:val="20"/>
                <w:color w:val="auto"/>
              </w:rPr>
            </w:pPr>
            <w:r>
              <w:rPr>
                <w:rFonts w:ascii="Arial" w:cs="Arial" w:eastAsia="Arial" w:hAnsi="Arial"/>
                <w:sz w:val="22"/>
                <w:szCs w:val="22"/>
                <w:b w:val="1"/>
                <w:bCs w:val="1"/>
                <w:color w:val="auto"/>
              </w:rPr>
              <w:t>DECEMBER 31,</w:t>
            </w:r>
          </w:p>
        </w:tc>
      </w:tr>
      <w:tr>
        <w:trPr>
          <w:trHeight w:val="282"/>
        </w:trPr>
        <w:tc>
          <w:tcPr>
            <w:tcW w:w="5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2015</w:t>
            </w:r>
          </w:p>
        </w:tc>
      </w:tr>
      <w:tr>
        <w:trPr>
          <w:trHeight w:val="528"/>
        </w:trPr>
        <w:tc>
          <w:tcPr>
            <w:tcW w:w="5420" w:type="dxa"/>
            <w:vAlign w:val="bottom"/>
          </w:tcPr>
          <w:p>
            <w:pPr>
              <w:spacing w:after="0"/>
              <w:rPr>
                <w:sz w:val="20"/>
                <w:szCs w:val="20"/>
                <w:color w:val="auto"/>
              </w:rPr>
            </w:pPr>
            <w:r>
              <w:rPr>
                <w:rFonts w:ascii="Arial" w:cs="Arial" w:eastAsia="Arial" w:hAnsi="Arial"/>
                <w:sz w:val="22"/>
                <w:szCs w:val="22"/>
                <w:color w:val="auto"/>
              </w:rPr>
              <w:t>Net loss</w:t>
            </w:r>
          </w:p>
        </w:tc>
        <w:tc>
          <w:tcPr>
            <w:tcW w:w="300" w:type="dxa"/>
            <w:vAlign w:val="bottom"/>
          </w:tcPr>
          <w:p>
            <w:pPr>
              <w:ind w:left="60"/>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(15,949)</w:t>
            </w:r>
          </w:p>
        </w:tc>
        <w:tc>
          <w:tcPr>
            <w:tcW w:w="10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(10,597)</w:t>
            </w:r>
          </w:p>
        </w:tc>
        <w:tc>
          <w:tcPr>
            <w:tcW w:w="80" w:type="dxa"/>
            <w:vAlign w:val="bottom"/>
          </w:tcPr>
          <w:p>
            <w:pPr>
              <w:spacing w:after="0"/>
              <w:rPr>
                <w:sz w:val="24"/>
                <w:szCs w:val="24"/>
                <w:color w:val="auto"/>
              </w:rPr>
            </w:pPr>
          </w:p>
        </w:tc>
        <w:tc>
          <w:tcPr>
            <w:tcW w:w="3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(96,388)</w:t>
            </w:r>
          </w:p>
        </w:tc>
        <w:tc>
          <w:tcPr>
            <w:tcW w:w="120" w:type="dxa"/>
            <w:vAlign w:val="bottom"/>
          </w:tcPr>
          <w:p>
            <w:pPr>
              <w:spacing w:after="0"/>
              <w:rPr>
                <w:sz w:val="24"/>
                <w:szCs w:val="24"/>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(131,759)</w:t>
            </w:r>
          </w:p>
        </w:tc>
      </w:tr>
      <w:tr>
        <w:trPr>
          <w:trHeight w:val="270"/>
        </w:trPr>
        <w:tc>
          <w:tcPr>
            <w:tcW w:w="5420" w:type="dxa"/>
            <w:vAlign w:val="bottom"/>
          </w:tcPr>
          <w:p>
            <w:pPr>
              <w:spacing w:after="0"/>
              <w:rPr>
                <w:sz w:val="20"/>
                <w:szCs w:val="20"/>
                <w:color w:val="auto"/>
              </w:rPr>
            </w:pPr>
            <w:r>
              <w:rPr>
                <w:rFonts w:ascii="Arial" w:cs="Arial" w:eastAsia="Arial" w:hAnsi="Arial"/>
                <w:sz w:val="22"/>
                <w:szCs w:val="22"/>
                <w:color w:val="auto"/>
              </w:rPr>
              <w:t>Income tax provision (benefit)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(2,888)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(5,638)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(20,105)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(33,089)</w:t>
            </w:r>
          </w:p>
        </w:tc>
      </w:tr>
      <w:tr>
        <w:trPr>
          <w:trHeight w:val="270"/>
        </w:trPr>
        <w:tc>
          <w:tcPr>
            <w:tcW w:w="542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30,858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31,831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131,302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22"/>
                <w:szCs w:val="22"/>
                <w:color w:val="auto"/>
              </w:rPr>
              <w:t>152,990</w:t>
            </w:r>
          </w:p>
        </w:tc>
      </w:tr>
      <w:tr>
        <w:trPr>
          <w:trHeight w:val="270"/>
        </w:trPr>
        <w:tc>
          <w:tcPr>
            <w:tcW w:w="5420" w:type="dxa"/>
            <w:vAlign w:val="bottom"/>
          </w:tcPr>
          <w:p>
            <w:pPr>
              <w:spacing w:after="0"/>
              <w:rPr>
                <w:sz w:val="20"/>
                <w:szCs w:val="20"/>
                <w:color w:val="auto"/>
              </w:rPr>
            </w:pPr>
            <w:r>
              <w:rPr>
                <w:rFonts w:ascii="Arial" w:cs="Arial" w:eastAsia="Arial" w:hAnsi="Arial"/>
                <w:sz w:val="22"/>
                <w:szCs w:val="22"/>
                <w:color w:val="auto"/>
              </w:rPr>
              <w:t>Interest income</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(2,033)</w:t>
            </w:r>
          </w:p>
        </w:tc>
      </w:tr>
      <w:tr>
        <w:trPr>
          <w:trHeight w:val="270"/>
        </w:trPr>
        <w:tc>
          <w:tcPr>
            <w:tcW w:w="542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302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22"/>
                <w:szCs w:val="22"/>
                <w:color w:val="auto"/>
              </w:rPr>
              <w:t>1,474</w:t>
            </w:r>
          </w:p>
        </w:tc>
      </w:tr>
      <w:tr>
        <w:trPr>
          <w:trHeight w:val="275"/>
        </w:trPr>
        <w:tc>
          <w:tcPr>
            <w:tcW w:w="5420" w:type="dxa"/>
            <w:vAlign w:val="bottom"/>
          </w:tcPr>
          <w:p>
            <w:pPr>
              <w:spacing w:after="0"/>
              <w:rPr>
                <w:sz w:val="20"/>
                <w:szCs w:val="20"/>
                <w:color w:val="auto"/>
              </w:rPr>
            </w:pPr>
            <w:r>
              <w:rPr>
                <w:rFonts w:ascii="Arial" w:cs="Arial" w:eastAsia="Arial" w:hAnsi="Arial"/>
                <w:sz w:val="22"/>
                <w:szCs w:val="22"/>
                <w:color w:val="auto"/>
              </w:rPr>
              <w:t>Interest expense</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5,726</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4,706</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22,667</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22,585</w:t>
            </w:r>
          </w:p>
        </w:tc>
      </w:tr>
      <w:tr>
        <w:trPr>
          <w:trHeight w:val="267"/>
        </w:trPr>
        <w:tc>
          <w:tcPr>
            <w:tcW w:w="5420" w:type="dxa"/>
            <w:vAlign w:val="bottom"/>
          </w:tcPr>
          <w:p>
            <w:pPr>
              <w:ind w:left="120"/>
              <w:spacing w:after="0"/>
              <w:rPr>
                <w:sz w:val="20"/>
                <w:szCs w:val="20"/>
                <w:color w:val="auto"/>
              </w:rPr>
            </w:pPr>
            <w:r>
              <w:rPr>
                <w:rFonts w:ascii="Arial" w:cs="Arial" w:eastAsia="Arial" w:hAnsi="Arial"/>
                <w:sz w:val="22"/>
                <w:szCs w:val="22"/>
                <w:color w:val="auto"/>
              </w:rPr>
              <w:t>EBITDA</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17,735</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20,238</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37,626</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10,168</w:t>
            </w:r>
          </w:p>
        </w:tc>
      </w:tr>
      <w:tr>
        <w:trPr>
          <w:trHeight w:val="256"/>
        </w:trPr>
        <w:tc>
          <w:tcPr>
            <w:tcW w:w="5420" w:type="dxa"/>
            <w:vAlign w:val="bottom"/>
          </w:tcPr>
          <w:p>
            <w:pPr>
              <w:spacing w:after="0"/>
              <w:rPr>
                <w:sz w:val="20"/>
                <w:szCs w:val="20"/>
                <w:color w:val="auto"/>
              </w:rPr>
            </w:pPr>
            <w:r>
              <w:rPr>
                <w:rFonts w:ascii="Arial" w:cs="Arial" w:eastAsia="Arial" w:hAnsi="Arial"/>
                <w:sz w:val="22"/>
                <w:szCs w:val="22"/>
                <w:color w:val="auto"/>
              </w:rPr>
              <w:t>Adjustments to EBITDA</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0"/>
        </w:trPr>
        <w:tc>
          <w:tcPr>
            <w:tcW w:w="5420" w:type="dxa"/>
            <w:vAlign w:val="bottom"/>
          </w:tcPr>
          <w:p>
            <w:pPr>
              <w:ind w:left="120"/>
              <w:spacing w:after="0"/>
              <w:rPr>
                <w:sz w:val="20"/>
                <w:szCs w:val="20"/>
                <w:color w:val="auto"/>
              </w:rPr>
            </w:pPr>
            <w:r>
              <w:rPr>
                <w:rFonts w:ascii="Arial" w:cs="Arial" w:eastAsia="Arial" w:hAnsi="Arial"/>
                <w:sz w:val="22"/>
                <w:szCs w:val="22"/>
                <w:color w:val="auto"/>
              </w:rPr>
              <w:t>Impairment of intangible asset (a)</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22"/>
                <w:szCs w:val="22"/>
                <w:color w:val="auto"/>
              </w:rPr>
              <w:t>2,460</w:t>
            </w:r>
          </w:p>
        </w:tc>
      </w:tr>
      <w:tr>
        <w:trPr>
          <w:trHeight w:val="270"/>
        </w:trPr>
        <w:tc>
          <w:tcPr>
            <w:tcW w:w="5420" w:type="dxa"/>
            <w:vAlign w:val="bottom"/>
          </w:tcPr>
          <w:p>
            <w:pPr>
              <w:ind w:left="120"/>
              <w:spacing w:after="0"/>
              <w:rPr>
                <w:sz w:val="20"/>
                <w:szCs w:val="20"/>
                <w:color w:val="auto"/>
              </w:rPr>
            </w:pPr>
            <w:r>
              <w:rPr>
                <w:rFonts w:ascii="Arial" w:cs="Arial" w:eastAsia="Arial" w:hAnsi="Arial"/>
                <w:sz w:val="22"/>
                <w:szCs w:val="22"/>
                <w:color w:val="auto"/>
              </w:rPr>
              <w:t>Impairment of assets (b)</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46,979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22"/>
                <w:szCs w:val="22"/>
                <w:color w:val="auto"/>
              </w:rPr>
              <w:t>74,534</w:t>
            </w:r>
          </w:p>
        </w:tc>
      </w:tr>
      <w:tr>
        <w:trPr>
          <w:trHeight w:val="270"/>
        </w:trPr>
        <w:tc>
          <w:tcPr>
            <w:tcW w:w="5420" w:type="dxa"/>
            <w:vAlign w:val="bottom"/>
          </w:tcPr>
          <w:p>
            <w:pPr>
              <w:ind w:left="120"/>
              <w:spacing w:after="0"/>
              <w:rPr>
                <w:sz w:val="20"/>
                <w:szCs w:val="20"/>
                <w:color w:val="auto"/>
              </w:rPr>
            </w:pPr>
            <w:r>
              <w:rPr>
                <w:rFonts w:ascii="Arial" w:cs="Arial" w:eastAsia="Arial" w:hAnsi="Arial"/>
                <w:sz w:val="22"/>
                <w:szCs w:val="22"/>
                <w:color w:val="auto"/>
              </w:rPr>
              <w:t>Impairment of goodwill (c)</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22"/>
                <w:szCs w:val="22"/>
                <w:color w:val="auto"/>
              </w:rPr>
              <w:t>43,194</w:t>
            </w:r>
          </w:p>
        </w:tc>
      </w:tr>
      <w:tr>
        <w:trPr>
          <w:trHeight w:val="270"/>
        </w:trPr>
        <w:tc>
          <w:tcPr>
            <w:tcW w:w="5420" w:type="dxa"/>
            <w:vAlign w:val="bottom"/>
          </w:tcPr>
          <w:p>
            <w:pPr>
              <w:ind w:left="120"/>
              <w:spacing w:after="0"/>
              <w:rPr>
                <w:sz w:val="20"/>
                <w:szCs w:val="20"/>
                <w:color w:val="auto"/>
              </w:rPr>
            </w:pPr>
            <w:r>
              <w:rPr>
                <w:rFonts w:ascii="Arial" w:cs="Arial" w:eastAsia="Arial" w:hAnsi="Arial"/>
                <w:sz w:val="22"/>
                <w:szCs w:val="22"/>
                <w:color w:val="auto"/>
              </w:rPr>
              <w:t>Migration costs (d)</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1,884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1,271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22"/>
                <w:szCs w:val="22"/>
                <w:color w:val="auto"/>
              </w:rPr>
              <w:t>7,011</w:t>
            </w:r>
          </w:p>
        </w:tc>
      </w:tr>
      <w:tr>
        <w:trPr>
          <w:trHeight w:val="270"/>
        </w:trPr>
        <w:tc>
          <w:tcPr>
            <w:tcW w:w="5420" w:type="dxa"/>
            <w:vAlign w:val="bottom"/>
          </w:tcPr>
          <w:p>
            <w:pPr>
              <w:ind w:left="120"/>
              <w:spacing w:after="0"/>
              <w:rPr>
                <w:sz w:val="20"/>
                <w:szCs w:val="20"/>
                <w:color w:val="auto"/>
              </w:rPr>
            </w:pPr>
            <w:r>
              <w:rPr>
                <w:rFonts w:ascii="Arial" w:cs="Arial" w:eastAsia="Arial" w:hAnsi="Arial"/>
                <w:sz w:val="22"/>
                <w:szCs w:val="22"/>
                <w:color w:val="auto"/>
              </w:rPr>
              <w:t>Loss on assets held for sale (e)</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22"/>
                <w:szCs w:val="22"/>
                <w:color w:val="auto"/>
              </w:rPr>
              <w:t>3,753</w:t>
            </w:r>
          </w:p>
        </w:tc>
      </w:tr>
      <w:tr>
        <w:trPr>
          <w:trHeight w:val="276"/>
        </w:trPr>
        <w:tc>
          <w:tcPr>
            <w:tcW w:w="5420" w:type="dxa"/>
            <w:vAlign w:val="bottom"/>
          </w:tcPr>
          <w:p>
            <w:pPr>
              <w:ind w:left="120"/>
              <w:spacing w:after="0"/>
              <w:rPr>
                <w:sz w:val="20"/>
                <w:szCs w:val="20"/>
                <w:color w:val="auto"/>
              </w:rPr>
            </w:pPr>
            <w:r>
              <w:rPr>
                <w:rFonts w:ascii="Arial" w:cs="Arial" w:eastAsia="Arial" w:hAnsi="Arial"/>
                <w:sz w:val="22"/>
                <w:szCs w:val="22"/>
                <w:color w:val="auto"/>
              </w:rPr>
              <w:t>Severance (f)</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857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r>
      <w:tr>
        <w:trPr>
          <w:trHeight w:val="265"/>
        </w:trPr>
        <w:tc>
          <w:tcPr>
            <w:tcW w:w="5420" w:type="dxa"/>
            <w:vAlign w:val="bottom"/>
          </w:tcPr>
          <w:p>
            <w:pPr>
              <w:ind w:left="200"/>
              <w:spacing w:after="0"/>
              <w:rPr>
                <w:sz w:val="20"/>
                <w:szCs w:val="20"/>
                <w:color w:val="auto"/>
              </w:rPr>
            </w:pPr>
            <w:r>
              <w:rPr>
                <w:rFonts w:ascii="Arial" w:cs="Arial" w:eastAsia="Arial" w:hAnsi="Arial"/>
                <w:sz w:val="22"/>
                <w:szCs w:val="22"/>
                <w:color w:val="auto"/>
              </w:rPr>
              <w:t>Adjusted EBITDA</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17,735</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22,122</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86,733</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141,120</w:t>
            </w:r>
          </w:p>
        </w:tc>
      </w:tr>
      <w:tr>
        <w:trPr>
          <w:trHeight w:val="21"/>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right="120" w:firstLine="2"/>
        <w:spacing w:after="0" w:line="238" w:lineRule="auto"/>
        <w:tabs>
          <w:tab w:leader="none" w:pos="294" w:val="left"/>
        </w:tabs>
        <w:numPr>
          <w:ilvl w:val="0"/>
          <w:numId w:val="5"/>
        </w:numPr>
        <w:rPr>
          <w:rFonts w:ascii="Arial" w:cs="Arial" w:eastAsia="Arial" w:hAnsi="Arial"/>
          <w:sz w:val="22"/>
          <w:szCs w:val="22"/>
          <w:color w:val="auto"/>
        </w:rPr>
      </w:pPr>
      <w:r>
        <w:rPr>
          <w:rFonts w:ascii="Arial" w:cs="Arial" w:eastAsia="Arial" w:hAnsi="Arial"/>
          <w:sz w:val="22"/>
          <w:szCs w:val="22"/>
          <w:color w:val="auto"/>
        </w:rPr>
        <w:t>Relates to the 2015 impairment of an intangible asset in the U.S. The U.S. intangible impairment resulted from an assessment of the carrying value of our long-lived assets, which evaluation included amortizable intangible assets. The $2.5 million impairment ($1.6 million after-tax, or $0.01 per diluted share), which is related to our U.S. segment, is included in Impairment expense on the unaudited statements of operations.</w:t>
      </w:r>
    </w:p>
    <w:p>
      <w:pPr>
        <w:spacing w:after="0" w:line="266" w:lineRule="exact"/>
        <w:rPr>
          <w:rFonts w:ascii="Arial" w:cs="Arial" w:eastAsia="Arial" w:hAnsi="Arial"/>
          <w:sz w:val="22"/>
          <w:szCs w:val="22"/>
          <w:color w:val="auto"/>
        </w:rPr>
      </w:pPr>
    </w:p>
    <w:p>
      <w:pPr>
        <w:ind w:right="60" w:firstLine="2"/>
        <w:spacing w:after="0" w:line="247" w:lineRule="auto"/>
        <w:tabs>
          <w:tab w:leader="none" w:pos="306" w:val="left"/>
        </w:tabs>
        <w:numPr>
          <w:ilvl w:val="0"/>
          <w:numId w:val="5"/>
        </w:numPr>
        <w:rPr>
          <w:rFonts w:ascii="Arial" w:cs="Arial" w:eastAsia="Arial" w:hAnsi="Arial"/>
          <w:sz w:val="21"/>
          <w:szCs w:val="21"/>
          <w:color w:val="auto"/>
        </w:rPr>
      </w:pPr>
      <w:r>
        <w:rPr>
          <w:rFonts w:ascii="Arial" w:cs="Arial" w:eastAsia="Arial" w:hAnsi="Arial"/>
          <w:sz w:val="21"/>
          <w:szCs w:val="21"/>
          <w:color w:val="auto"/>
        </w:rPr>
        <w:t>2016 relates to the impairment of assets in Canada and the United States. During the third quarter 2016, we recorded a pre-tax loss of $38.6 million ($28.2 million after-tax, or $0.26 per diluted share), of which $0.9 million is included in Cost of sales and $37.7 million is included in Impairment expense on the unaudited statements of operations. During the first quarter 2016, we recorded a pre-tax loss of $8.4 million ($8.4 million after-tax, or $0.08 per diluted share), which is included in Impairment expense on the unaudited statements of operations. 2015 relates to the impairment of assets in Canada, Australia and the United States. The $74.5 million impairment ($54.4 million after-tax, or $0.51 per diluted share) is included in Impairment expense on the unaudited statements of operations.</w:t>
      </w:r>
    </w:p>
    <w:p>
      <w:pPr>
        <w:spacing w:after="0" w:line="259" w:lineRule="exact"/>
        <w:rPr>
          <w:rFonts w:ascii="Arial" w:cs="Arial" w:eastAsia="Arial" w:hAnsi="Arial"/>
          <w:sz w:val="21"/>
          <w:szCs w:val="21"/>
          <w:color w:val="auto"/>
        </w:rPr>
      </w:pPr>
    </w:p>
    <w:p>
      <w:pPr>
        <w:ind w:right="460" w:firstLine="2"/>
        <w:spacing w:after="0" w:line="328" w:lineRule="auto"/>
        <w:tabs>
          <w:tab w:leader="none" w:pos="294" w:val="left"/>
        </w:tabs>
        <w:numPr>
          <w:ilvl w:val="0"/>
          <w:numId w:val="5"/>
        </w:numPr>
        <w:rPr>
          <w:rFonts w:ascii="Arial" w:cs="Arial" w:eastAsia="Arial" w:hAnsi="Arial"/>
          <w:sz w:val="19"/>
          <w:szCs w:val="19"/>
          <w:color w:val="auto"/>
        </w:rPr>
      </w:pPr>
      <w:r>
        <w:rPr>
          <w:rFonts w:ascii="Arial" w:cs="Arial" w:eastAsia="Arial" w:hAnsi="Arial"/>
          <w:sz w:val="19"/>
          <w:szCs w:val="19"/>
          <w:color w:val="auto"/>
        </w:rPr>
        <w:t>Relates to the impairment of goodwill. The $43.2 million impairment ($43.2 million after-tax, or $0.40 per diluted share), which is related to our Canadian segment, is included in Impairment expense on the unaudited statements of operations.</w:t>
      </w:r>
    </w:p>
    <w:p>
      <w:pPr>
        <w:spacing w:after="0" w:line="186" w:lineRule="exact"/>
        <w:rPr>
          <w:rFonts w:ascii="Arial" w:cs="Arial" w:eastAsia="Arial" w:hAnsi="Arial"/>
          <w:sz w:val="19"/>
          <w:szCs w:val="19"/>
          <w:color w:val="auto"/>
        </w:rPr>
      </w:pPr>
    </w:p>
    <w:p>
      <w:pPr>
        <w:ind w:right="140" w:firstLine="2"/>
        <w:spacing w:after="0" w:line="282" w:lineRule="auto"/>
        <w:tabs>
          <w:tab w:leader="none" w:pos="306" w:val="left"/>
        </w:tabs>
        <w:numPr>
          <w:ilvl w:val="0"/>
          <w:numId w:val="5"/>
        </w:numPr>
        <w:rPr>
          <w:rFonts w:ascii="Arial" w:cs="Arial" w:eastAsia="Arial" w:hAnsi="Arial"/>
          <w:sz w:val="19"/>
          <w:szCs w:val="19"/>
          <w:color w:val="auto"/>
        </w:rPr>
      </w:pPr>
      <w:r>
        <w:rPr>
          <w:rFonts w:ascii="Arial" w:cs="Arial" w:eastAsia="Arial" w:hAnsi="Arial"/>
          <w:sz w:val="19"/>
          <w:szCs w:val="19"/>
          <w:color w:val="auto"/>
        </w:rPr>
        <w:t>Relates to costs incurred associated with the Company's redomiciliation to Canada. For 2016, the $1.3 million in costs ($1.2 million after-tax, or $0.01 per diluted share), which are primarily corporate in nature, are included in Selling, general and administrative costs on the unaudited statements of operations. For 2015, the $1.9 million and $7.0 million in costs ($1.2 million and $4.6 million, respectively, after-tax, or $0.01 and $0.05, respectively, per diluted share, respectively), which are primarily corporate in nature, are included in Selling, general and administrative costs on the unaudited statements of operations.</w:t>
      </w:r>
    </w:p>
    <w:p>
      <w:pPr>
        <w:spacing w:after="0" w:line="228" w:lineRule="exact"/>
        <w:rPr>
          <w:rFonts w:ascii="Arial" w:cs="Arial" w:eastAsia="Arial" w:hAnsi="Arial"/>
          <w:sz w:val="19"/>
          <w:szCs w:val="19"/>
          <w:color w:val="auto"/>
        </w:rPr>
      </w:pPr>
    </w:p>
    <w:p>
      <w:pPr>
        <w:ind w:left="300" w:hanging="298"/>
        <w:spacing w:after="0"/>
        <w:tabs>
          <w:tab w:leader="none" w:pos="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Relates to the first quarter 2015 decision to close a manufacturing facility in the United States. As a result, the related assets</w:t>
      </w:r>
    </w:p>
    <w:p>
      <w:pPr>
        <w:sectPr>
          <w:pgSz w:w="11900" w:h="16838" w:orient="portrait"/>
          <w:cols w:equalWidth="0" w:num="1">
            <w:col w:w="11320"/>
          </w:cols>
          <w:pgMar w:left="260" w:top="118" w:right="319" w:bottom="0" w:gutter="0" w:footer="0" w:header="0"/>
        </w:sectPr>
      </w:pPr>
    </w:p>
    <w:bookmarkStart w:id="11" w:name="page12"/>
    <w:bookmarkEnd w:id="11"/>
    <w:p>
      <w:pPr>
        <w:ind w:right="20"/>
        <w:spacing w:after="0" w:line="241" w:lineRule="auto"/>
        <w:rPr>
          <w:sz w:val="20"/>
          <w:szCs w:val="20"/>
          <w:color w:val="auto"/>
        </w:rPr>
      </w:pPr>
      <w:r>
        <w:rPr>
          <w:rFonts w:ascii="Arial" w:cs="Arial" w:eastAsia="Arial" w:hAnsi="Arial"/>
          <w:sz w:val="22"/>
          <w:szCs w:val="22"/>
          <w:color w:val="auto"/>
        </w:rPr>
        <w:t>were written down to their estimated sales proceeds, less costs to sell. We recorded a pre-tax loss of $3.8 million ($2.4 million after-tax, or $0.02 per diluted share), of which $1.1 million is included in Cost of sales and services and $2.7 million is included in Impairment expense on the statements of operations.</w:t>
      </w:r>
    </w:p>
    <w:p>
      <w:pPr>
        <w:spacing w:after="0" w:line="265" w:lineRule="exact"/>
        <w:rPr>
          <w:sz w:val="20"/>
          <w:szCs w:val="20"/>
          <w:color w:val="auto"/>
        </w:rPr>
      </w:pPr>
    </w:p>
    <w:p>
      <w:pPr>
        <w:ind w:right="140" w:firstLine="2"/>
        <w:spacing w:after="0"/>
        <w:tabs>
          <w:tab w:leader="none" w:pos="270" w:val="left"/>
        </w:tabs>
        <w:numPr>
          <w:ilvl w:val="0"/>
          <w:numId w:val="6"/>
        </w:numPr>
        <w:rPr>
          <w:rFonts w:ascii="Arial" w:cs="Arial" w:eastAsia="Arial" w:hAnsi="Arial"/>
          <w:sz w:val="22"/>
          <w:szCs w:val="22"/>
          <w:color w:val="auto"/>
        </w:rPr>
      </w:pPr>
      <w:r>
        <w:rPr>
          <w:rFonts w:ascii="Arial" w:cs="Arial" w:eastAsia="Arial" w:hAnsi="Arial"/>
          <w:sz w:val="22"/>
          <w:szCs w:val="22"/>
          <w:color w:val="auto"/>
        </w:rPr>
        <w:t>Relates to severance costs associated with the termination of executives. The $0.9 million expense ($0.6 million after-tax, or $0.01 per diluted share), which is related to our Canadian segment, is included in Selling, general and administrative expenses on the unaudited statements of operations.</w:t>
      </w:r>
    </w:p>
    <w:p>
      <w:pPr>
        <w:spacing w:after="0" w:line="268" w:lineRule="exact"/>
        <w:rPr>
          <w:sz w:val="20"/>
          <w:szCs w:val="20"/>
          <w:color w:val="auto"/>
        </w:rPr>
      </w:pPr>
    </w:p>
    <w:p>
      <w:pPr>
        <w:ind w:right="40" w:firstLine="2"/>
        <w:spacing w:after="0" w:line="274" w:lineRule="auto"/>
        <w:tabs>
          <w:tab w:leader="none" w:pos="306"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The Company has included Free Cash Flow as a supplemental disclosure because its management believes that Free Cash Flow provides useful information regarding the cash flow generating ability of its business relative to its capital expenditure and debt service obligations. The Company uses Free Cash Flow to compare and to understand, manage, make operating decisions and evaluate its business. It is also used as a benchmark for the award of incentive compensation under its Free Cash Flow plan.</w:t>
      </w:r>
    </w:p>
    <w:p>
      <w:pPr>
        <w:spacing w:after="0" w:line="240"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5420" w:type="dxa"/>
            <w:vAlign w:val="bottom"/>
          </w:tcPr>
          <w:p>
            <w:pPr>
              <w:spacing w:after="0"/>
              <w:rPr>
                <w:sz w:val="21"/>
                <w:szCs w:val="21"/>
                <w:color w:val="auto"/>
              </w:rPr>
            </w:pPr>
          </w:p>
        </w:tc>
        <w:tc>
          <w:tcPr>
            <w:tcW w:w="2760" w:type="dxa"/>
            <w:vAlign w:val="bottom"/>
            <w:gridSpan w:val="6"/>
          </w:tcPr>
          <w:p>
            <w:pPr>
              <w:ind w:left="60"/>
              <w:spacing w:after="0"/>
              <w:rPr>
                <w:sz w:val="20"/>
                <w:szCs w:val="20"/>
                <w:color w:val="auto"/>
              </w:rPr>
            </w:pPr>
            <w:r>
              <w:rPr>
                <w:rFonts w:ascii="Arial" w:cs="Arial" w:eastAsia="Arial" w:hAnsi="Arial"/>
                <w:sz w:val="22"/>
                <w:szCs w:val="22"/>
                <w:b w:val="1"/>
                <w:bCs w:val="1"/>
                <w:color w:val="auto"/>
              </w:rPr>
              <w:t>THREE MONTHS ENDED</w:t>
            </w:r>
          </w:p>
        </w:tc>
        <w:tc>
          <w:tcPr>
            <w:tcW w:w="2940" w:type="dxa"/>
            <w:vAlign w:val="bottom"/>
            <w:gridSpan w:val="5"/>
          </w:tcPr>
          <w:p>
            <w:pPr>
              <w:ind w:left="100"/>
              <w:spacing w:after="0"/>
              <w:rPr>
                <w:sz w:val="20"/>
                <w:szCs w:val="20"/>
                <w:color w:val="auto"/>
              </w:rPr>
            </w:pPr>
            <w:r>
              <w:rPr>
                <w:rFonts w:ascii="Arial" w:cs="Arial" w:eastAsia="Arial" w:hAnsi="Arial"/>
                <w:sz w:val="22"/>
                <w:szCs w:val="22"/>
                <w:b w:val="1"/>
                <w:bCs w:val="1"/>
                <w:color w:val="auto"/>
              </w:rPr>
              <w:t>TWELVE MONTHS ENDED</w:t>
            </w:r>
          </w:p>
        </w:tc>
      </w:tr>
      <w:tr>
        <w:trPr>
          <w:trHeight w:val="270"/>
        </w:trPr>
        <w:tc>
          <w:tcPr>
            <w:tcW w:w="5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60" w:type="dxa"/>
            <w:vAlign w:val="bottom"/>
            <w:gridSpan w:val="5"/>
          </w:tcPr>
          <w:p>
            <w:pPr>
              <w:ind w:left="260"/>
              <w:spacing w:after="0"/>
              <w:rPr>
                <w:sz w:val="20"/>
                <w:szCs w:val="20"/>
                <w:color w:val="auto"/>
              </w:rPr>
            </w:pPr>
            <w:r>
              <w:rPr>
                <w:rFonts w:ascii="Arial" w:cs="Arial" w:eastAsia="Arial" w:hAnsi="Arial"/>
                <w:sz w:val="22"/>
                <w:szCs w:val="22"/>
                <w:b w:val="1"/>
                <w:bCs w:val="1"/>
                <w:color w:val="auto"/>
              </w:rPr>
              <w:t>DECEMBER 31,</w:t>
            </w:r>
          </w:p>
        </w:tc>
        <w:tc>
          <w:tcPr>
            <w:tcW w:w="320" w:type="dxa"/>
            <w:vAlign w:val="bottom"/>
          </w:tcPr>
          <w:p>
            <w:pPr>
              <w:spacing w:after="0"/>
              <w:rPr>
                <w:sz w:val="23"/>
                <w:szCs w:val="23"/>
                <w:color w:val="auto"/>
              </w:rPr>
            </w:pPr>
          </w:p>
        </w:tc>
        <w:tc>
          <w:tcPr>
            <w:tcW w:w="2620" w:type="dxa"/>
            <w:vAlign w:val="bottom"/>
            <w:gridSpan w:val="4"/>
          </w:tcPr>
          <w:p>
            <w:pPr>
              <w:jc w:val="right"/>
              <w:ind w:right="572"/>
              <w:spacing w:after="0"/>
              <w:rPr>
                <w:sz w:val="20"/>
                <w:szCs w:val="20"/>
                <w:color w:val="auto"/>
              </w:rPr>
            </w:pPr>
            <w:r>
              <w:rPr>
                <w:rFonts w:ascii="Arial" w:cs="Arial" w:eastAsia="Arial" w:hAnsi="Arial"/>
                <w:sz w:val="22"/>
                <w:szCs w:val="22"/>
                <w:b w:val="1"/>
                <w:bCs w:val="1"/>
                <w:color w:val="auto"/>
              </w:rPr>
              <w:t>DECEMBER 31,</w:t>
            </w:r>
          </w:p>
        </w:tc>
      </w:tr>
      <w:tr>
        <w:trPr>
          <w:trHeight w:val="282"/>
        </w:trPr>
        <w:tc>
          <w:tcPr>
            <w:tcW w:w="5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2015</w:t>
            </w:r>
          </w:p>
        </w:tc>
      </w:tr>
      <w:tr>
        <w:trPr>
          <w:trHeight w:val="528"/>
        </w:trPr>
        <w:tc>
          <w:tcPr>
            <w:tcW w:w="542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300" w:type="dxa"/>
            <w:vAlign w:val="bottom"/>
          </w:tcPr>
          <w:p>
            <w:pPr>
              <w:ind w:left="60"/>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13,314</w:t>
            </w:r>
          </w:p>
        </w:tc>
        <w:tc>
          <w:tcPr>
            <w:tcW w:w="10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11,198</w:t>
            </w:r>
          </w:p>
        </w:tc>
        <w:tc>
          <w:tcPr>
            <w:tcW w:w="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62,104</w:t>
            </w:r>
          </w:p>
        </w:tc>
        <w:tc>
          <w:tcPr>
            <w:tcW w:w="120" w:type="dxa"/>
            <w:vAlign w:val="bottom"/>
          </w:tcPr>
          <w:p>
            <w:pPr>
              <w:spacing w:after="0"/>
              <w:rPr>
                <w:sz w:val="24"/>
                <w:szCs w:val="24"/>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80" w:type="dxa"/>
            <w:vAlign w:val="bottom"/>
          </w:tcPr>
          <w:p>
            <w:pPr>
              <w:jc w:val="right"/>
              <w:ind w:right="52"/>
              <w:spacing w:after="0"/>
              <w:rPr>
                <w:sz w:val="20"/>
                <w:szCs w:val="20"/>
                <w:color w:val="auto"/>
              </w:rPr>
            </w:pPr>
            <w:r>
              <w:rPr>
                <w:rFonts w:ascii="Arial" w:cs="Arial" w:eastAsia="Arial" w:hAnsi="Arial"/>
                <w:sz w:val="22"/>
                <w:szCs w:val="22"/>
                <w:color w:val="auto"/>
              </w:rPr>
              <w:t>186,131</w:t>
            </w:r>
          </w:p>
        </w:tc>
      </w:tr>
      <w:tr>
        <w:trPr>
          <w:trHeight w:val="270"/>
        </w:trPr>
        <w:tc>
          <w:tcPr>
            <w:tcW w:w="5420" w:type="dxa"/>
            <w:vAlign w:val="bottom"/>
          </w:tcPr>
          <w:p>
            <w:pPr>
              <w:ind w:left="120"/>
              <w:spacing w:after="0"/>
              <w:rPr>
                <w:sz w:val="20"/>
                <w:szCs w:val="20"/>
                <w:color w:val="auto"/>
              </w:rPr>
            </w:pPr>
            <w:r>
              <w:rPr>
                <w:rFonts w:ascii="Arial" w:cs="Arial" w:eastAsia="Arial" w:hAnsi="Arial"/>
                <w:sz w:val="22"/>
                <w:szCs w:val="22"/>
                <w:color w:val="auto"/>
              </w:rPr>
              <w:t>Capital expenditures, including capitalized interest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(4,533)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(18,750)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(19,779)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(62,451)</w:t>
            </w:r>
          </w:p>
        </w:tc>
      </w:tr>
      <w:tr>
        <w:trPr>
          <w:trHeight w:val="275"/>
        </w:trPr>
        <w:tc>
          <w:tcPr>
            <w:tcW w:w="5420" w:type="dxa"/>
            <w:vAlign w:val="bottom"/>
          </w:tcPr>
          <w:p>
            <w:pPr>
              <w:ind w:left="120"/>
              <w:spacing w:after="0"/>
              <w:rPr>
                <w:sz w:val="20"/>
                <w:szCs w:val="20"/>
                <w:color w:val="auto"/>
              </w:rPr>
            </w:pPr>
            <w:r>
              <w:rPr>
                <w:rFonts w:ascii="Arial" w:cs="Arial" w:eastAsia="Arial" w:hAnsi="Arial"/>
                <w:sz w:val="22"/>
                <w:szCs w:val="22"/>
                <w:color w:val="auto"/>
                <w:w w:val="91"/>
              </w:rPr>
              <w:t>Proceeds from disposition of property, plant and equipment</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1,310</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10,428</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5,775</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12,683</w:t>
            </w:r>
          </w:p>
        </w:tc>
      </w:tr>
      <w:tr>
        <w:trPr>
          <w:trHeight w:val="267"/>
        </w:trPr>
        <w:tc>
          <w:tcPr>
            <w:tcW w:w="5420" w:type="dxa"/>
            <w:vAlign w:val="bottom"/>
          </w:tcPr>
          <w:p>
            <w:pPr>
              <w:ind w:left="120"/>
              <w:spacing w:after="0"/>
              <w:rPr>
                <w:sz w:val="20"/>
                <w:szCs w:val="20"/>
                <w:color w:val="auto"/>
              </w:rPr>
            </w:pPr>
            <w:r>
              <w:rPr>
                <w:rFonts w:ascii="Arial" w:cs="Arial" w:eastAsia="Arial" w:hAnsi="Arial"/>
                <w:sz w:val="22"/>
                <w:szCs w:val="22"/>
                <w:color w:val="auto"/>
              </w:rPr>
              <w:t>Free Cash Flow</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10,091</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2,876</w:t>
            </w:r>
          </w:p>
        </w:tc>
        <w:tc>
          <w:tcPr>
            <w:tcW w:w="80" w:type="dxa"/>
            <w:vAlign w:val="bottom"/>
          </w:tcPr>
          <w:p>
            <w:pPr>
              <w:spacing w:after="0"/>
              <w:rPr>
                <w:sz w:val="23"/>
                <w:szCs w:val="23"/>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48,100</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136,363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 - GUIDANCE</w:t>
      </w:r>
    </w:p>
    <w:p>
      <w:pPr>
        <w:ind w:left="5100"/>
        <w:spacing w:after="0" w:line="230" w:lineRule="auto"/>
        <w:rPr>
          <w:sz w:val="20"/>
          <w:szCs w:val="20"/>
          <w:color w:val="auto"/>
        </w:rPr>
      </w:pPr>
      <w:r>
        <w:rPr>
          <w:rFonts w:ascii="Arial" w:cs="Arial" w:eastAsia="Arial" w:hAnsi="Arial"/>
          <w:sz w:val="22"/>
          <w:szCs w:val="22"/>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8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rPr>
              <w:t>THREE MONTHS ENDING</w:t>
            </w: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8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rPr>
              <w:t>YEAR ENDING</w:t>
            </w:r>
          </w:p>
        </w:tc>
        <w:tc>
          <w:tcPr>
            <w:tcW w:w="460" w:type="dxa"/>
            <w:vAlign w:val="bottom"/>
          </w:tcPr>
          <w:p>
            <w:pPr>
              <w:spacing w:after="0"/>
              <w:rPr>
                <w:sz w:val="21"/>
                <w:szCs w:val="21"/>
                <w:color w:val="auto"/>
              </w:rPr>
            </w:pPr>
          </w:p>
        </w:tc>
      </w:tr>
      <w:tr>
        <w:trPr>
          <w:trHeight w:val="276"/>
        </w:trPr>
        <w:tc>
          <w:tcPr>
            <w:tcW w:w="3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2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94"/>
              </w:rPr>
              <w:t>MARCH 31, 2017</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40" w:type="dxa"/>
            <w:vAlign w:val="bottom"/>
            <w:gridSpan w:val="3"/>
          </w:tcPr>
          <w:p>
            <w:pPr>
              <w:jc w:val="center"/>
              <w:ind w:right="12"/>
              <w:spacing w:after="0"/>
              <w:rPr>
                <w:sz w:val="20"/>
                <w:szCs w:val="20"/>
                <w:color w:val="auto"/>
              </w:rPr>
            </w:pPr>
            <w:r>
              <w:rPr>
                <w:rFonts w:ascii="Arial" w:cs="Arial" w:eastAsia="Arial" w:hAnsi="Arial"/>
                <w:sz w:val="22"/>
                <w:szCs w:val="22"/>
                <w:b w:val="1"/>
                <w:bCs w:val="1"/>
                <w:color w:val="auto"/>
                <w:w w:val="93"/>
              </w:rPr>
              <w:t>DECEMBER 31, 2017</w:t>
            </w:r>
          </w:p>
        </w:tc>
      </w:tr>
      <w:tr>
        <w:trPr>
          <w:trHeight w:val="275"/>
        </w:trPr>
        <w:tc>
          <w:tcPr>
            <w:tcW w:w="3080" w:type="dxa"/>
            <w:vAlign w:val="bottom"/>
          </w:tcPr>
          <w:p>
            <w:pPr>
              <w:spacing w:after="0"/>
              <w:rPr>
                <w:sz w:val="20"/>
                <w:szCs w:val="20"/>
                <w:color w:val="auto"/>
              </w:rPr>
            </w:pPr>
            <w:r>
              <w:rPr>
                <w:rFonts w:ascii="Arial" w:cs="Arial" w:eastAsia="Arial" w:hAnsi="Arial"/>
                <w:sz w:val="22"/>
                <w:szCs w:val="22"/>
                <w:color w:val="auto"/>
              </w:rPr>
              <w:t>EBITDA Range (1)</w:t>
            </w:r>
          </w:p>
        </w:tc>
        <w:tc>
          <w:tcPr>
            <w:tcW w:w="16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460" w:type="dxa"/>
            <w:vAlign w:val="bottom"/>
          </w:tcPr>
          <w:p>
            <w:pPr>
              <w:jc w:val="right"/>
              <w:ind w:right="232"/>
              <w:spacing w:after="0"/>
              <w:rPr>
                <w:sz w:val="20"/>
                <w:szCs w:val="20"/>
                <w:color w:val="auto"/>
              </w:rPr>
            </w:pPr>
            <w:r>
              <w:rPr>
                <w:rFonts w:ascii="Arial" w:cs="Arial" w:eastAsia="Arial" w:hAnsi="Arial"/>
                <w:sz w:val="22"/>
                <w:szCs w:val="22"/>
                <w:color w:val="auto"/>
              </w:rPr>
              <w:t>16.0</w:t>
            </w:r>
          </w:p>
        </w:tc>
        <w:tc>
          <w:tcPr>
            <w:tcW w:w="1360" w:type="dxa"/>
            <w:vAlign w:val="bottom"/>
          </w:tcPr>
          <w:p>
            <w:pPr>
              <w:jc w:val="right"/>
              <w:ind w:right="812"/>
              <w:spacing w:after="0"/>
              <w:rPr>
                <w:sz w:val="20"/>
                <w:szCs w:val="20"/>
                <w:color w:val="auto"/>
              </w:rPr>
            </w:pPr>
            <w:r>
              <w:rPr>
                <w:rFonts w:ascii="Arial" w:cs="Arial" w:eastAsia="Arial" w:hAnsi="Arial"/>
                <w:sz w:val="22"/>
                <w:szCs w:val="22"/>
                <w:color w:val="auto"/>
              </w:rPr>
              <w:t>$</w:t>
            </w:r>
          </w:p>
        </w:tc>
        <w:tc>
          <w:tcPr>
            <w:tcW w:w="620" w:type="dxa"/>
            <w:vAlign w:val="bottom"/>
          </w:tcPr>
          <w:p>
            <w:pPr>
              <w:jc w:val="right"/>
              <w:ind w:right="132"/>
              <w:spacing w:after="0"/>
              <w:rPr>
                <w:sz w:val="20"/>
                <w:szCs w:val="20"/>
                <w:color w:val="auto"/>
              </w:rPr>
            </w:pPr>
            <w:r>
              <w:rPr>
                <w:rFonts w:ascii="Arial" w:cs="Arial" w:eastAsia="Arial" w:hAnsi="Arial"/>
                <w:sz w:val="22"/>
                <w:szCs w:val="22"/>
                <w:color w:val="auto"/>
                <w:w w:val="83"/>
              </w:rPr>
              <w:t>19.0</w:t>
            </w:r>
          </w:p>
        </w:tc>
        <w:tc>
          <w:tcPr>
            <w:tcW w:w="5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132"/>
              <w:spacing w:after="0"/>
              <w:rPr>
                <w:sz w:val="20"/>
                <w:szCs w:val="20"/>
                <w:color w:val="auto"/>
              </w:rPr>
            </w:pPr>
            <w:r>
              <w:rPr>
                <w:rFonts w:ascii="Arial" w:cs="Arial" w:eastAsia="Arial" w:hAnsi="Arial"/>
                <w:sz w:val="22"/>
                <w:szCs w:val="22"/>
                <w:color w:val="auto"/>
              </w:rPr>
              <w:t>60.0</w:t>
            </w:r>
          </w:p>
        </w:tc>
        <w:tc>
          <w:tcPr>
            <w:tcW w:w="9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460" w:type="dxa"/>
            <w:vAlign w:val="bottom"/>
          </w:tcPr>
          <w:p>
            <w:pPr>
              <w:jc w:val="right"/>
              <w:spacing w:after="0"/>
              <w:rPr>
                <w:sz w:val="20"/>
                <w:szCs w:val="20"/>
                <w:color w:val="auto"/>
              </w:rPr>
            </w:pPr>
            <w:r>
              <w:rPr>
                <w:rFonts w:ascii="Arial" w:cs="Arial" w:eastAsia="Arial" w:hAnsi="Arial"/>
                <w:sz w:val="22"/>
                <w:szCs w:val="22"/>
                <w:color w:val="auto"/>
              </w:rPr>
              <w:t>65.0</w:t>
            </w:r>
          </w:p>
        </w:tc>
      </w:tr>
    </w:tbl>
    <w:p>
      <w:pPr>
        <w:spacing w:after="0" w:line="266" w:lineRule="exact"/>
        <w:rPr>
          <w:sz w:val="20"/>
          <w:szCs w:val="20"/>
          <w:color w:val="auto"/>
        </w:rPr>
      </w:pPr>
    </w:p>
    <w:p>
      <w:pPr>
        <w:ind w:right="60" w:firstLine="2"/>
        <w:spacing w:after="0" w:line="328" w:lineRule="auto"/>
        <w:tabs>
          <w:tab w:leader="none" w:pos="306"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following table sets forth a reconciliation of estimated EBITDA to estimated net loss, which is the most directly comparable measure of financial performance calculated under generally accepted accounting principles (in millions) (unaudited):</w:t>
      </w:r>
    </w:p>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3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580" w:type="dxa"/>
            <w:vAlign w:val="bottom"/>
            <w:gridSpan w:val="5"/>
          </w:tcPr>
          <w:p>
            <w:pPr>
              <w:jc w:val="center"/>
              <w:ind w:right="640"/>
              <w:spacing w:after="0"/>
              <w:rPr>
                <w:sz w:val="20"/>
                <w:szCs w:val="20"/>
                <w:color w:val="auto"/>
              </w:rPr>
            </w:pPr>
            <w:r>
              <w:rPr>
                <w:rFonts w:ascii="Arial" w:cs="Arial" w:eastAsia="Arial" w:hAnsi="Arial"/>
                <w:sz w:val="22"/>
                <w:szCs w:val="22"/>
                <w:b w:val="1"/>
                <w:bCs w:val="1"/>
                <w:color w:val="auto"/>
              </w:rPr>
              <w:t>THREE MONTHS ENDING</w:t>
            </w:r>
          </w:p>
        </w:tc>
        <w:tc>
          <w:tcPr>
            <w:tcW w:w="360" w:type="dxa"/>
            <w:vAlign w:val="bottom"/>
          </w:tcPr>
          <w:p>
            <w:pPr>
              <w:spacing w:after="0"/>
              <w:rPr>
                <w:sz w:val="21"/>
                <w:szCs w:val="21"/>
                <w:color w:val="auto"/>
              </w:rPr>
            </w:pPr>
          </w:p>
        </w:tc>
        <w:tc>
          <w:tcPr>
            <w:tcW w:w="1940" w:type="dxa"/>
            <w:vAlign w:val="bottom"/>
            <w:gridSpan w:val="3"/>
          </w:tcPr>
          <w:p>
            <w:pPr>
              <w:jc w:val="center"/>
              <w:ind w:left="212"/>
              <w:spacing w:after="0"/>
              <w:rPr>
                <w:sz w:val="20"/>
                <w:szCs w:val="20"/>
                <w:color w:val="auto"/>
              </w:rPr>
            </w:pPr>
            <w:r>
              <w:rPr>
                <w:rFonts w:ascii="Arial" w:cs="Arial" w:eastAsia="Arial" w:hAnsi="Arial"/>
                <w:sz w:val="22"/>
                <w:szCs w:val="22"/>
                <w:b w:val="1"/>
                <w:bCs w:val="1"/>
                <w:color w:val="auto"/>
              </w:rPr>
              <w:t>YEAR ENDING</w:t>
            </w:r>
          </w:p>
        </w:tc>
        <w:tc>
          <w:tcPr>
            <w:tcW w:w="740" w:type="dxa"/>
            <w:vAlign w:val="bottom"/>
          </w:tcPr>
          <w:p>
            <w:pPr>
              <w:spacing w:after="0"/>
              <w:rPr>
                <w:sz w:val="21"/>
                <w:szCs w:val="21"/>
                <w:color w:val="auto"/>
              </w:rPr>
            </w:pPr>
          </w:p>
        </w:tc>
      </w:tr>
      <w:tr>
        <w:trPr>
          <w:trHeight w:val="270"/>
        </w:trPr>
        <w:tc>
          <w:tcPr>
            <w:tcW w:w="3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540" w:type="dxa"/>
            <w:vAlign w:val="bottom"/>
            <w:gridSpan w:val="3"/>
          </w:tcPr>
          <w:p>
            <w:pPr>
              <w:jc w:val="center"/>
              <w:ind w:left="352"/>
              <w:spacing w:after="0"/>
              <w:rPr>
                <w:sz w:val="20"/>
                <w:szCs w:val="20"/>
                <w:color w:val="auto"/>
              </w:rPr>
            </w:pPr>
            <w:r>
              <w:rPr>
                <w:rFonts w:ascii="Arial" w:cs="Arial" w:eastAsia="Arial" w:hAnsi="Arial"/>
                <w:sz w:val="22"/>
                <w:szCs w:val="22"/>
                <w:b w:val="1"/>
                <w:bCs w:val="1"/>
                <w:color w:val="auto"/>
                <w:w w:val="94"/>
              </w:rPr>
              <w:t>MARCH 31, 2017</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80" w:type="dxa"/>
            <w:vAlign w:val="bottom"/>
            <w:gridSpan w:val="4"/>
          </w:tcPr>
          <w:p>
            <w:pPr>
              <w:jc w:val="center"/>
              <w:ind w:right="252"/>
              <w:spacing w:after="0"/>
              <w:rPr>
                <w:sz w:val="20"/>
                <w:szCs w:val="20"/>
                <w:color w:val="auto"/>
              </w:rPr>
            </w:pPr>
            <w:r>
              <w:rPr>
                <w:rFonts w:ascii="Arial" w:cs="Arial" w:eastAsia="Arial" w:hAnsi="Arial"/>
                <w:sz w:val="22"/>
                <w:szCs w:val="22"/>
                <w:b w:val="1"/>
                <w:bCs w:val="1"/>
                <w:color w:val="auto"/>
                <w:w w:val="93"/>
              </w:rPr>
              <w:t>DECEMBER 31, 2017</w:t>
            </w:r>
          </w:p>
        </w:tc>
      </w:tr>
      <w:tr>
        <w:trPr>
          <w:trHeight w:val="281"/>
        </w:trPr>
        <w:tc>
          <w:tcPr>
            <w:tcW w:w="3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40" w:type="dxa"/>
            <w:vAlign w:val="bottom"/>
            <w:gridSpan w:val="3"/>
          </w:tcPr>
          <w:p>
            <w:pPr>
              <w:jc w:val="center"/>
              <w:ind w:left="352"/>
              <w:spacing w:after="0"/>
              <w:rPr>
                <w:sz w:val="20"/>
                <w:szCs w:val="20"/>
                <w:color w:val="auto"/>
              </w:rPr>
            </w:pPr>
            <w:r>
              <w:rPr>
                <w:rFonts w:ascii="Arial" w:cs="Arial" w:eastAsia="Arial" w:hAnsi="Arial"/>
                <w:sz w:val="22"/>
                <w:szCs w:val="22"/>
                <w:b w:val="1"/>
                <w:bCs w:val="1"/>
                <w:color w:val="auto"/>
                <w:w w:val="88"/>
              </w:rPr>
              <w:t>(estimated)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88"/>
              </w:rPr>
              <w:t>(estimated)</w:t>
            </w:r>
          </w:p>
        </w:tc>
        <w:tc>
          <w:tcPr>
            <w:tcW w:w="740" w:type="dxa"/>
            <w:vAlign w:val="bottom"/>
          </w:tcPr>
          <w:p>
            <w:pPr>
              <w:spacing w:after="0"/>
              <w:rPr>
                <w:sz w:val="24"/>
                <w:szCs w:val="24"/>
                <w:color w:val="auto"/>
              </w:rPr>
            </w:pPr>
          </w:p>
        </w:tc>
      </w:tr>
      <w:tr>
        <w:trPr>
          <w:trHeight w:val="536"/>
        </w:trPr>
        <w:tc>
          <w:tcPr>
            <w:tcW w:w="3960" w:type="dxa"/>
            <w:vAlign w:val="bottom"/>
          </w:tcPr>
          <w:p>
            <w:pPr>
              <w:spacing w:after="0"/>
              <w:rPr>
                <w:sz w:val="20"/>
                <w:szCs w:val="20"/>
                <w:color w:val="auto"/>
              </w:rPr>
            </w:pPr>
            <w:r>
              <w:rPr>
                <w:rFonts w:ascii="Arial" w:cs="Arial" w:eastAsia="Arial" w:hAnsi="Arial"/>
                <w:sz w:val="22"/>
                <w:szCs w:val="22"/>
                <w:color w:val="auto"/>
              </w:rPr>
              <w:t>Net loss</w:t>
            </w:r>
          </w:p>
        </w:tc>
        <w:tc>
          <w:tcPr>
            <w:tcW w:w="4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52"/>
              <w:spacing w:after="0"/>
              <w:rPr>
                <w:sz w:val="20"/>
                <w:szCs w:val="20"/>
                <w:color w:val="auto"/>
              </w:rPr>
            </w:pPr>
            <w:r>
              <w:rPr>
                <w:rFonts w:ascii="Arial" w:cs="Arial" w:eastAsia="Arial" w:hAnsi="Arial"/>
                <w:sz w:val="22"/>
                <w:szCs w:val="22"/>
                <w:color w:val="auto"/>
              </w:rPr>
              <w:t>(19.5)</w:t>
            </w:r>
          </w:p>
        </w:tc>
        <w:tc>
          <w:tcPr>
            <w:tcW w:w="200" w:type="dxa"/>
            <w:vAlign w:val="bottom"/>
          </w:tcPr>
          <w:p>
            <w:pPr>
              <w:spacing w:after="0"/>
              <w:rPr>
                <w:sz w:val="24"/>
                <w:szCs w:val="24"/>
                <w:color w:val="auto"/>
              </w:rPr>
            </w:pPr>
          </w:p>
        </w:tc>
        <w:tc>
          <w:tcPr>
            <w:tcW w:w="98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940" w:type="dxa"/>
            <w:vAlign w:val="bottom"/>
          </w:tcPr>
          <w:p>
            <w:pPr>
              <w:jc w:val="right"/>
              <w:ind w:right="92"/>
              <w:spacing w:after="0"/>
              <w:rPr>
                <w:sz w:val="20"/>
                <w:szCs w:val="20"/>
                <w:color w:val="auto"/>
              </w:rPr>
            </w:pPr>
            <w:r>
              <w:rPr>
                <w:rFonts w:ascii="Arial" w:cs="Arial" w:eastAsia="Arial" w:hAnsi="Arial"/>
                <w:sz w:val="22"/>
                <w:szCs w:val="22"/>
                <w:color w:val="auto"/>
              </w:rPr>
              <w:t>(15.5)</w:t>
            </w:r>
          </w:p>
        </w:tc>
        <w:tc>
          <w:tcPr>
            <w:tcW w:w="100" w:type="dxa"/>
            <w:vAlign w:val="bottom"/>
          </w:tcPr>
          <w:p>
            <w:pPr>
              <w:spacing w:after="0"/>
              <w:rPr>
                <w:sz w:val="24"/>
                <w:szCs w:val="24"/>
                <w:color w:val="auto"/>
              </w:rPr>
            </w:pPr>
          </w:p>
        </w:tc>
        <w:tc>
          <w:tcPr>
            <w:tcW w:w="3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(75.0)</w:t>
            </w:r>
          </w:p>
        </w:tc>
        <w:tc>
          <w:tcPr>
            <w:tcW w:w="140" w:type="dxa"/>
            <w:vAlign w:val="bottom"/>
          </w:tcPr>
          <w:p>
            <w:pPr>
              <w:spacing w:after="0"/>
              <w:rPr>
                <w:sz w:val="24"/>
                <w:szCs w:val="24"/>
                <w:color w:val="auto"/>
              </w:rPr>
            </w:pPr>
          </w:p>
        </w:tc>
        <w:tc>
          <w:tcPr>
            <w:tcW w:w="780" w:type="dxa"/>
            <w:vAlign w:val="bottom"/>
          </w:tcPr>
          <w:p>
            <w:pPr>
              <w:jc w:val="right"/>
              <w:ind w:right="432"/>
              <w:spacing w:after="0"/>
              <w:rPr>
                <w:sz w:val="20"/>
                <w:szCs w:val="20"/>
                <w:color w:val="auto"/>
              </w:rPr>
            </w:pPr>
            <w:r>
              <w:rPr>
                <w:rFonts w:ascii="Arial" w:cs="Arial" w:eastAsia="Arial" w:hAnsi="Arial"/>
                <w:sz w:val="22"/>
                <w:szCs w:val="22"/>
                <w:color w:val="auto"/>
              </w:rPr>
              <w:t>$</w:t>
            </w:r>
          </w:p>
        </w:tc>
        <w:tc>
          <w:tcPr>
            <w:tcW w:w="740" w:type="dxa"/>
            <w:vAlign w:val="bottom"/>
          </w:tcPr>
          <w:p>
            <w:pPr>
              <w:jc w:val="right"/>
              <w:ind w:right="52"/>
              <w:spacing w:after="0"/>
              <w:rPr>
                <w:sz w:val="20"/>
                <w:szCs w:val="20"/>
                <w:color w:val="auto"/>
              </w:rPr>
            </w:pPr>
            <w:r>
              <w:rPr>
                <w:rFonts w:ascii="Arial" w:cs="Arial" w:eastAsia="Arial" w:hAnsi="Arial"/>
                <w:sz w:val="22"/>
                <w:szCs w:val="22"/>
                <w:color w:val="auto"/>
                <w:w w:val="97"/>
              </w:rPr>
              <w:t>(72.0)</w:t>
            </w:r>
          </w:p>
        </w:tc>
      </w:tr>
      <w:tr>
        <w:trPr>
          <w:trHeight w:val="270"/>
        </w:trPr>
        <w:tc>
          <w:tcPr>
            <w:tcW w:w="3960" w:type="dxa"/>
            <w:vAlign w:val="bottom"/>
          </w:tcPr>
          <w:p>
            <w:pPr>
              <w:spacing w:after="0"/>
              <w:rPr>
                <w:sz w:val="20"/>
                <w:szCs w:val="20"/>
                <w:color w:val="auto"/>
              </w:rPr>
            </w:pPr>
            <w:r>
              <w:rPr>
                <w:rFonts w:ascii="Arial" w:cs="Arial" w:eastAsia="Arial" w:hAnsi="Arial"/>
                <w:sz w:val="22"/>
                <w:szCs w:val="22"/>
                <w:color w:val="auto"/>
              </w:rPr>
              <w:t>Income tax benefit</w:t>
            </w:r>
          </w:p>
        </w:tc>
        <w:tc>
          <w:tcPr>
            <w:tcW w:w="480" w:type="dxa"/>
            <w:vAlign w:val="bottom"/>
          </w:tcPr>
          <w:p>
            <w:pPr>
              <w:spacing w:after="0"/>
              <w:rPr>
                <w:sz w:val="23"/>
                <w:szCs w:val="23"/>
                <w:color w:val="auto"/>
              </w:rPr>
            </w:pPr>
          </w:p>
        </w:tc>
        <w:tc>
          <w:tcPr>
            <w:tcW w:w="1360" w:type="dxa"/>
            <w:vAlign w:val="bottom"/>
          </w:tcPr>
          <w:p>
            <w:pPr>
              <w:jc w:val="right"/>
              <w:ind w:right="52"/>
              <w:spacing w:after="0"/>
              <w:rPr>
                <w:sz w:val="20"/>
                <w:szCs w:val="20"/>
                <w:color w:val="auto"/>
              </w:rPr>
            </w:pPr>
            <w:r>
              <w:rPr>
                <w:rFonts w:ascii="Arial" w:cs="Arial" w:eastAsia="Arial" w:hAnsi="Arial"/>
                <w:sz w:val="22"/>
                <w:szCs w:val="22"/>
                <w:color w:val="auto"/>
              </w:rPr>
              <w:t>(1.0)</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22"/>
                <w:szCs w:val="22"/>
                <w:color w:val="auto"/>
              </w:rPr>
              <w:t>(2.0)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(10.0)</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jc w:val="right"/>
              <w:ind w:right="52"/>
              <w:spacing w:after="0"/>
              <w:rPr>
                <w:sz w:val="20"/>
                <w:szCs w:val="20"/>
                <w:color w:val="auto"/>
              </w:rPr>
            </w:pPr>
            <w:r>
              <w:rPr>
                <w:rFonts w:ascii="Arial" w:cs="Arial" w:eastAsia="Arial" w:hAnsi="Arial"/>
                <w:sz w:val="22"/>
                <w:szCs w:val="22"/>
                <w:color w:val="auto"/>
              </w:rPr>
              <w:t>(8.0)</w:t>
            </w:r>
          </w:p>
        </w:tc>
      </w:tr>
      <w:tr>
        <w:trPr>
          <w:trHeight w:val="270"/>
        </w:trPr>
        <w:tc>
          <w:tcPr>
            <w:tcW w:w="39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480" w:type="dxa"/>
            <w:vAlign w:val="bottom"/>
          </w:tcPr>
          <w:p>
            <w:pPr>
              <w:spacing w:after="0"/>
              <w:rPr>
                <w:sz w:val="23"/>
                <w:szCs w:val="23"/>
                <w:color w:val="auto"/>
              </w:rPr>
            </w:pPr>
          </w:p>
        </w:tc>
        <w:tc>
          <w:tcPr>
            <w:tcW w:w="1360" w:type="dxa"/>
            <w:vAlign w:val="bottom"/>
          </w:tcPr>
          <w:p>
            <w:pPr>
              <w:jc w:val="right"/>
              <w:ind w:right="132"/>
              <w:spacing w:after="0"/>
              <w:rPr>
                <w:sz w:val="20"/>
                <w:szCs w:val="20"/>
                <w:color w:val="auto"/>
              </w:rPr>
            </w:pPr>
            <w:r>
              <w:rPr>
                <w:rFonts w:ascii="Arial" w:cs="Arial" w:eastAsia="Arial" w:hAnsi="Arial"/>
                <w:sz w:val="22"/>
                <w:szCs w:val="22"/>
                <w:color w:val="auto"/>
              </w:rPr>
              <w:t>31.0</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jc w:val="right"/>
              <w:ind w:right="172"/>
              <w:spacing w:after="0"/>
              <w:rPr>
                <w:sz w:val="20"/>
                <w:szCs w:val="20"/>
                <w:color w:val="auto"/>
              </w:rPr>
            </w:pPr>
            <w:r>
              <w:rPr>
                <w:rFonts w:ascii="Arial" w:cs="Arial" w:eastAsia="Arial" w:hAnsi="Arial"/>
                <w:sz w:val="22"/>
                <w:szCs w:val="22"/>
                <w:color w:val="auto"/>
              </w:rPr>
              <w:t>31.0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124.0</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22"/>
                <w:szCs w:val="22"/>
                <w:color w:val="auto"/>
                <w:w w:val="87"/>
              </w:rPr>
              <w:t>124.0</w:t>
            </w:r>
          </w:p>
        </w:tc>
      </w:tr>
      <w:tr>
        <w:trPr>
          <w:trHeight w:val="276"/>
        </w:trPr>
        <w:tc>
          <w:tcPr>
            <w:tcW w:w="3960" w:type="dxa"/>
            <w:vAlign w:val="bottom"/>
          </w:tcPr>
          <w:p>
            <w:pPr>
              <w:spacing w:after="0"/>
              <w:rPr>
                <w:sz w:val="20"/>
                <w:szCs w:val="20"/>
                <w:color w:val="auto"/>
              </w:rPr>
            </w:pPr>
            <w:r>
              <w:rPr>
                <w:rFonts w:ascii="Arial" w:cs="Arial" w:eastAsia="Arial" w:hAnsi="Arial"/>
                <w:sz w:val="22"/>
                <w:szCs w:val="22"/>
                <w:color w:val="auto"/>
              </w:rPr>
              <w:t>Interest expense</w:t>
            </w:r>
          </w:p>
        </w:tc>
        <w:tc>
          <w:tcPr>
            <w:tcW w:w="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5.5</w:t>
            </w:r>
          </w:p>
        </w:tc>
        <w:tc>
          <w:tcPr>
            <w:tcW w:w="2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5.5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21.0</w:t>
            </w: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21.0</w:t>
            </w:r>
          </w:p>
        </w:tc>
      </w:tr>
      <w:tr>
        <w:trPr>
          <w:trHeight w:val="265"/>
        </w:trPr>
        <w:tc>
          <w:tcPr>
            <w:tcW w:w="3960" w:type="dxa"/>
            <w:vAlign w:val="bottom"/>
          </w:tcPr>
          <w:p>
            <w:pPr>
              <w:ind w:left="140"/>
              <w:spacing w:after="0"/>
              <w:rPr>
                <w:sz w:val="20"/>
                <w:szCs w:val="20"/>
                <w:color w:val="auto"/>
              </w:rPr>
            </w:pPr>
            <w:r>
              <w:rPr>
                <w:rFonts w:ascii="Arial" w:cs="Arial" w:eastAsia="Arial" w:hAnsi="Arial"/>
                <w:sz w:val="22"/>
                <w:szCs w:val="22"/>
                <w:color w:val="auto"/>
              </w:rPr>
              <w:t>EBITDA</w:t>
            </w: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16.0</w:t>
            </w:r>
          </w:p>
        </w:tc>
        <w:tc>
          <w:tcPr>
            <w:tcW w:w="200" w:type="dxa"/>
            <w:vAlign w:val="bottom"/>
          </w:tcPr>
          <w:p>
            <w:pPr>
              <w:spacing w:after="0"/>
              <w:rPr>
                <w:sz w:val="23"/>
                <w:szCs w:val="23"/>
                <w:color w:val="auto"/>
              </w:rPr>
            </w:pP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19.0</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60.0</w:t>
            </w:r>
          </w:p>
        </w:tc>
        <w:tc>
          <w:tcPr>
            <w:tcW w:w="140" w:type="dxa"/>
            <w:vAlign w:val="bottom"/>
          </w:tcPr>
          <w:p>
            <w:pPr>
              <w:spacing w:after="0"/>
              <w:rPr>
                <w:sz w:val="23"/>
                <w:szCs w:val="23"/>
                <w:color w:val="auto"/>
              </w:rPr>
            </w:pPr>
          </w:p>
        </w:tc>
        <w:tc>
          <w:tcPr>
            <w:tcW w:w="78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65.0</w:t>
            </w:r>
          </w:p>
        </w:tc>
      </w:tr>
      <w:tr>
        <w:trPr>
          <w:trHeight w:val="21"/>
        </w:trPr>
        <w:tc>
          <w:tcPr>
            <w:tcW w:w="3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20"/>
        <w:spacing w:after="0" w:line="234" w:lineRule="auto"/>
        <w:rPr>
          <w:sz w:val="20"/>
          <w:szCs w:val="20"/>
          <w:color w:val="auto"/>
        </w:rPr>
      </w:pPr>
      <w:r>
        <w:rPr>
          <w:rFonts w:ascii="Arial" w:cs="Arial" w:eastAsia="Arial" w:hAnsi="Arial"/>
          <w:sz w:val="22"/>
          <w:szCs w:val="22"/>
          <w:b w:val="1"/>
          <w:bCs w:val="1"/>
          <w:color w:val="auto"/>
        </w:rPr>
        <w:t>SUPPLEMENTAL QUARTERLY SEGMENT AND OPERATING DATA (U.S. dollars in thousands, except for room counts and average daily rates) (unaudited)</w:t>
      </w:r>
    </w:p>
    <w:p>
      <w:pPr>
        <w:spacing w:after="0" w:line="262" w:lineRule="exact"/>
        <w:rPr>
          <w:sz w:val="20"/>
          <w:szCs w:val="20"/>
          <w:color w:val="auto"/>
        </w:rPr>
      </w:pPr>
    </w:p>
    <w:p>
      <w:pPr>
        <w:ind w:left="5400"/>
        <w:spacing w:after="0"/>
        <w:tabs>
          <w:tab w:leader="none" w:pos="8340" w:val="left"/>
        </w:tabs>
        <w:rPr>
          <w:sz w:val="20"/>
          <w:szCs w:val="20"/>
          <w:color w:val="auto"/>
        </w:rPr>
      </w:pPr>
      <w:r>
        <w:rPr>
          <w:rFonts w:ascii="Arial" w:cs="Arial" w:eastAsia="Arial" w:hAnsi="Arial"/>
          <w:sz w:val="22"/>
          <w:szCs w:val="22"/>
          <w:b w:val="1"/>
          <w:bCs w:val="1"/>
          <w:color w:val="auto"/>
        </w:rPr>
        <w:t>THREE MONTHS ENDED</w:t>
      </w:r>
      <w:r>
        <w:rPr>
          <w:sz w:val="20"/>
          <w:szCs w:val="20"/>
          <w:color w:val="auto"/>
        </w:rPr>
        <w:tab/>
      </w:r>
      <w:r>
        <w:rPr>
          <w:rFonts w:ascii="Arial" w:cs="Arial" w:eastAsia="Arial" w:hAnsi="Arial"/>
          <w:sz w:val="21"/>
          <w:szCs w:val="21"/>
          <w:b w:val="1"/>
          <w:bCs w:val="1"/>
          <w:color w:val="auto"/>
        </w:rPr>
        <w:t>TWELVE MONTHS ENDED</w:t>
      </w:r>
    </w:p>
    <w:p>
      <w:pPr>
        <w:sectPr>
          <w:pgSz w:w="11900" w:h="16838" w:orient="portrait"/>
          <w:cols w:equalWidth="0" w:num="1">
            <w:col w:w="11320"/>
          </w:cols>
          <w:pgMar w:left="260" w:top="118" w:right="319" w:bottom="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271"/>
        </w:trPr>
        <w:tc>
          <w:tcPr>
            <w:tcW w:w="5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0" w:type="dxa"/>
            <w:vAlign w:val="bottom"/>
            <w:gridSpan w:val="5"/>
          </w:tcPr>
          <w:p>
            <w:pPr>
              <w:ind w:left="340"/>
              <w:spacing w:after="0"/>
              <w:rPr>
                <w:sz w:val="20"/>
                <w:szCs w:val="20"/>
                <w:color w:val="auto"/>
              </w:rPr>
            </w:pPr>
            <w:r>
              <w:rPr>
                <w:rFonts w:ascii="Arial" w:cs="Arial" w:eastAsia="Arial" w:hAnsi="Arial"/>
                <w:sz w:val="22"/>
                <w:szCs w:val="22"/>
                <w:b w:val="1"/>
                <w:bCs w:val="1"/>
                <w:color w:val="auto"/>
              </w:rPr>
              <w:t>DECEMBER 31,</w:t>
            </w:r>
          </w:p>
        </w:tc>
        <w:tc>
          <w:tcPr>
            <w:tcW w:w="280" w:type="dxa"/>
            <w:vAlign w:val="bottom"/>
          </w:tcPr>
          <w:p>
            <w:pPr>
              <w:spacing w:after="0"/>
              <w:rPr>
                <w:sz w:val="23"/>
                <w:szCs w:val="23"/>
                <w:color w:val="auto"/>
              </w:rPr>
            </w:pPr>
          </w:p>
        </w:tc>
        <w:tc>
          <w:tcPr>
            <w:tcW w:w="2860" w:type="dxa"/>
            <w:vAlign w:val="bottom"/>
            <w:gridSpan w:val="4"/>
          </w:tcPr>
          <w:p>
            <w:pPr>
              <w:jc w:val="right"/>
              <w:ind w:right="672"/>
              <w:spacing w:after="0"/>
              <w:rPr>
                <w:sz w:val="20"/>
                <w:szCs w:val="20"/>
                <w:color w:val="auto"/>
              </w:rPr>
            </w:pPr>
            <w:r>
              <w:rPr>
                <w:rFonts w:ascii="Arial" w:cs="Arial" w:eastAsia="Arial" w:hAnsi="Arial"/>
                <w:sz w:val="22"/>
                <w:szCs w:val="22"/>
                <w:b w:val="1"/>
                <w:bCs w:val="1"/>
                <w:color w:val="auto"/>
              </w:rPr>
              <w:t>DECEMBER 31,</w:t>
            </w:r>
          </w:p>
        </w:tc>
      </w:tr>
      <w:tr>
        <w:trPr>
          <w:trHeight w:val="281"/>
        </w:trPr>
        <w:tc>
          <w:tcPr>
            <w:tcW w:w="5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2015</w:t>
            </w:r>
          </w:p>
        </w:tc>
      </w:tr>
      <w:tr>
        <w:trPr>
          <w:trHeight w:val="529"/>
        </w:trPr>
        <w:tc>
          <w:tcPr>
            <w:tcW w:w="5300" w:type="dxa"/>
            <w:vAlign w:val="bottom"/>
          </w:tcPr>
          <w:p>
            <w:pPr>
              <w:spacing w:after="0"/>
              <w:rPr>
                <w:sz w:val="20"/>
                <w:szCs w:val="20"/>
                <w:color w:val="auto"/>
              </w:rPr>
            </w:pPr>
            <w:r>
              <w:rPr>
                <w:rFonts w:ascii="Arial" w:cs="Arial" w:eastAsia="Arial" w:hAnsi="Arial"/>
                <w:sz w:val="22"/>
                <w:szCs w:val="22"/>
                <w:b w:val="1"/>
                <w:bCs w:val="1"/>
                <w:color w:val="auto"/>
              </w:rPr>
              <w:t>Supplemental Operating Data - Canadian Segment</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5300" w:type="dxa"/>
            <w:vAlign w:val="bottom"/>
          </w:tcPr>
          <w:p>
            <w:pPr>
              <w:ind w:left="120"/>
              <w:spacing w:after="0"/>
              <w:rPr>
                <w:sz w:val="20"/>
                <w:szCs w:val="20"/>
                <w:color w:val="auto"/>
              </w:rPr>
            </w:pPr>
            <w:r>
              <w:rPr>
                <w:rFonts w:ascii="Arial" w:cs="Arial" w:eastAsia="Arial" w:hAnsi="Arial"/>
                <w:sz w:val="22"/>
                <w:szCs w:val="22"/>
                <w:color w:val="auto"/>
              </w:rPr>
              <w:t>Revenues</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5300" w:type="dxa"/>
            <w:vAlign w:val="bottom"/>
          </w:tcPr>
          <w:p>
            <w:pPr>
              <w:ind w:left="200"/>
              <w:spacing w:after="0"/>
              <w:rPr>
                <w:sz w:val="20"/>
                <w:szCs w:val="20"/>
                <w:color w:val="auto"/>
              </w:rPr>
            </w:pPr>
            <w:r>
              <w:rPr>
                <w:rFonts w:ascii="Arial" w:cs="Arial" w:eastAsia="Arial" w:hAnsi="Arial"/>
                <w:sz w:val="22"/>
                <w:szCs w:val="22"/>
                <w:color w:val="auto"/>
              </w:rPr>
              <w:t>Lodge revenues (1)</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192"/>
              <w:spacing w:after="0"/>
              <w:rPr>
                <w:sz w:val="20"/>
                <w:szCs w:val="20"/>
                <w:color w:val="auto"/>
              </w:rPr>
            </w:pPr>
            <w:r>
              <w:rPr>
                <w:rFonts w:ascii="Arial" w:cs="Arial" w:eastAsia="Arial" w:hAnsi="Arial"/>
                <w:sz w:val="22"/>
                <w:szCs w:val="22"/>
                <w:color w:val="auto"/>
              </w:rPr>
              <w:t>55,321</w:t>
            </w:r>
          </w:p>
        </w:tc>
        <w:tc>
          <w:tcPr>
            <w:tcW w:w="80" w:type="dxa"/>
            <w:vAlign w:val="bottom"/>
          </w:tcPr>
          <w:p>
            <w:pPr>
              <w:spacing w:after="0"/>
              <w:rPr>
                <w:sz w:val="23"/>
                <w:szCs w:val="23"/>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92"/>
              <w:spacing w:after="0"/>
              <w:rPr>
                <w:sz w:val="20"/>
                <w:szCs w:val="20"/>
                <w:color w:val="auto"/>
              </w:rPr>
            </w:pPr>
            <w:r>
              <w:rPr>
                <w:rFonts w:ascii="Arial" w:cs="Arial" w:eastAsia="Arial" w:hAnsi="Arial"/>
                <w:sz w:val="22"/>
                <w:szCs w:val="22"/>
                <w:color w:val="auto"/>
              </w:rPr>
              <w:t>53,590</w:t>
            </w:r>
          </w:p>
        </w:tc>
        <w:tc>
          <w:tcPr>
            <w:tcW w:w="8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192"/>
              <w:spacing w:after="0"/>
              <w:rPr>
                <w:sz w:val="20"/>
                <w:szCs w:val="20"/>
                <w:color w:val="auto"/>
              </w:rPr>
            </w:pPr>
            <w:r>
              <w:rPr>
                <w:rFonts w:ascii="Arial" w:cs="Arial" w:eastAsia="Arial" w:hAnsi="Arial"/>
                <w:sz w:val="22"/>
                <w:szCs w:val="22"/>
                <w:color w:val="auto"/>
              </w:rPr>
              <w:t>238,220</w:t>
            </w:r>
          </w:p>
        </w:tc>
        <w:tc>
          <w:tcPr>
            <w:tcW w:w="80" w:type="dxa"/>
            <w:vAlign w:val="bottom"/>
          </w:tcPr>
          <w:p>
            <w:pPr>
              <w:spacing w:after="0"/>
              <w:rPr>
                <w:sz w:val="23"/>
                <w:szCs w:val="23"/>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252"/>
              <w:spacing w:after="0"/>
              <w:rPr>
                <w:sz w:val="20"/>
                <w:szCs w:val="20"/>
                <w:color w:val="auto"/>
              </w:rPr>
            </w:pPr>
            <w:r>
              <w:rPr>
                <w:rFonts w:ascii="Arial" w:cs="Arial" w:eastAsia="Arial" w:hAnsi="Arial"/>
                <w:sz w:val="22"/>
                <w:szCs w:val="22"/>
                <w:color w:val="auto"/>
              </w:rPr>
              <w:t>267,486</w:t>
            </w:r>
          </w:p>
        </w:tc>
      </w:tr>
      <w:tr>
        <w:trPr>
          <w:trHeight w:val="275"/>
        </w:trPr>
        <w:tc>
          <w:tcPr>
            <w:tcW w:w="5300" w:type="dxa"/>
            <w:vAlign w:val="bottom"/>
          </w:tcPr>
          <w:p>
            <w:pPr>
              <w:ind w:left="200"/>
              <w:spacing w:after="0"/>
              <w:rPr>
                <w:sz w:val="20"/>
                <w:szCs w:val="20"/>
                <w:color w:val="auto"/>
              </w:rPr>
            </w:pPr>
            <w:r>
              <w:rPr>
                <w:rFonts w:ascii="Arial" w:cs="Arial" w:eastAsia="Arial" w:hAnsi="Arial"/>
                <w:sz w:val="22"/>
                <w:szCs w:val="22"/>
                <w:color w:val="auto"/>
              </w:rPr>
              <w:t>Mobile, open camp and product revenues</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6,975</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12,187</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40,244</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76,763</w:t>
            </w:r>
          </w:p>
        </w:tc>
      </w:tr>
      <w:tr>
        <w:trPr>
          <w:trHeight w:val="272"/>
        </w:trPr>
        <w:tc>
          <w:tcPr>
            <w:tcW w:w="5300" w:type="dxa"/>
            <w:vAlign w:val="bottom"/>
          </w:tcPr>
          <w:p>
            <w:pPr>
              <w:ind w:left="320"/>
              <w:spacing w:after="0"/>
              <w:rPr>
                <w:sz w:val="20"/>
                <w:szCs w:val="20"/>
                <w:color w:val="auto"/>
              </w:rPr>
            </w:pPr>
            <w:r>
              <w:rPr>
                <w:rFonts w:ascii="Arial" w:cs="Arial" w:eastAsia="Arial" w:hAnsi="Arial"/>
                <w:sz w:val="22"/>
                <w:szCs w:val="22"/>
                <w:color w:val="auto"/>
              </w:rPr>
              <w:t>Total Canadian revenues</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192"/>
              <w:spacing w:after="0"/>
              <w:rPr>
                <w:sz w:val="20"/>
                <w:szCs w:val="20"/>
                <w:color w:val="auto"/>
              </w:rPr>
            </w:pPr>
            <w:r>
              <w:rPr>
                <w:rFonts w:ascii="Arial" w:cs="Arial" w:eastAsia="Arial" w:hAnsi="Arial"/>
                <w:sz w:val="22"/>
                <w:szCs w:val="22"/>
                <w:color w:val="auto"/>
              </w:rPr>
              <w:t>62,296</w:t>
            </w:r>
          </w:p>
        </w:tc>
        <w:tc>
          <w:tcPr>
            <w:tcW w:w="80" w:type="dxa"/>
            <w:vAlign w:val="bottom"/>
          </w:tcPr>
          <w:p>
            <w:pPr>
              <w:spacing w:after="0"/>
              <w:rPr>
                <w:sz w:val="23"/>
                <w:szCs w:val="23"/>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92"/>
              <w:spacing w:after="0"/>
              <w:rPr>
                <w:sz w:val="20"/>
                <w:szCs w:val="20"/>
                <w:color w:val="auto"/>
              </w:rPr>
            </w:pPr>
            <w:r>
              <w:rPr>
                <w:rFonts w:ascii="Arial" w:cs="Arial" w:eastAsia="Arial" w:hAnsi="Arial"/>
                <w:sz w:val="22"/>
                <w:szCs w:val="22"/>
                <w:color w:val="auto"/>
              </w:rPr>
              <w:t>65,777</w:t>
            </w:r>
          </w:p>
        </w:tc>
        <w:tc>
          <w:tcPr>
            <w:tcW w:w="8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192"/>
              <w:spacing w:after="0"/>
              <w:rPr>
                <w:sz w:val="20"/>
                <w:szCs w:val="20"/>
                <w:color w:val="auto"/>
              </w:rPr>
            </w:pPr>
            <w:r>
              <w:rPr>
                <w:rFonts w:ascii="Arial" w:cs="Arial" w:eastAsia="Arial" w:hAnsi="Arial"/>
                <w:sz w:val="22"/>
                <w:szCs w:val="22"/>
                <w:color w:val="auto"/>
              </w:rPr>
              <w:t>278,464</w:t>
            </w:r>
          </w:p>
        </w:tc>
        <w:tc>
          <w:tcPr>
            <w:tcW w:w="80" w:type="dxa"/>
            <w:vAlign w:val="bottom"/>
          </w:tcPr>
          <w:p>
            <w:pPr>
              <w:spacing w:after="0"/>
              <w:rPr>
                <w:sz w:val="23"/>
                <w:szCs w:val="23"/>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252"/>
              <w:spacing w:after="0"/>
              <w:rPr>
                <w:sz w:val="20"/>
                <w:szCs w:val="20"/>
                <w:color w:val="auto"/>
              </w:rPr>
            </w:pPr>
            <w:r>
              <w:rPr>
                <w:rFonts w:ascii="Arial" w:cs="Arial" w:eastAsia="Arial" w:hAnsi="Arial"/>
                <w:sz w:val="22"/>
                <w:szCs w:val="22"/>
                <w:color w:val="auto"/>
              </w:rPr>
              <w:t>344,249</w:t>
            </w:r>
          </w:p>
        </w:tc>
      </w:tr>
      <w:tr>
        <w:trPr>
          <w:trHeight w:val="532"/>
        </w:trPr>
        <w:tc>
          <w:tcPr>
            <w:tcW w:w="5300" w:type="dxa"/>
            <w:vAlign w:val="bottom"/>
          </w:tcPr>
          <w:p>
            <w:pPr>
              <w:ind w:left="120"/>
              <w:spacing w:after="0"/>
              <w:rPr>
                <w:sz w:val="20"/>
                <w:szCs w:val="20"/>
                <w:color w:val="auto"/>
              </w:rPr>
            </w:pPr>
            <w:r>
              <w:rPr>
                <w:rFonts w:ascii="Arial" w:cs="Arial" w:eastAsia="Arial" w:hAnsi="Arial"/>
                <w:sz w:val="22"/>
                <w:szCs w:val="22"/>
                <w:color w:val="auto"/>
              </w:rPr>
              <w:t>Average available lodge rooms (2)</w:t>
            </w:r>
          </w:p>
        </w:tc>
        <w:tc>
          <w:tcPr>
            <w:tcW w:w="28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Arial" w:cs="Arial" w:eastAsia="Arial" w:hAnsi="Arial"/>
                <w:sz w:val="22"/>
                <w:szCs w:val="22"/>
                <w:color w:val="auto"/>
              </w:rPr>
              <w:t>14,670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92"/>
              <w:spacing w:after="0"/>
              <w:rPr>
                <w:sz w:val="20"/>
                <w:szCs w:val="20"/>
                <w:color w:val="auto"/>
              </w:rPr>
            </w:pPr>
            <w:r>
              <w:rPr>
                <w:rFonts w:ascii="Arial" w:cs="Arial" w:eastAsia="Arial" w:hAnsi="Arial"/>
                <w:sz w:val="22"/>
                <w:szCs w:val="22"/>
                <w:color w:val="auto"/>
              </w:rPr>
              <w:t>13,972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Arial" w:cs="Arial" w:eastAsia="Arial" w:hAnsi="Arial"/>
                <w:sz w:val="22"/>
                <w:szCs w:val="22"/>
                <w:color w:val="auto"/>
              </w:rPr>
              <w:t>14,653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252"/>
              <w:spacing w:after="0"/>
              <w:rPr>
                <w:sz w:val="20"/>
                <w:szCs w:val="20"/>
                <w:color w:val="auto"/>
              </w:rPr>
            </w:pPr>
            <w:r>
              <w:rPr>
                <w:rFonts w:ascii="Arial" w:cs="Arial" w:eastAsia="Arial" w:hAnsi="Arial"/>
                <w:sz w:val="22"/>
                <w:szCs w:val="22"/>
                <w:color w:val="auto"/>
              </w:rPr>
              <w:t>13,435</w:t>
            </w:r>
          </w:p>
        </w:tc>
      </w:tr>
      <w:tr>
        <w:trPr>
          <w:trHeight w:val="540"/>
        </w:trPr>
        <w:tc>
          <w:tcPr>
            <w:tcW w:w="5300" w:type="dxa"/>
            <w:vAlign w:val="bottom"/>
          </w:tcPr>
          <w:p>
            <w:pPr>
              <w:ind w:left="120"/>
              <w:spacing w:after="0"/>
              <w:rPr>
                <w:sz w:val="20"/>
                <w:szCs w:val="20"/>
                <w:color w:val="auto"/>
              </w:rPr>
            </w:pPr>
            <w:r>
              <w:rPr>
                <w:rFonts w:ascii="Arial" w:cs="Arial" w:eastAsia="Arial" w:hAnsi="Arial"/>
                <w:sz w:val="22"/>
                <w:szCs w:val="22"/>
                <w:color w:val="auto"/>
              </w:rPr>
              <w:t>Rentable rooms (3)</w:t>
            </w:r>
          </w:p>
        </w:tc>
        <w:tc>
          <w:tcPr>
            <w:tcW w:w="28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Arial" w:cs="Arial" w:eastAsia="Arial" w:hAnsi="Arial"/>
                <w:sz w:val="22"/>
                <w:szCs w:val="22"/>
                <w:color w:val="auto"/>
              </w:rPr>
              <w:t>9,324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92"/>
              <w:spacing w:after="0"/>
              <w:rPr>
                <w:sz w:val="20"/>
                <w:szCs w:val="20"/>
                <w:color w:val="auto"/>
              </w:rPr>
            </w:pPr>
            <w:r>
              <w:rPr>
                <w:rFonts w:ascii="Arial" w:cs="Arial" w:eastAsia="Arial" w:hAnsi="Arial"/>
                <w:sz w:val="22"/>
                <w:szCs w:val="22"/>
                <w:color w:val="auto"/>
              </w:rPr>
              <w:t>9,841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Arial" w:cs="Arial" w:eastAsia="Arial" w:hAnsi="Arial"/>
                <w:sz w:val="22"/>
                <w:szCs w:val="22"/>
                <w:color w:val="auto"/>
              </w:rPr>
              <w:t>9,979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252"/>
              <w:spacing w:after="0"/>
              <w:rPr>
                <w:sz w:val="20"/>
                <w:szCs w:val="20"/>
                <w:color w:val="auto"/>
              </w:rPr>
            </w:pPr>
            <w:r>
              <w:rPr>
                <w:rFonts w:ascii="Arial" w:cs="Arial" w:eastAsia="Arial" w:hAnsi="Arial"/>
                <w:sz w:val="22"/>
                <w:szCs w:val="22"/>
                <w:color w:val="auto"/>
              </w:rPr>
              <w:t>10,054</w:t>
            </w:r>
          </w:p>
        </w:tc>
      </w:tr>
      <w:tr>
        <w:trPr>
          <w:trHeight w:val="540"/>
        </w:trPr>
        <w:tc>
          <w:tcPr>
            <w:tcW w:w="5300" w:type="dxa"/>
            <w:vAlign w:val="bottom"/>
          </w:tcPr>
          <w:p>
            <w:pPr>
              <w:ind w:left="120"/>
              <w:spacing w:after="0"/>
              <w:rPr>
                <w:sz w:val="20"/>
                <w:szCs w:val="20"/>
                <w:color w:val="auto"/>
              </w:rPr>
            </w:pPr>
            <w:r>
              <w:rPr>
                <w:rFonts w:ascii="Arial" w:cs="Arial" w:eastAsia="Arial" w:hAnsi="Arial"/>
                <w:sz w:val="22"/>
                <w:szCs w:val="22"/>
                <w:color w:val="auto"/>
              </w:rPr>
              <w:t>Average daily rates (4)</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192"/>
              <w:spacing w:after="0"/>
              <w:rPr>
                <w:sz w:val="20"/>
                <w:szCs w:val="20"/>
                <w:color w:val="auto"/>
              </w:rPr>
            </w:pPr>
            <w:r>
              <w:rPr>
                <w:rFonts w:ascii="Arial" w:cs="Arial" w:eastAsia="Arial" w:hAnsi="Arial"/>
                <w:sz w:val="22"/>
                <w:szCs w:val="22"/>
                <w:color w:val="auto"/>
              </w:rPr>
              <w:t>99</w:t>
            </w:r>
          </w:p>
        </w:tc>
        <w:tc>
          <w:tcPr>
            <w:tcW w:w="8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92"/>
              <w:spacing w:after="0"/>
              <w:rPr>
                <w:sz w:val="20"/>
                <w:szCs w:val="20"/>
                <w:color w:val="auto"/>
              </w:rPr>
            </w:pPr>
            <w:r>
              <w:rPr>
                <w:rFonts w:ascii="Arial" w:cs="Arial" w:eastAsia="Arial" w:hAnsi="Arial"/>
                <w:sz w:val="22"/>
                <w:szCs w:val="22"/>
                <w:color w:val="auto"/>
              </w:rPr>
              <w:t>114</w:t>
            </w:r>
          </w:p>
        </w:tc>
        <w:tc>
          <w:tcPr>
            <w:tcW w:w="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192"/>
              <w:spacing w:after="0"/>
              <w:rPr>
                <w:sz w:val="20"/>
                <w:szCs w:val="20"/>
                <w:color w:val="auto"/>
              </w:rPr>
            </w:pPr>
            <w:r>
              <w:rPr>
                <w:rFonts w:ascii="Arial" w:cs="Arial" w:eastAsia="Arial" w:hAnsi="Arial"/>
                <w:sz w:val="22"/>
                <w:szCs w:val="22"/>
                <w:color w:val="auto"/>
              </w:rPr>
              <w:t>104</w:t>
            </w:r>
          </w:p>
        </w:tc>
        <w:tc>
          <w:tcPr>
            <w:tcW w:w="8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252"/>
              <w:spacing w:after="0"/>
              <w:rPr>
                <w:sz w:val="20"/>
                <w:szCs w:val="20"/>
                <w:color w:val="auto"/>
              </w:rPr>
            </w:pPr>
            <w:r>
              <w:rPr>
                <w:rFonts w:ascii="Arial" w:cs="Arial" w:eastAsia="Arial" w:hAnsi="Arial"/>
                <w:sz w:val="22"/>
                <w:szCs w:val="22"/>
                <w:color w:val="auto"/>
              </w:rPr>
              <w:t>121</w:t>
            </w:r>
          </w:p>
        </w:tc>
      </w:tr>
      <w:tr>
        <w:trPr>
          <w:trHeight w:val="540"/>
        </w:trPr>
        <w:tc>
          <w:tcPr>
            <w:tcW w:w="5300" w:type="dxa"/>
            <w:vAlign w:val="bottom"/>
          </w:tcPr>
          <w:p>
            <w:pPr>
              <w:ind w:left="120"/>
              <w:spacing w:after="0"/>
              <w:rPr>
                <w:sz w:val="20"/>
                <w:szCs w:val="20"/>
                <w:color w:val="auto"/>
              </w:rPr>
            </w:pPr>
            <w:r>
              <w:rPr>
                <w:rFonts w:ascii="Arial" w:cs="Arial" w:eastAsia="Arial" w:hAnsi="Arial"/>
                <w:sz w:val="22"/>
                <w:szCs w:val="22"/>
                <w:color w:val="auto"/>
              </w:rPr>
              <w:t>Occupancy in lodges (5)</w:t>
            </w:r>
          </w:p>
        </w:tc>
        <w:tc>
          <w:tcPr>
            <w:tcW w:w="28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65%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52%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22"/>
                <w:szCs w:val="22"/>
                <w:color w:val="auto"/>
              </w:rPr>
              <w:t>63%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Arial" w:cs="Arial" w:eastAsia="Arial" w:hAnsi="Arial"/>
                <w:sz w:val="22"/>
                <w:szCs w:val="22"/>
                <w:color w:val="auto"/>
              </w:rPr>
              <w:t>60%</w:t>
            </w:r>
          </w:p>
        </w:tc>
      </w:tr>
      <w:tr>
        <w:trPr>
          <w:trHeight w:val="540"/>
        </w:trPr>
        <w:tc>
          <w:tcPr>
            <w:tcW w:w="5300" w:type="dxa"/>
            <w:vAlign w:val="bottom"/>
          </w:tcPr>
          <w:p>
            <w:pPr>
              <w:ind w:left="120"/>
              <w:spacing w:after="0"/>
              <w:rPr>
                <w:sz w:val="20"/>
                <w:szCs w:val="20"/>
                <w:color w:val="auto"/>
              </w:rPr>
            </w:pPr>
            <w:r>
              <w:rPr>
                <w:rFonts w:ascii="Arial" w:cs="Arial" w:eastAsia="Arial" w:hAnsi="Arial"/>
                <w:sz w:val="22"/>
                <w:szCs w:val="22"/>
                <w:color w:val="auto"/>
              </w:rPr>
              <w:t>Canadian dollar to U.S. dollar</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192"/>
              <w:spacing w:after="0"/>
              <w:rPr>
                <w:sz w:val="20"/>
                <w:szCs w:val="20"/>
                <w:color w:val="auto"/>
              </w:rPr>
            </w:pPr>
            <w:r>
              <w:rPr>
                <w:rFonts w:ascii="Arial" w:cs="Arial" w:eastAsia="Arial" w:hAnsi="Arial"/>
                <w:sz w:val="22"/>
                <w:szCs w:val="22"/>
                <w:color w:val="auto"/>
              </w:rPr>
              <w:t>0.750</w:t>
            </w:r>
          </w:p>
        </w:tc>
        <w:tc>
          <w:tcPr>
            <w:tcW w:w="8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92"/>
              <w:spacing w:after="0"/>
              <w:rPr>
                <w:sz w:val="20"/>
                <w:szCs w:val="20"/>
                <w:color w:val="auto"/>
              </w:rPr>
            </w:pPr>
            <w:r>
              <w:rPr>
                <w:rFonts w:ascii="Arial" w:cs="Arial" w:eastAsia="Arial" w:hAnsi="Arial"/>
                <w:sz w:val="22"/>
                <w:szCs w:val="22"/>
                <w:color w:val="auto"/>
              </w:rPr>
              <w:t>0.749</w:t>
            </w:r>
          </w:p>
        </w:tc>
        <w:tc>
          <w:tcPr>
            <w:tcW w:w="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192"/>
              <w:spacing w:after="0"/>
              <w:rPr>
                <w:sz w:val="20"/>
                <w:szCs w:val="20"/>
                <w:color w:val="auto"/>
              </w:rPr>
            </w:pPr>
            <w:r>
              <w:rPr>
                <w:rFonts w:ascii="Arial" w:cs="Arial" w:eastAsia="Arial" w:hAnsi="Arial"/>
                <w:sz w:val="22"/>
                <w:szCs w:val="22"/>
                <w:color w:val="auto"/>
              </w:rPr>
              <w:t>0.755</w:t>
            </w:r>
          </w:p>
        </w:tc>
        <w:tc>
          <w:tcPr>
            <w:tcW w:w="8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252"/>
              <w:spacing w:after="0"/>
              <w:rPr>
                <w:sz w:val="20"/>
                <w:szCs w:val="20"/>
                <w:color w:val="auto"/>
              </w:rPr>
            </w:pPr>
            <w:r>
              <w:rPr>
                <w:rFonts w:ascii="Arial" w:cs="Arial" w:eastAsia="Arial" w:hAnsi="Arial"/>
                <w:sz w:val="22"/>
                <w:szCs w:val="22"/>
                <w:color w:val="auto"/>
              </w:rPr>
              <w:t>0.783</w:t>
            </w:r>
          </w:p>
        </w:tc>
      </w:tr>
      <w:tr>
        <w:trPr>
          <w:trHeight w:val="806"/>
        </w:trPr>
        <w:tc>
          <w:tcPr>
            <w:tcW w:w="5300" w:type="dxa"/>
            <w:vAlign w:val="bottom"/>
          </w:tcPr>
          <w:p>
            <w:pPr>
              <w:spacing w:after="0"/>
              <w:rPr>
                <w:sz w:val="20"/>
                <w:szCs w:val="20"/>
                <w:color w:val="auto"/>
              </w:rPr>
            </w:pPr>
            <w:r>
              <w:rPr>
                <w:rFonts w:ascii="Arial" w:cs="Arial" w:eastAsia="Arial" w:hAnsi="Arial"/>
                <w:sz w:val="22"/>
                <w:szCs w:val="22"/>
                <w:b w:val="1"/>
                <w:bCs w:val="1"/>
                <w:color w:val="auto"/>
                <w:w w:val="98"/>
              </w:rPr>
              <w:t>Supplemental Operating Data - Australian Segment</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5300" w:type="dxa"/>
            <w:vAlign w:val="bottom"/>
          </w:tcPr>
          <w:p>
            <w:pPr>
              <w:ind w:left="120"/>
              <w:spacing w:after="0"/>
              <w:rPr>
                <w:sz w:val="20"/>
                <w:szCs w:val="20"/>
                <w:color w:val="auto"/>
              </w:rPr>
            </w:pPr>
            <w:r>
              <w:rPr>
                <w:rFonts w:ascii="Arial" w:cs="Arial" w:eastAsia="Arial" w:hAnsi="Arial"/>
                <w:sz w:val="22"/>
                <w:szCs w:val="22"/>
                <w:color w:val="auto"/>
              </w:rPr>
              <w:t>Revenues</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5"/>
        </w:trPr>
        <w:tc>
          <w:tcPr>
            <w:tcW w:w="5300" w:type="dxa"/>
            <w:vAlign w:val="bottom"/>
          </w:tcPr>
          <w:p>
            <w:pPr>
              <w:ind w:left="200"/>
              <w:spacing w:after="0"/>
              <w:rPr>
                <w:sz w:val="20"/>
                <w:szCs w:val="20"/>
                <w:color w:val="auto"/>
              </w:rPr>
            </w:pPr>
            <w:r>
              <w:rPr>
                <w:rFonts w:ascii="Arial" w:cs="Arial" w:eastAsia="Arial" w:hAnsi="Arial"/>
                <w:sz w:val="22"/>
                <w:szCs w:val="22"/>
                <w:color w:val="auto"/>
              </w:rPr>
              <w:t>Village revenues (1)</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192"/>
              <w:spacing w:after="0"/>
              <w:rPr>
                <w:sz w:val="20"/>
                <w:szCs w:val="20"/>
                <w:color w:val="auto"/>
              </w:rPr>
            </w:pPr>
            <w:r>
              <w:rPr>
                <w:rFonts w:ascii="Arial" w:cs="Arial" w:eastAsia="Arial" w:hAnsi="Arial"/>
                <w:sz w:val="22"/>
                <w:szCs w:val="22"/>
                <w:color w:val="auto"/>
              </w:rPr>
              <w:t>26,121</w:t>
            </w:r>
          </w:p>
        </w:tc>
        <w:tc>
          <w:tcPr>
            <w:tcW w:w="80" w:type="dxa"/>
            <w:vAlign w:val="bottom"/>
          </w:tcPr>
          <w:p>
            <w:pPr>
              <w:spacing w:after="0"/>
              <w:rPr>
                <w:sz w:val="23"/>
                <w:szCs w:val="23"/>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92"/>
              <w:spacing w:after="0"/>
              <w:rPr>
                <w:sz w:val="20"/>
                <w:szCs w:val="20"/>
                <w:color w:val="auto"/>
              </w:rPr>
            </w:pPr>
            <w:r>
              <w:rPr>
                <w:rFonts w:ascii="Arial" w:cs="Arial" w:eastAsia="Arial" w:hAnsi="Arial"/>
                <w:sz w:val="22"/>
                <w:szCs w:val="22"/>
                <w:color w:val="auto"/>
              </w:rPr>
              <w:t>26,660</w:t>
            </w:r>
          </w:p>
        </w:tc>
        <w:tc>
          <w:tcPr>
            <w:tcW w:w="8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192"/>
              <w:spacing w:after="0"/>
              <w:rPr>
                <w:sz w:val="20"/>
                <w:szCs w:val="20"/>
                <w:color w:val="auto"/>
              </w:rPr>
            </w:pPr>
            <w:r>
              <w:rPr>
                <w:rFonts w:ascii="Arial" w:cs="Arial" w:eastAsia="Arial" w:hAnsi="Arial"/>
                <w:sz w:val="22"/>
                <w:szCs w:val="22"/>
                <w:color w:val="auto"/>
              </w:rPr>
              <w:t>106,815</w:t>
            </w:r>
          </w:p>
        </w:tc>
        <w:tc>
          <w:tcPr>
            <w:tcW w:w="80" w:type="dxa"/>
            <w:vAlign w:val="bottom"/>
          </w:tcPr>
          <w:p>
            <w:pPr>
              <w:spacing w:after="0"/>
              <w:rPr>
                <w:sz w:val="23"/>
                <w:szCs w:val="23"/>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252"/>
              <w:spacing w:after="0"/>
              <w:rPr>
                <w:sz w:val="20"/>
                <w:szCs w:val="20"/>
                <w:color w:val="auto"/>
              </w:rPr>
            </w:pPr>
            <w:r>
              <w:rPr>
                <w:rFonts w:ascii="Arial" w:cs="Arial" w:eastAsia="Arial" w:hAnsi="Arial"/>
                <w:sz w:val="22"/>
                <w:szCs w:val="22"/>
                <w:color w:val="auto"/>
              </w:rPr>
              <w:t>135,964</w:t>
            </w:r>
          </w:p>
        </w:tc>
      </w:tr>
      <w:tr>
        <w:trPr>
          <w:trHeight w:val="540"/>
        </w:trPr>
        <w:tc>
          <w:tcPr>
            <w:tcW w:w="5300" w:type="dxa"/>
            <w:vAlign w:val="bottom"/>
          </w:tcPr>
          <w:p>
            <w:pPr>
              <w:ind w:left="120"/>
              <w:spacing w:after="0"/>
              <w:rPr>
                <w:sz w:val="20"/>
                <w:szCs w:val="20"/>
                <w:color w:val="auto"/>
              </w:rPr>
            </w:pPr>
            <w:r>
              <w:rPr>
                <w:rFonts w:ascii="Arial" w:cs="Arial" w:eastAsia="Arial" w:hAnsi="Arial"/>
                <w:sz w:val="22"/>
                <w:szCs w:val="22"/>
                <w:color w:val="auto"/>
              </w:rPr>
              <w:t>Average available village rooms (2)</w:t>
            </w:r>
          </w:p>
        </w:tc>
        <w:tc>
          <w:tcPr>
            <w:tcW w:w="28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Arial" w:cs="Arial" w:eastAsia="Arial" w:hAnsi="Arial"/>
                <w:sz w:val="22"/>
                <w:szCs w:val="22"/>
                <w:color w:val="auto"/>
              </w:rPr>
              <w:t>9,386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92"/>
              <w:spacing w:after="0"/>
              <w:rPr>
                <w:sz w:val="20"/>
                <w:szCs w:val="20"/>
                <w:color w:val="auto"/>
              </w:rPr>
            </w:pPr>
            <w:r>
              <w:rPr>
                <w:rFonts w:ascii="Arial" w:cs="Arial" w:eastAsia="Arial" w:hAnsi="Arial"/>
                <w:sz w:val="22"/>
                <w:szCs w:val="22"/>
                <w:color w:val="auto"/>
              </w:rPr>
              <w:t>9,064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Arial" w:cs="Arial" w:eastAsia="Arial" w:hAnsi="Arial"/>
                <w:sz w:val="22"/>
                <w:szCs w:val="22"/>
                <w:color w:val="auto"/>
              </w:rPr>
              <w:t>9,335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252"/>
              <w:spacing w:after="0"/>
              <w:rPr>
                <w:sz w:val="20"/>
                <w:szCs w:val="20"/>
                <w:color w:val="auto"/>
              </w:rPr>
            </w:pPr>
            <w:r>
              <w:rPr>
                <w:rFonts w:ascii="Arial" w:cs="Arial" w:eastAsia="Arial" w:hAnsi="Arial"/>
                <w:sz w:val="22"/>
                <w:szCs w:val="22"/>
                <w:color w:val="auto"/>
              </w:rPr>
              <w:t>9,180</w:t>
            </w:r>
          </w:p>
        </w:tc>
      </w:tr>
      <w:tr>
        <w:trPr>
          <w:trHeight w:val="540"/>
        </w:trPr>
        <w:tc>
          <w:tcPr>
            <w:tcW w:w="5300" w:type="dxa"/>
            <w:vAlign w:val="bottom"/>
          </w:tcPr>
          <w:p>
            <w:pPr>
              <w:ind w:left="120"/>
              <w:spacing w:after="0"/>
              <w:rPr>
                <w:sz w:val="20"/>
                <w:szCs w:val="20"/>
                <w:color w:val="auto"/>
              </w:rPr>
            </w:pPr>
            <w:r>
              <w:rPr>
                <w:rFonts w:ascii="Arial" w:cs="Arial" w:eastAsia="Arial" w:hAnsi="Arial"/>
                <w:sz w:val="22"/>
                <w:szCs w:val="22"/>
                <w:color w:val="auto"/>
              </w:rPr>
              <w:t>Rentable rooms (3)</w:t>
            </w:r>
          </w:p>
        </w:tc>
        <w:tc>
          <w:tcPr>
            <w:tcW w:w="28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Arial" w:cs="Arial" w:eastAsia="Arial" w:hAnsi="Arial"/>
                <w:sz w:val="22"/>
                <w:szCs w:val="22"/>
                <w:color w:val="auto"/>
              </w:rPr>
              <w:t>8,616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92"/>
              <w:spacing w:after="0"/>
              <w:rPr>
                <w:sz w:val="20"/>
                <w:szCs w:val="20"/>
                <w:color w:val="auto"/>
              </w:rPr>
            </w:pPr>
            <w:r>
              <w:rPr>
                <w:rFonts w:ascii="Arial" w:cs="Arial" w:eastAsia="Arial" w:hAnsi="Arial"/>
                <w:sz w:val="22"/>
                <w:szCs w:val="22"/>
                <w:color w:val="auto"/>
              </w:rPr>
              <w:t>8,585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Arial" w:cs="Arial" w:eastAsia="Arial" w:hAnsi="Arial"/>
                <w:sz w:val="22"/>
                <w:szCs w:val="22"/>
                <w:color w:val="auto"/>
              </w:rPr>
              <w:t>8,679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252"/>
              <w:spacing w:after="0"/>
              <w:rPr>
                <w:sz w:val="20"/>
                <w:szCs w:val="20"/>
                <w:color w:val="auto"/>
              </w:rPr>
            </w:pPr>
            <w:r>
              <w:rPr>
                <w:rFonts w:ascii="Arial" w:cs="Arial" w:eastAsia="Arial" w:hAnsi="Arial"/>
                <w:sz w:val="22"/>
                <w:szCs w:val="22"/>
                <w:color w:val="auto"/>
              </w:rPr>
              <w:t>8,862</w:t>
            </w:r>
          </w:p>
        </w:tc>
      </w:tr>
      <w:tr>
        <w:trPr>
          <w:trHeight w:val="540"/>
        </w:trPr>
        <w:tc>
          <w:tcPr>
            <w:tcW w:w="5300" w:type="dxa"/>
            <w:vAlign w:val="bottom"/>
          </w:tcPr>
          <w:p>
            <w:pPr>
              <w:ind w:left="120"/>
              <w:spacing w:after="0"/>
              <w:rPr>
                <w:sz w:val="20"/>
                <w:szCs w:val="20"/>
                <w:color w:val="auto"/>
              </w:rPr>
            </w:pPr>
            <w:r>
              <w:rPr>
                <w:rFonts w:ascii="Arial" w:cs="Arial" w:eastAsia="Arial" w:hAnsi="Arial"/>
                <w:sz w:val="22"/>
                <w:szCs w:val="22"/>
                <w:color w:val="auto"/>
              </w:rPr>
              <w:t>Average daily rates (4)</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192"/>
              <w:spacing w:after="0"/>
              <w:rPr>
                <w:sz w:val="20"/>
                <w:szCs w:val="20"/>
                <w:color w:val="auto"/>
              </w:rPr>
            </w:pPr>
            <w:r>
              <w:rPr>
                <w:rFonts w:ascii="Arial" w:cs="Arial" w:eastAsia="Arial" w:hAnsi="Arial"/>
                <w:sz w:val="22"/>
                <w:szCs w:val="22"/>
                <w:color w:val="auto"/>
              </w:rPr>
              <w:t>80</w:t>
            </w:r>
          </w:p>
        </w:tc>
        <w:tc>
          <w:tcPr>
            <w:tcW w:w="8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92"/>
              <w:spacing w:after="0"/>
              <w:rPr>
                <w:sz w:val="20"/>
                <w:szCs w:val="20"/>
                <w:color w:val="auto"/>
              </w:rPr>
            </w:pPr>
            <w:r>
              <w:rPr>
                <w:rFonts w:ascii="Arial" w:cs="Arial" w:eastAsia="Arial" w:hAnsi="Arial"/>
                <w:sz w:val="22"/>
                <w:szCs w:val="22"/>
                <w:color w:val="auto"/>
              </w:rPr>
              <w:t>69</w:t>
            </w:r>
          </w:p>
        </w:tc>
        <w:tc>
          <w:tcPr>
            <w:tcW w:w="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192"/>
              <w:spacing w:after="0"/>
              <w:rPr>
                <w:sz w:val="20"/>
                <w:szCs w:val="20"/>
                <w:color w:val="auto"/>
              </w:rPr>
            </w:pPr>
            <w:r>
              <w:rPr>
                <w:rFonts w:ascii="Arial" w:cs="Arial" w:eastAsia="Arial" w:hAnsi="Arial"/>
                <w:sz w:val="22"/>
                <w:szCs w:val="22"/>
                <w:color w:val="auto"/>
              </w:rPr>
              <w:t>76</w:t>
            </w:r>
          </w:p>
        </w:tc>
        <w:tc>
          <w:tcPr>
            <w:tcW w:w="8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252"/>
              <w:spacing w:after="0"/>
              <w:rPr>
                <w:sz w:val="20"/>
                <w:szCs w:val="20"/>
                <w:color w:val="auto"/>
              </w:rPr>
            </w:pPr>
            <w:r>
              <w:rPr>
                <w:rFonts w:ascii="Arial" w:cs="Arial" w:eastAsia="Arial" w:hAnsi="Arial"/>
                <w:sz w:val="22"/>
                <w:szCs w:val="22"/>
                <w:color w:val="auto"/>
              </w:rPr>
              <w:t>74</w:t>
            </w:r>
          </w:p>
        </w:tc>
      </w:tr>
      <w:tr>
        <w:trPr>
          <w:trHeight w:val="540"/>
        </w:trPr>
        <w:tc>
          <w:tcPr>
            <w:tcW w:w="5300" w:type="dxa"/>
            <w:vAlign w:val="bottom"/>
          </w:tcPr>
          <w:p>
            <w:pPr>
              <w:ind w:left="120"/>
              <w:spacing w:after="0"/>
              <w:rPr>
                <w:sz w:val="20"/>
                <w:szCs w:val="20"/>
                <w:color w:val="auto"/>
              </w:rPr>
            </w:pPr>
            <w:r>
              <w:rPr>
                <w:rFonts w:ascii="Arial" w:cs="Arial" w:eastAsia="Arial" w:hAnsi="Arial"/>
                <w:sz w:val="22"/>
                <w:szCs w:val="22"/>
                <w:color w:val="auto"/>
              </w:rPr>
              <w:t>Occupancy in villages (5)</w:t>
            </w:r>
          </w:p>
        </w:tc>
        <w:tc>
          <w:tcPr>
            <w:tcW w:w="28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49%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22"/>
                <w:szCs w:val="22"/>
                <w:color w:val="auto"/>
              </w:rPr>
              <w:t>44%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Arial" w:cs="Arial" w:eastAsia="Arial" w:hAnsi="Arial"/>
                <w:sz w:val="22"/>
                <w:szCs w:val="22"/>
                <w:color w:val="auto"/>
              </w:rPr>
              <w:t>56%</w:t>
            </w:r>
          </w:p>
        </w:tc>
      </w:tr>
      <w:tr>
        <w:trPr>
          <w:trHeight w:val="540"/>
        </w:trPr>
        <w:tc>
          <w:tcPr>
            <w:tcW w:w="5300" w:type="dxa"/>
            <w:vAlign w:val="bottom"/>
          </w:tcPr>
          <w:p>
            <w:pPr>
              <w:ind w:left="120"/>
              <w:spacing w:after="0"/>
              <w:rPr>
                <w:sz w:val="20"/>
                <w:szCs w:val="20"/>
                <w:color w:val="auto"/>
              </w:rPr>
            </w:pPr>
            <w:r>
              <w:rPr>
                <w:rFonts w:ascii="Arial" w:cs="Arial" w:eastAsia="Arial" w:hAnsi="Arial"/>
                <w:sz w:val="22"/>
                <w:szCs w:val="22"/>
                <w:color w:val="auto"/>
              </w:rPr>
              <w:t>Australian dollar to U.S. dollar</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192"/>
              <w:spacing w:after="0"/>
              <w:rPr>
                <w:sz w:val="20"/>
                <w:szCs w:val="20"/>
                <w:color w:val="auto"/>
              </w:rPr>
            </w:pPr>
            <w:r>
              <w:rPr>
                <w:rFonts w:ascii="Arial" w:cs="Arial" w:eastAsia="Arial" w:hAnsi="Arial"/>
                <w:sz w:val="22"/>
                <w:szCs w:val="22"/>
                <w:color w:val="auto"/>
              </w:rPr>
              <w:t>0.750</w:t>
            </w:r>
          </w:p>
        </w:tc>
        <w:tc>
          <w:tcPr>
            <w:tcW w:w="8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92"/>
              <w:spacing w:after="0"/>
              <w:rPr>
                <w:sz w:val="20"/>
                <w:szCs w:val="20"/>
                <w:color w:val="auto"/>
              </w:rPr>
            </w:pPr>
            <w:r>
              <w:rPr>
                <w:rFonts w:ascii="Arial" w:cs="Arial" w:eastAsia="Arial" w:hAnsi="Arial"/>
                <w:sz w:val="22"/>
                <w:szCs w:val="22"/>
                <w:color w:val="auto"/>
              </w:rPr>
              <w:t>0.720</w:t>
            </w:r>
          </w:p>
        </w:tc>
        <w:tc>
          <w:tcPr>
            <w:tcW w:w="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192"/>
              <w:spacing w:after="0"/>
              <w:rPr>
                <w:sz w:val="20"/>
                <w:szCs w:val="20"/>
                <w:color w:val="auto"/>
              </w:rPr>
            </w:pPr>
            <w:r>
              <w:rPr>
                <w:rFonts w:ascii="Arial" w:cs="Arial" w:eastAsia="Arial" w:hAnsi="Arial"/>
                <w:sz w:val="22"/>
                <w:szCs w:val="22"/>
                <w:color w:val="auto"/>
              </w:rPr>
              <w:t>0.744</w:t>
            </w:r>
          </w:p>
        </w:tc>
        <w:tc>
          <w:tcPr>
            <w:tcW w:w="8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252"/>
              <w:spacing w:after="0"/>
              <w:rPr>
                <w:sz w:val="20"/>
                <w:szCs w:val="20"/>
                <w:color w:val="auto"/>
              </w:rPr>
            </w:pPr>
            <w:r>
              <w:rPr>
                <w:rFonts w:ascii="Arial" w:cs="Arial" w:eastAsia="Arial" w:hAnsi="Arial"/>
                <w:sz w:val="22"/>
                <w:szCs w:val="22"/>
                <w:color w:val="auto"/>
              </w:rPr>
              <w:t>0.752</w:t>
            </w:r>
          </w:p>
        </w:tc>
      </w:tr>
    </w:tbl>
    <w:p>
      <w:pPr>
        <w:spacing w:after="0" w:line="200" w:lineRule="exact"/>
        <w:rPr>
          <w:sz w:val="20"/>
          <w:szCs w:val="20"/>
          <w:color w:val="auto"/>
        </w:rPr>
      </w:pPr>
    </w:p>
    <w:p>
      <w:pPr>
        <w:spacing w:after="0" w:line="336" w:lineRule="exact"/>
        <w:rPr>
          <w:sz w:val="20"/>
          <w:szCs w:val="20"/>
          <w:color w:val="auto"/>
        </w:rPr>
      </w:pPr>
    </w:p>
    <w:p>
      <w:pPr>
        <w:ind w:left="20" w:right="240" w:firstLine="2"/>
        <w:spacing w:after="0" w:line="251" w:lineRule="auto"/>
        <w:tabs>
          <w:tab w:leader="none" w:pos="380" w:val="left"/>
        </w:tabs>
        <w:numPr>
          <w:ilvl w:val="0"/>
          <w:numId w:val="9"/>
        </w:numPr>
        <w:rPr>
          <w:rFonts w:ascii="Arial" w:cs="Arial" w:eastAsia="Arial" w:hAnsi="Arial"/>
          <w:sz w:val="22"/>
          <w:szCs w:val="22"/>
          <w:color w:val="auto"/>
        </w:rPr>
      </w:pPr>
      <w:r>
        <w:rPr>
          <w:rFonts w:ascii="Arial" w:cs="Arial" w:eastAsia="Arial" w:hAnsi="Arial"/>
          <w:sz w:val="22"/>
          <w:szCs w:val="22"/>
          <w:color w:val="auto"/>
        </w:rPr>
        <w:t>Includes revenue related to rooms as well as the fees associated with catering, laundry and other services including facilities management.</w:t>
      </w:r>
    </w:p>
    <w:p>
      <w:pPr>
        <w:spacing w:after="0" w:line="254" w:lineRule="exact"/>
        <w:rPr>
          <w:rFonts w:ascii="Arial" w:cs="Arial" w:eastAsia="Arial" w:hAnsi="Arial"/>
          <w:sz w:val="22"/>
          <w:szCs w:val="22"/>
          <w:color w:val="auto"/>
        </w:rPr>
      </w:pPr>
    </w:p>
    <w:p>
      <w:pPr>
        <w:ind w:left="20" w:right="740" w:firstLine="2"/>
        <w:spacing w:after="0" w:line="251" w:lineRule="auto"/>
        <w:tabs>
          <w:tab w:leader="none" w:pos="380" w:val="left"/>
        </w:tabs>
        <w:numPr>
          <w:ilvl w:val="0"/>
          <w:numId w:val="9"/>
        </w:numPr>
        <w:rPr>
          <w:rFonts w:ascii="Arial" w:cs="Arial" w:eastAsia="Arial" w:hAnsi="Arial"/>
          <w:sz w:val="22"/>
          <w:szCs w:val="22"/>
          <w:color w:val="auto"/>
        </w:rPr>
      </w:pPr>
      <w:r>
        <w:rPr>
          <w:rFonts w:ascii="Arial" w:cs="Arial" w:eastAsia="Arial" w:hAnsi="Arial"/>
          <w:sz w:val="22"/>
          <w:szCs w:val="22"/>
          <w:color w:val="auto"/>
        </w:rPr>
        <w:t>Average available rooms relate to Canadian lodges and Australian villages and includes rooms that are utilized for our personnel.</w:t>
      </w:r>
    </w:p>
    <w:p>
      <w:pPr>
        <w:spacing w:after="0" w:line="254" w:lineRule="exact"/>
        <w:rPr>
          <w:rFonts w:ascii="Arial" w:cs="Arial" w:eastAsia="Arial" w:hAnsi="Arial"/>
          <w:sz w:val="22"/>
          <w:szCs w:val="22"/>
          <w:color w:val="auto"/>
        </w:rPr>
      </w:pPr>
    </w:p>
    <w:p>
      <w:pPr>
        <w:ind w:left="20" w:right="220" w:firstLine="2"/>
        <w:spacing w:after="0" w:line="251" w:lineRule="auto"/>
        <w:tabs>
          <w:tab w:leader="none" w:pos="380" w:val="left"/>
        </w:tabs>
        <w:numPr>
          <w:ilvl w:val="0"/>
          <w:numId w:val="9"/>
        </w:numPr>
        <w:rPr>
          <w:rFonts w:ascii="Arial" w:cs="Arial" w:eastAsia="Arial" w:hAnsi="Arial"/>
          <w:sz w:val="22"/>
          <w:szCs w:val="22"/>
          <w:color w:val="auto"/>
        </w:rPr>
      </w:pPr>
      <w:r>
        <w:rPr>
          <w:rFonts w:ascii="Arial" w:cs="Arial" w:eastAsia="Arial" w:hAnsi="Arial"/>
          <w:sz w:val="22"/>
          <w:szCs w:val="22"/>
          <w:color w:val="auto"/>
        </w:rPr>
        <w:t>Rentable rooms relate to Canadian lodges and Australian villages and excludes rooms that are utilized for our personnel and out-of-service rooms.</w:t>
      </w:r>
    </w:p>
    <w:p>
      <w:pPr>
        <w:spacing w:after="0" w:line="254" w:lineRule="exact"/>
        <w:rPr>
          <w:rFonts w:ascii="Arial" w:cs="Arial" w:eastAsia="Arial" w:hAnsi="Arial"/>
          <w:sz w:val="22"/>
          <w:szCs w:val="22"/>
          <w:color w:val="auto"/>
        </w:rPr>
      </w:pPr>
    </w:p>
    <w:p>
      <w:pPr>
        <w:ind w:left="380" w:hanging="358"/>
        <w:spacing w:after="0"/>
        <w:tabs>
          <w:tab w:leader="none" w:pos="380" w:val="left"/>
        </w:tabs>
        <w:numPr>
          <w:ilvl w:val="0"/>
          <w:numId w:val="9"/>
        </w:numPr>
        <w:rPr>
          <w:rFonts w:ascii="Arial" w:cs="Arial" w:eastAsia="Arial" w:hAnsi="Arial"/>
          <w:sz w:val="22"/>
          <w:szCs w:val="22"/>
          <w:color w:val="auto"/>
        </w:rPr>
      </w:pPr>
      <w:r>
        <w:rPr>
          <w:rFonts w:ascii="Arial" w:cs="Arial" w:eastAsia="Arial" w:hAnsi="Arial"/>
          <w:sz w:val="22"/>
          <w:szCs w:val="22"/>
          <w:color w:val="auto"/>
        </w:rPr>
        <w:t>Average daily rate is based on rentable rooms and lodge/village revenue.</w:t>
      </w:r>
    </w:p>
    <w:p>
      <w:pPr>
        <w:spacing w:after="0" w:line="287" w:lineRule="exact"/>
        <w:rPr>
          <w:rFonts w:ascii="Arial" w:cs="Arial" w:eastAsia="Arial" w:hAnsi="Arial"/>
          <w:sz w:val="22"/>
          <w:szCs w:val="22"/>
          <w:color w:val="auto"/>
        </w:rPr>
      </w:pPr>
    </w:p>
    <w:p>
      <w:pPr>
        <w:ind w:left="20" w:right="600" w:firstLine="2"/>
        <w:spacing w:after="0" w:line="251" w:lineRule="auto"/>
        <w:tabs>
          <w:tab w:leader="none" w:pos="380" w:val="left"/>
        </w:tabs>
        <w:numPr>
          <w:ilvl w:val="0"/>
          <w:numId w:val="9"/>
        </w:numPr>
        <w:rPr>
          <w:rFonts w:ascii="Arial" w:cs="Arial" w:eastAsia="Arial" w:hAnsi="Arial"/>
          <w:sz w:val="22"/>
          <w:szCs w:val="22"/>
          <w:color w:val="auto"/>
        </w:rPr>
      </w:pPr>
      <w:r>
        <w:rPr>
          <w:rFonts w:ascii="Arial" w:cs="Arial" w:eastAsia="Arial" w:hAnsi="Arial"/>
          <w:sz w:val="22"/>
          <w:szCs w:val="22"/>
          <w:color w:val="auto"/>
        </w:rPr>
        <w:t>Occupancy represents total billed days divided by rentable days. Rentable days excludes staff rooms and out-of-service rooms.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line="230" w:lineRule="auto"/>
        <w:rPr>
          <w:sz w:val="20"/>
          <w:szCs w:val="20"/>
          <w:color w:val="auto"/>
        </w:rPr>
      </w:pPr>
      <w:r>
        <w:rPr>
          <w:rFonts w:ascii="Arial" w:cs="Arial" w:eastAsia="Arial" w:hAnsi="Arial"/>
          <w:sz w:val="22"/>
          <w:szCs w:val="22"/>
          <w:color w:val="auto"/>
        </w:rPr>
        <w:t>Senior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713-510-2400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Marc Cunningham</w:t>
      </w:r>
    </w:p>
    <w:p>
      <w:pPr>
        <w:spacing w:after="0" w:line="238" w:lineRule="auto"/>
        <w:rPr>
          <w:sz w:val="20"/>
          <w:szCs w:val="20"/>
          <w:color w:val="auto"/>
        </w:rPr>
      </w:pPr>
      <w:r>
        <w:rPr>
          <w:rFonts w:ascii="Arial" w:cs="Arial" w:eastAsia="Arial" w:hAnsi="Arial"/>
          <w:sz w:val="22"/>
          <w:szCs w:val="22"/>
          <w:color w:val="auto"/>
        </w:rPr>
        <w:t>Jeffrey Spittel</w:t>
      </w:r>
    </w:p>
    <w:p>
      <w:pPr>
        <w:spacing w:after="0" w:line="230" w:lineRule="auto"/>
        <w:rPr>
          <w:sz w:val="20"/>
          <w:szCs w:val="20"/>
          <w:color w:val="auto"/>
        </w:rPr>
      </w:pPr>
      <w:r>
        <w:rPr>
          <w:rFonts w:ascii="Arial" w:cs="Arial" w:eastAsia="Arial" w:hAnsi="Arial"/>
          <w:sz w:val="22"/>
          <w:szCs w:val="22"/>
          <w:color w:val="auto"/>
        </w:rPr>
        <w:t>FTI Consulting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713-353-5407</w:t>
      </w:r>
    </w:p>
    <w:p>
      <w:pPr>
        <w:sectPr>
          <w:pgSz w:w="11900" w:h="16838" w:orient="portrait"/>
          <w:cols w:equalWidth="0" w:num="1">
            <w:col w:w="11340"/>
          </w:cols>
          <w:pgMar w:left="240" w:top="112" w:right="319" w:bottom="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888"/>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6"/>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2019-12-07T21:18:36Z</dcterms:created>
  <dcterms:modified xsi:type="dcterms:W3CDTF">2019-12-07T21:18:36Z</dcterms:modified>
</cp:coreProperties>
</file>