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14885dsc13da.htm"/>
      <w:bookmarkStart w:id="1" w:name="ksd514885dsc13d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Civeo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Shares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178787107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Torlowna Investments Ltd. </w:t>
      </w:r>
    </w:p>
    <w:p>
      <w:pPr>
        <w:pStyle w:val="TextBody"/>
        <w:bidi w:val="0"/>
        <w:spacing w:before="0" w:after="0"/>
        <w:jc w:val="center"/>
        <w:rPr>
          <w:rFonts w:ascii="Times New Roman" w:hAnsi="Times New Roman"/>
          <w:b/>
          <w:sz w:val="20"/>
        </w:rPr>
      </w:pPr>
      <w:r>
        <w:rPr>
          <w:rFonts w:ascii="Times New Roman" w:hAnsi="Times New Roman"/>
          <w:b/>
          <w:sz w:val="20"/>
        </w:rPr>
        <w:t xml:space="preserve">9657 45 Avenue NW </w:t>
      </w:r>
    </w:p>
    <w:p>
      <w:pPr>
        <w:pStyle w:val="TextBody"/>
        <w:bidi w:val="0"/>
        <w:spacing w:before="0" w:after="0"/>
        <w:jc w:val="center"/>
        <w:rPr>
          <w:rFonts w:ascii="Times New Roman" w:hAnsi="Times New Roman"/>
          <w:b/>
          <w:sz w:val="20"/>
        </w:rPr>
      </w:pPr>
      <w:r>
        <w:rPr>
          <w:rFonts w:ascii="Times New Roman" w:hAnsi="Times New Roman"/>
          <w:b/>
          <w:sz w:val="20"/>
        </w:rPr>
        <w:t xml:space="preserve">Edmonton, Alberta, Canada T6E 5Z8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Lance Torgerson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 with copies to - </w:t>
      </w:r>
    </w:p>
    <w:p>
      <w:pPr>
        <w:pStyle w:val="TextBody"/>
        <w:bidi w:val="0"/>
        <w:spacing w:before="120" w:after="0"/>
        <w:jc w:val="center"/>
        <w:rPr>
          <w:rFonts w:ascii="Times New Roman" w:hAnsi="Times New Roman"/>
          <w:b/>
          <w:sz w:val="20"/>
        </w:rPr>
      </w:pPr>
      <w:r>
        <w:rPr>
          <w:rFonts w:ascii="Times New Roman" w:hAnsi="Times New Roman"/>
          <w:b/>
          <w:sz w:val="20"/>
        </w:rPr>
        <w:t xml:space="preserve">Dentons Canada LLP </w:t>
      </w:r>
    </w:p>
    <w:p>
      <w:pPr>
        <w:pStyle w:val="TextBody"/>
        <w:bidi w:val="0"/>
        <w:spacing w:before="0" w:after="0"/>
        <w:jc w:val="center"/>
        <w:rPr>
          <w:rFonts w:ascii="Times New Roman" w:hAnsi="Times New Roman"/>
          <w:b/>
          <w:sz w:val="20"/>
        </w:rPr>
      </w:pPr>
      <w:r>
        <w:rPr>
          <w:rFonts w:ascii="Times New Roman" w:hAnsi="Times New Roman"/>
          <w:b/>
          <w:sz w:val="20"/>
        </w:rPr>
        <w:t xml:space="preserve">2900 Manulife Place </w:t>
      </w:r>
    </w:p>
    <w:p>
      <w:pPr>
        <w:pStyle w:val="TextBody"/>
        <w:bidi w:val="0"/>
        <w:spacing w:before="0" w:after="0"/>
        <w:jc w:val="center"/>
        <w:rPr>
          <w:rFonts w:ascii="Times New Roman" w:hAnsi="Times New Roman"/>
          <w:b/>
          <w:sz w:val="20"/>
        </w:rPr>
      </w:pPr>
      <w:r>
        <w:rPr>
          <w:rFonts w:ascii="Times New Roman" w:hAnsi="Times New Roman"/>
          <w:b/>
          <w:sz w:val="20"/>
        </w:rPr>
        <w:t xml:space="preserve">10180  101 St. NW </w:t>
      </w:r>
    </w:p>
    <w:p>
      <w:pPr>
        <w:pStyle w:val="TextBody"/>
        <w:bidi w:val="0"/>
        <w:spacing w:before="0" w:after="0"/>
        <w:jc w:val="center"/>
        <w:rPr>
          <w:rFonts w:ascii="Times New Roman" w:hAnsi="Times New Roman"/>
          <w:b/>
          <w:sz w:val="20"/>
        </w:rPr>
      </w:pPr>
      <w:r>
        <w:rPr>
          <w:rFonts w:ascii="Times New Roman" w:hAnsi="Times New Roman"/>
          <w:b/>
          <w:sz w:val="20"/>
        </w:rPr>
        <w:t xml:space="preserve">Edmonton, AB T5J 3V5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Leanne Krawchuk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that is the subject of this Schedule 13D, and is filing this schedule because of §§240.13d-1(e), 240.13d-1(f) or 240.13d-1(g), check the following box. ☐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Note</w:t>
      </w:r>
      <w:r>
        <w:rPr>
          <w:rFonts w:ascii="Times New Roman" w:hAnsi="Times New Roman"/>
          <w:sz w:val="20"/>
        </w:rPr>
        <w:t xml:space="preserve">: Schedules filed in paper format shall include a signed original and five copies of the schedule, including all exhibits. See Rule 13d-7 for other parties to whom copies are to be sent.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178787107</w:t>
      </w:r>
      <w:r>
        <w:rPr>
          <w:rFonts w:ascii="Times New Roman" w:hAnsi="Times New Roman"/>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5"/>
        <w:gridCol w:w="127"/>
        <w:gridCol w:w="899"/>
        <w:gridCol w:w="226"/>
        <w:gridCol w:w="220"/>
        <w:gridCol w:w="226"/>
        <w:gridCol w:w="7959"/>
      </w:tblGrid>
      <w:tr>
        <w:trPr/>
        <w:tc>
          <w:tcPr>
            <w:tcW w:w="4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44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b/>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Torgerson Family Trust</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5</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Province of British Columbia, Canada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b/>
              </w:rPr>
            </w:pPr>
            <w:r>
              <w:rPr>
                <w:b/>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rPr>
            </w:pPr>
            <w:r>
              <w:rPr>
                <w:b/>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178787107</w:t>
      </w:r>
      <w:r>
        <w:rPr>
          <w:rFonts w:ascii="Times New Roman" w:hAnsi="Times New Roman"/>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5"/>
        <w:gridCol w:w="127"/>
        <w:gridCol w:w="899"/>
        <w:gridCol w:w="226"/>
        <w:gridCol w:w="220"/>
        <w:gridCol w:w="226"/>
        <w:gridCol w:w="7959"/>
      </w:tblGrid>
      <w:tr>
        <w:trPr/>
        <w:tc>
          <w:tcPr>
            <w:tcW w:w="4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44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b/>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989677 Alberta Ltd.</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5</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Province of Alberta, Canada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160,104</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b/>
              </w:rPr>
            </w:pPr>
            <w:r>
              <w:rPr>
                <w:b/>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160,104</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rPr>
            </w:pPr>
            <w:r>
              <w:rPr>
                <w:b/>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160,104</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178787107</w:t>
      </w:r>
      <w:r>
        <w:rPr>
          <w:rFonts w:ascii="Times New Roman" w:hAnsi="Times New Roman"/>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5"/>
        <w:gridCol w:w="127"/>
        <w:gridCol w:w="899"/>
        <w:gridCol w:w="226"/>
        <w:gridCol w:w="220"/>
        <w:gridCol w:w="226"/>
        <w:gridCol w:w="7959"/>
      </w:tblGrid>
      <w:tr>
        <w:trPr/>
        <w:tc>
          <w:tcPr>
            <w:tcW w:w="4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44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b/>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Svenco Investments Ltd.</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5</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Province of Alberta, Canada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160,104 (1)</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b/>
              </w:rPr>
            </w:pPr>
            <w:r>
              <w:rPr>
                <w:b/>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160,104 (1)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rPr>
            </w:pPr>
            <w:r>
              <w:rPr>
                <w:b/>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160,104 (1)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Svenco Investments Ltd. may be deemed to be the beneficial owner of 160,104 shares held indirectly by Svenco Investments Ltd. as the direct owner of all of the voting shares of 989677 Alberta Ltd.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178787107</w:t>
      </w:r>
      <w:r>
        <w:rPr>
          <w:rFonts w:ascii="Times New Roman" w:hAnsi="Times New Roman"/>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5"/>
        <w:gridCol w:w="127"/>
        <w:gridCol w:w="899"/>
        <w:gridCol w:w="226"/>
        <w:gridCol w:w="220"/>
        <w:gridCol w:w="226"/>
        <w:gridCol w:w="7959"/>
      </w:tblGrid>
      <w:tr>
        <w:trPr/>
        <w:tc>
          <w:tcPr>
            <w:tcW w:w="4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44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b/>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Torlowna Investments Ltd.</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5</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Province of Alberta, Canada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528,873</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b/>
              </w:rPr>
            </w:pPr>
            <w:r>
              <w:rPr>
                <w:b/>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528,873</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rPr>
            </w:pPr>
            <w:r>
              <w:rPr>
                <w:b/>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528,873</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3.6%</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178787107</w:t>
      </w:r>
      <w:r>
        <w:rPr>
          <w:rFonts w:ascii="Times New Roman" w:hAnsi="Times New Roman"/>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5"/>
        <w:gridCol w:w="127"/>
        <w:gridCol w:w="899"/>
        <w:gridCol w:w="226"/>
        <w:gridCol w:w="220"/>
        <w:gridCol w:w="226"/>
        <w:gridCol w:w="7959"/>
      </w:tblGrid>
      <w:tr>
        <w:trPr/>
        <w:tc>
          <w:tcPr>
            <w:tcW w:w="4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44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b/>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Lance Torgerson</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5</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Canada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688,977 (2)</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b/>
              </w:rPr>
            </w:pPr>
            <w:r>
              <w:rPr>
                <w:b/>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688,977 (2)</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rPr>
            </w:pPr>
            <w:r>
              <w:rPr>
                <w:b/>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688,977 (2)</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4.7%</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Lance Torgerson may be deemed to be the beneficial owner of the shares held directly by Torlowna Investments Ltd. and 989677 Alberta Ltd., which are controlled by Lance Torgerson.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178787107</w:t>
      </w:r>
      <w:r>
        <w:rPr>
          <w:rFonts w:ascii="Times New Roman" w:hAnsi="Times New Roman"/>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5"/>
        <w:gridCol w:w="127"/>
        <w:gridCol w:w="899"/>
        <w:gridCol w:w="226"/>
        <w:gridCol w:w="220"/>
        <w:gridCol w:w="226"/>
        <w:gridCol w:w="7959"/>
      </w:tblGrid>
      <w:tr>
        <w:trPr/>
        <w:tc>
          <w:tcPr>
            <w:tcW w:w="4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44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b/>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Tammy Torgerson</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5</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Canada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688,977 (3)</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b/>
              </w:rPr>
            </w:pPr>
            <w:r>
              <w:rPr>
                <w:b/>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688,977 (3)</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rPr>
            </w:pPr>
            <w:r>
              <w:rPr>
                <w:b/>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688,977 (3)</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4.7%</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Mrs. Torgerson may be deemed to be the beneficial owner of the shares held by her spouse Lance Torgerson.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178787107</w:t>
      </w:r>
      <w:r>
        <w:rPr>
          <w:rFonts w:ascii="Times New Roman" w:hAnsi="Times New Roman"/>
          <w:sz w:val="20"/>
        </w:rPr>
        <w:t xml:space="preserve">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5"/>
        <w:gridCol w:w="127"/>
        <w:gridCol w:w="899"/>
        <w:gridCol w:w="226"/>
        <w:gridCol w:w="220"/>
        <w:gridCol w:w="226"/>
        <w:gridCol w:w="7959"/>
      </w:tblGrid>
      <w:tr>
        <w:trPr/>
        <w:tc>
          <w:tcPr>
            <w:tcW w:w="44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959" w:type="dxa"/>
            <w:tcBorders/>
            <w:vAlign w:val="center"/>
          </w:tcPr>
          <w:p>
            <w:pPr>
              <w:pStyle w:val="TableContents"/>
              <w:bidi w:val="0"/>
              <w:spacing w:before="0" w:after="283"/>
              <w:jc w:val="left"/>
              <w:rPr>
                <w:sz w:val="4"/>
                <w:szCs w:val="4"/>
              </w:rPr>
            </w:pPr>
            <w:r>
              <w:rPr>
                <w:sz w:val="4"/>
                <w:szCs w:val="4"/>
              </w:rPr>
            </w:r>
          </w:p>
        </w:tc>
      </w:tr>
      <w:tr>
        <w:trPr/>
        <w:tc>
          <w:tcPr>
            <w:tcW w:w="445"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b/>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Richard Torgerson</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5</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ITEMS 2(d) or 2(e)</w:t>
            </w:r>
          </w:p>
          <w:p>
            <w:pPr>
              <w:pStyle w:val="TableContents"/>
              <w:bidi w:val="0"/>
              <w:spacing w:before="0" w:after="20"/>
              <w:jc w:val="left"/>
              <w:rPr/>
            </w:pPr>
            <w:r>
              <w:rPr/>
              <w:t> </w:t>
            </w:r>
          </w:p>
        </w:tc>
      </w:tr>
      <w:tr>
        <w:trPr/>
        <w:tc>
          <w:tcPr>
            <w:tcW w:w="445"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6</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Canada</w:t>
            </w:r>
          </w:p>
        </w:tc>
      </w:tr>
    </w:tbl>
    <w:tbl>
      <w:tblPr>
        <w:tblW w:w="4950" w:type="pct"/>
        <w:jc w:val="left"/>
        <w:tblInd w:w="0" w:type="dxa"/>
        <w:tblLayout w:type="fixed"/>
        <w:tblCellMar>
          <w:top w:w="0" w:type="dxa"/>
          <w:left w:w="0" w:type="dxa"/>
          <w:bottom w:w="0" w:type="dxa"/>
          <w:right w:w="0" w:type="dxa"/>
        </w:tblCellMar>
      </w:tblPr>
      <w:tblGrid>
        <w:gridCol w:w="709"/>
        <w:gridCol w:w="484"/>
        <w:gridCol w:w="862"/>
        <w:gridCol w:w="177"/>
        <w:gridCol w:w="446"/>
        <w:gridCol w:w="126"/>
        <w:gridCol w:w="7298"/>
      </w:tblGrid>
      <w:tr>
        <w:trPr/>
        <w:tc>
          <w:tcPr>
            <w:tcW w:w="709"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055"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7 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8</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6" w:type="dxa"/>
            <w:tcBorders>
              <w:bottom w:val="single" w:sz="2" w:space="0" w:color="000000"/>
            </w:tcBorders>
            <w:tcMar>
              <w:bottom w:w="28" w:type="dxa"/>
            </w:tcMar>
          </w:tcPr>
          <w:p>
            <w:pPr>
              <w:pStyle w:val="TableContents"/>
              <w:bidi w:val="0"/>
              <w:spacing w:before="0" w:after="283"/>
              <w:jc w:val="left"/>
              <w:rPr/>
            </w:pPr>
            <w:r>
              <w:rPr/>
              <w:t> </w:t>
            </w:r>
            <w:r>
              <w:rPr>
                <w:b/>
              </w:rPr>
              <w:t>9</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98"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055"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b/>
              </w:rPr>
            </w:pPr>
            <w:r>
              <w:rPr>
                <w:b/>
              </w:rPr>
              <w:t>10</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298"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b/>
              </w:rPr>
            </w:pPr>
            <w:r>
              <w:rPr>
                <w:b/>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20"/>
              <w:jc w:val="left"/>
              <w:rPr/>
            </w:pPr>
            <w:r>
              <w:rPr/>
              <w:t> </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AMENDMENT NO. 13 TO SCHEDULE 13D </w:t>
      </w:r>
    </w:p>
    <w:p>
      <w:pPr>
        <w:pStyle w:val="TextBody"/>
        <w:bidi w:val="0"/>
        <w:spacing w:before="240" w:after="0"/>
        <w:jc w:val="left"/>
        <w:rPr>
          <w:rFonts w:ascii="Times New Roman" w:hAnsi="Times New Roman"/>
          <w:i/>
          <w:sz w:val="20"/>
        </w:rPr>
      </w:pPr>
      <w:r>
        <w:rPr>
          <w:rFonts w:ascii="Times New Roman" w:hAnsi="Times New Roman"/>
          <w:i/>
          <w:sz w:val="20"/>
        </w:rPr>
        <w:t xml:space="preserve">This Amendment No. 14 to Schedule 13D/A (the Amendment) relates to the Common Shares (Common Shares) of Civeo Corporation, a British Columbia corporation (the Issuer or the Company). This Amendment is being filed to amend the Schedule 13D/A that was filed on September 18, 2023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5.</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and (b) The information on the cover pages are incorporated by reference to this Item 5(a) and 5(b). </w:t>
      </w:r>
    </w:p>
    <w:p>
      <w:pPr>
        <w:pStyle w:val="TextBody"/>
        <w:bidi w:val="0"/>
        <w:spacing w:before="240" w:after="0"/>
        <w:jc w:val="left"/>
        <w:rPr>
          <w:rFonts w:ascii="Times New Roman" w:hAnsi="Times New Roman"/>
          <w:sz w:val="20"/>
        </w:rPr>
      </w:pPr>
      <w:r>
        <w:rPr>
          <w:rFonts w:ascii="Times New Roman" w:hAnsi="Times New Roman"/>
          <w:sz w:val="20"/>
        </w:rPr>
        <w:t>The ownership percentage is calculated based upon 14,745,906 Common Shares outstanding as of October 23, 2023, as reported in the Issuers Quarterly Report on Form 10-Q filed with the Securities and Exchange Commission (the SEC) on October 27, 2023.</w:t>
      </w:r>
    </w:p>
    <w:p>
      <w:pPr>
        <w:pStyle w:val="TextBody"/>
        <w:bidi w:val="0"/>
        <w:spacing w:before="240" w:after="0"/>
        <w:jc w:val="left"/>
        <w:rPr>
          <w:rFonts w:ascii="Times New Roman" w:hAnsi="Times New Roman"/>
          <w:sz w:val="20"/>
        </w:rPr>
      </w:pPr>
      <w:r>
        <w:rPr>
          <w:rFonts w:ascii="Times New Roman" w:hAnsi="Times New Roman"/>
          <w:sz w:val="20"/>
        </w:rPr>
        <w:t xml:space="preserve">(c) The table below sets forth all transactions in Common Shares within the past 60 days by the Reporting Persons. The transactions set forth below were effected on the open market. Except for the transactions set forth below, none of the Reporting Persons effected any transaction in the Common Shares during the past 60 days.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815"/>
        <w:gridCol w:w="259"/>
        <w:gridCol w:w="282"/>
        <w:gridCol w:w="2009"/>
        <w:gridCol w:w="60"/>
        <w:gridCol w:w="259"/>
        <w:gridCol w:w="152"/>
        <w:gridCol w:w="1729"/>
        <w:gridCol w:w="60"/>
        <w:gridCol w:w="259"/>
        <w:gridCol w:w="325"/>
        <w:gridCol w:w="1300"/>
        <w:gridCol w:w="63"/>
      </w:tblGrid>
      <w:tr>
        <w:trPr/>
        <w:tc>
          <w:tcPr>
            <w:tcW w:w="1815"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81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w:t>
            </w:r>
          </w:p>
        </w:tc>
        <w:tc>
          <w:tcPr>
            <w:tcW w:w="259" w:type="dxa"/>
            <w:tcBorders/>
            <w:vAlign w:val="bottom"/>
          </w:tcPr>
          <w:p>
            <w:pPr>
              <w:pStyle w:val="TableContents"/>
              <w:bidi w:val="0"/>
              <w:spacing w:before="0" w:after="283"/>
              <w:jc w:val="left"/>
              <w:rPr/>
            </w:pPr>
            <w:r>
              <w:rPr/>
              <w:t>  </w:t>
            </w:r>
          </w:p>
        </w:tc>
        <w:tc>
          <w:tcPr>
            <w:tcW w:w="2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Nature of Transaction</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Per Share</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7,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206</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21.00</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September 12,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299</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21.00</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14,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15,880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21.00</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September 18,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29,675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20.62</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19,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2,947</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20.54</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September 20,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574</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20.02</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21,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41,575</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19.83</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September 22,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11,672</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19.73</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25,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3,378</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19.75</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October 5,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6,400</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20.56</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10,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20.53</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October 12,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8,515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20.00</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13,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4,775</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20.00</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October 16,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17,898</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20.01</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17,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16,477</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20.00</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October 18,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20.25</w:t>
            </w:r>
          </w:p>
        </w:tc>
        <w:tc>
          <w:tcPr>
            <w:tcW w:w="63" w:type="dxa"/>
            <w:tcBorders/>
            <w:vAlign w:val="bottom"/>
          </w:tcPr>
          <w:p>
            <w:pPr>
              <w:pStyle w:val="TableContents"/>
              <w:bidi w:val="0"/>
              <w:spacing w:before="0" w:after="283"/>
              <w:jc w:val="left"/>
              <w:rPr/>
            </w:pPr>
            <w:r>
              <w:rPr/>
              <w:t> </w:t>
            </w:r>
          </w:p>
        </w:tc>
      </w:tr>
      <w:tr>
        <w:trPr/>
        <w:tc>
          <w:tcPr>
            <w:tcW w:w="1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October 30, 2023</w:t>
            </w:r>
          </w:p>
        </w:tc>
        <w:tc>
          <w:tcPr>
            <w:tcW w:w="25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09" w:type="dxa"/>
            <w:tcBorders/>
            <w:shd w:fill="CCEEFF" w:val="clear"/>
            <w:vAlign w:val="bottom"/>
          </w:tcPr>
          <w:p>
            <w:pPr>
              <w:pStyle w:val="TableContents"/>
              <w:bidi w:val="0"/>
              <w:spacing w:before="0" w:after="283"/>
              <w:jc w:val="right"/>
              <w:rPr/>
            </w:pPr>
            <w:r>
              <w:rPr/>
              <w:t>Sale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729" w:type="dxa"/>
            <w:tcBorders/>
            <w:shd w:fill="CCEEFF" w:val="clear"/>
            <w:vAlign w:val="bottom"/>
          </w:tcPr>
          <w:p>
            <w:pPr>
              <w:pStyle w:val="TableContents"/>
              <w:bidi w:val="0"/>
              <w:spacing w:before="0" w:after="283"/>
              <w:jc w:val="right"/>
              <w:rPr/>
            </w:pPr>
            <w:r>
              <w:rPr/>
              <w:t>46,904</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1300" w:type="dxa"/>
            <w:tcBorders/>
            <w:shd w:fill="CCEEFF" w:val="clear"/>
            <w:vAlign w:val="bottom"/>
          </w:tcPr>
          <w:p>
            <w:pPr>
              <w:pStyle w:val="TableContents"/>
              <w:bidi w:val="0"/>
              <w:spacing w:before="0" w:after="283"/>
              <w:jc w:val="right"/>
              <w:rPr/>
            </w:pPr>
            <w:r>
              <w:rPr/>
              <w:t>19.68</w:t>
            </w:r>
          </w:p>
        </w:tc>
        <w:tc>
          <w:tcPr>
            <w:tcW w:w="63" w:type="dxa"/>
            <w:tcBorders/>
            <w:shd w:fill="CCEEFF" w:val="clear"/>
            <w:vAlign w:val="bottom"/>
          </w:tcPr>
          <w:p>
            <w:pPr>
              <w:pStyle w:val="TableContents"/>
              <w:bidi w:val="0"/>
              <w:spacing w:before="0" w:after="283"/>
              <w:jc w:val="left"/>
              <w:rPr/>
            </w:pPr>
            <w:r>
              <w:rPr/>
              <w:t> </w:t>
            </w:r>
          </w:p>
        </w:tc>
      </w:tr>
      <w:tr>
        <w:trPr/>
        <w:tc>
          <w:tcPr>
            <w:tcW w:w="1815" w:type="dxa"/>
            <w:tcBorders/>
          </w:tcPr>
          <w:p>
            <w:pPr>
              <w:pStyle w:val="TableContents"/>
              <w:bidi w:val="0"/>
              <w:spacing w:before="0" w:after="0"/>
              <w:jc w:val="left"/>
              <w:rPr>
                <w:rFonts w:ascii="Times New Roman" w:hAnsi="Times New Roman"/>
                <w:sz w:val="20"/>
              </w:rPr>
            </w:pPr>
            <w:r>
              <w:rPr>
                <w:rFonts w:ascii="Times New Roman" w:hAnsi="Times New Roman"/>
                <w:sz w:val="20"/>
              </w:rPr>
              <w:t>October 31, 2023</w:t>
            </w:r>
          </w:p>
        </w:tc>
        <w:tc>
          <w:tcPr>
            <w:tcW w:w="25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09" w:type="dxa"/>
            <w:tcBorders/>
            <w:vAlign w:val="bottom"/>
          </w:tcPr>
          <w:p>
            <w:pPr>
              <w:pStyle w:val="TableContents"/>
              <w:bidi w:val="0"/>
              <w:spacing w:before="0" w:after="283"/>
              <w:jc w:val="right"/>
              <w:rPr/>
            </w:pPr>
            <w:r>
              <w:rPr/>
              <w:t>Sale</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29" w:type="dxa"/>
            <w:tcBorders/>
            <w:vAlign w:val="bottom"/>
          </w:tcPr>
          <w:p>
            <w:pPr>
              <w:pStyle w:val="TableContents"/>
              <w:bidi w:val="0"/>
              <w:spacing w:before="0" w:after="283"/>
              <w:jc w:val="right"/>
              <w:rPr/>
            </w:pPr>
            <w:r>
              <w:rPr/>
              <w:t>64,321</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1300" w:type="dxa"/>
            <w:tcBorders/>
            <w:vAlign w:val="bottom"/>
          </w:tcPr>
          <w:p>
            <w:pPr>
              <w:pStyle w:val="TableContents"/>
              <w:bidi w:val="0"/>
              <w:spacing w:before="0" w:after="283"/>
              <w:jc w:val="right"/>
              <w:rPr/>
            </w:pPr>
            <w:r>
              <w:rPr/>
              <w:t>19.86</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(e) As of October 31, 2023 the Reporting Persons ceased to be the beneficial owner of more than five percent of the issuers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November 2, 2023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9"/>
        <w:gridCol w:w="60"/>
        <w:gridCol w:w="3323"/>
      </w:tblGrid>
      <w:tr>
        <w:trPr/>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Torgerson Family Trust</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vAlign w:val="bottom"/>
          </w:tcPr>
          <w:p>
            <w:pPr>
              <w:pStyle w:val="TableContents"/>
              <w:bidi w:val="0"/>
              <w:spacing w:before="0" w:after="283"/>
              <w:jc w:val="left"/>
              <w:rPr/>
            </w:pPr>
            <w:r>
              <w:rPr/>
              <w:t>/s/ Lance Torgerson</w:t>
            </w:r>
          </w:p>
        </w:tc>
      </w:tr>
      <w:tr>
        <w:trPr/>
        <w:tc>
          <w:tcPr>
            <w:tcW w:w="69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Lance Torgerson</w:t>
            </w:r>
          </w:p>
        </w:tc>
      </w:tr>
      <w:tr>
        <w:trPr/>
        <w:tc>
          <w:tcPr>
            <w:tcW w:w="69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989677 Alberta Ltd.</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vAlign w:val="bottom"/>
          </w:tcPr>
          <w:p>
            <w:pPr>
              <w:pStyle w:val="TableContents"/>
              <w:bidi w:val="0"/>
              <w:spacing w:before="0" w:after="283"/>
              <w:jc w:val="left"/>
              <w:rPr/>
            </w:pPr>
            <w:r>
              <w:rPr/>
              <w:t>/s/ Lance Torgerson</w:t>
            </w:r>
          </w:p>
        </w:tc>
      </w:tr>
      <w:tr>
        <w:trPr/>
        <w:tc>
          <w:tcPr>
            <w:tcW w:w="69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Lance Torgerson</w:t>
            </w:r>
          </w:p>
        </w:tc>
      </w:tr>
      <w:tr>
        <w:trPr/>
        <w:tc>
          <w:tcPr>
            <w:tcW w:w="69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Svenco Investments Ltd.</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vAlign w:val="bottom"/>
          </w:tcPr>
          <w:p>
            <w:pPr>
              <w:pStyle w:val="TableContents"/>
              <w:bidi w:val="0"/>
              <w:spacing w:before="0" w:after="283"/>
              <w:jc w:val="left"/>
              <w:rPr/>
            </w:pPr>
            <w:r>
              <w:rPr/>
              <w:t>/s/ Lance Torgerson</w:t>
            </w:r>
          </w:p>
        </w:tc>
      </w:tr>
      <w:tr>
        <w:trPr/>
        <w:tc>
          <w:tcPr>
            <w:tcW w:w="69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Lance Torgerson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Torlowna Investments Ltd.</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3383"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3" w:type="dxa"/>
            <w:tcBorders>
              <w:bottom w:val="single" w:sz="2" w:space="0" w:color="000000"/>
            </w:tcBorders>
            <w:tcMar>
              <w:bottom w:w="28" w:type="dxa"/>
            </w:tcMar>
            <w:vAlign w:val="bottom"/>
          </w:tcPr>
          <w:p>
            <w:pPr>
              <w:pStyle w:val="TableContents"/>
              <w:bidi w:val="0"/>
              <w:spacing w:before="0" w:after="283"/>
              <w:jc w:val="left"/>
              <w:rPr/>
            </w:pPr>
            <w:r>
              <w:rPr/>
              <w:t>/s/ Lance Torgerson</w:t>
            </w:r>
          </w:p>
        </w:tc>
      </w:tr>
      <w:tr>
        <w:trPr/>
        <w:tc>
          <w:tcPr>
            <w:tcW w:w="69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Lance Torgerson</w:t>
            </w:r>
          </w:p>
        </w:tc>
      </w:tr>
      <w:tr>
        <w:trPr/>
        <w:tc>
          <w:tcPr>
            <w:tcW w:w="69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3" w:type="dxa"/>
            <w:tcBorders/>
            <w:vAlign w:val="bottom"/>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Lance Torgerson</w:t>
            </w:r>
          </w:p>
        </w:tc>
      </w:tr>
      <w:tr>
        <w:trPr/>
        <w:tc>
          <w:tcPr>
            <w:tcW w:w="4082" w:type="dxa"/>
            <w:gridSpan w:val="3"/>
            <w:tcBorders/>
            <w:vAlign w:val="bottom"/>
          </w:tcPr>
          <w:p>
            <w:pPr>
              <w:pStyle w:val="TableContents"/>
              <w:bidi w:val="0"/>
              <w:spacing w:before="0" w:after="283"/>
              <w:jc w:val="left"/>
              <w:rPr>
                <w:b/>
              </w:rPr>
            </w:pPr>
            <w:r>
              <w:rPr>
                <w:b/>
              </w:rPr>
              <w:t>Lance Torgerson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Richard Torgerson</w:t>
            </w:r>
          </w:p>
        </w:tc>
      </w:tr>
      <w:tr>
        <w:trPr/>
        <w:tc>
          <w:tcPr>
            <w:tcW w:w="4082" w:type="dxa"/>
            <w:gridSpan w:val="3"/>
            <w:tcBorders/>
            <w:vAlign w:val="bottom"/>
          </w:tcPr>
          <w:p>
            <w:pPr>
              <w:pStyle w:val="TableContents"/>
              <w:bidi w:val="0"/>
              <w:spacing w:before="0" w:after="283"/>
              <w:jc w:val="left"/>
              <w:rPr>
                <w:b/>
              </w:rPr>
            </w:pPr>
            <w:r>
              <w:rPr>
                <w:b/>
              </w:rPr>
              <w:t>Richard Torgerson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Tammy Torgerson</w:t>
            </w:r>
          </w:p>
        </w:tc>
      </w:tr>
      <w:tr>
        <w:trPr/>
        <w:tc>
          <w:tcPr>
            <w:tcW w:w="4082" w:type="dxa"/>
            <w:gridSpan w:val="3"/>
            <w:tcBorders/>
          </w:tcPr>
          <w:p>
            <w:pPr>
              <w:pStyle w:val="TableContents"/>
              <w:bidi w:val="0"/>
              <w:spacing w:before="0" w:after="283"/>
              <w:jc w:val="left"/>
              <w:rPr>
                <w:b/>
              </w:rPr>
            </w:pPr>
            <w:r>
              <w:rPr>
                <w:b/>
              </w:rPr>
              <w:t>Tammy Torgerson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1816</Words>
  <Characters>8605</Characters>
  <CharactersWithSpaces>10732</CharactersWithSpaces>
  <Paragraphs>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13D/A</dc:title>
</cp:coreProperties>
</file>