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23"/>
          <w:szCs w:val="23"/>
          <w:b w:val="1"/>
          <w:bCs w:val="1"/>
          <w:color w:val="auto"/>
        </w:rPr>
        <w:t>UNITED STATES</w:t>
      </w:r>
    </w:p>
    <w:p>
      <w:pPr>
        <w:spacing w:after="0" w:line="3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3"/>
          <w:szCs w:val="23"/>
          <w:b w:val="1"/>
          <w:bCs w:val="1"/>
          <w:color w:val="auto"/>
        </w:rPr>
        <w:t>SECURITIES AND EXCHANGE COMMISSION</w:t>
      </w:r>
    </w:p>
    <w:p>
      <w:pPr>
        <w:spacing w:after="0" w:line="1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Washington, D.C. 20549</w:t>
      </w:r>
    </w:p>
    <w:p>
      <w:pPr>
        <w:spacing w:after="0" w:line="183" w:lineRule="exact"/>
        <w:rPr>
          <w:sz w:val="24"/>
          <w:szCs w:val="24"/>
          <w:color w:val="auto"/>
        </w:rPr>
      </w:pPr>
    </w:p>
    <w:p>
      <w:pPr>
        <w:ind w:left="4880"/>
        <w:spacing w:after="0"/>
        <w:rPr>
          <w:sz w:val="20"/>
          <w:szCs w:val="20"/>
          <w:color w:val="auto"/>
        </w:rPr>
      </w:pPr>
      <w:r>
        <w:rPr>
          <w:rFonts w:ascii="Times New Roman" w:cs="Times New Roman" w:eastAsia="Times New Roman" w:hAnsi="Times New Roman"/>
          <w:sz w:val="17"/>
          <w:szCs w:val="17"/>
          <w:color w:val="auto"/>
        </w:rPr>
        <w:t>__________________</w:t>
      </w:r>
    </w:p>
    <w:p>
      <w:pPr>
        <w:spacing w:after="0" w:line="18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3"/>
          <w:szCs w:val="23"/>
          <w:b w:val="1"/>
          <w:bCs w:val="1"/>
          <w:color w:val="auto"/>
        </w:rPr>
        <w:t>FORM 8-K</w:t>
      </w:r>
    </w:p>
    <w:p>
      <w:pPr>
        <w:spacing w:after="0" w:line="20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CURRENT REPORT PURSUANT TO SECTION 13 OR 15(d)</w:t>
      </w:r>
    </w:p>
    <w:p>
      <w:pPr>
        <w:spacing w:after="0" w:line="2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OF THE SECURITIES EXCHANGE ACT OF 1934</w:t>
      </w:r>
    </w:p>
    <w:p>
      <w:pPr>
        <w:spacing w:after="0" w:line="18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DATE OF REPORT (DATE OF EARLIEST EVENT REPORTED): December 22, 2022</w:t>
      </w:r>
    </w:p>
    <w:p>
      <w:pPr>
        <w:spacing w:after="0" w:line="39" w:lineRule="exact"/>
        <w:rPr>
          <w:sz w:val="24"/>
          <w:szCs w:val="24"/>
          <w:color w:val="auto"/>
        </w:rPr>
      </w:pPr>
    </w:p>
    <w:p>
      <w:pPr>
        <w:ind w:left="4800"/>
        <w:spacing w:after="0"/>
        <w:rPr>
          <w:sz w:val="20"/>
          <w:szCs w:val="20"/>
          <w:color w:val="auto"/>
        </w:rPr>
      </w:pPr>
      <w:r>
        <w:rPr>
          <w:rFonts w:ascii="Times New Roman" w:cs="Times New Roman" w:eastAsia="Times New Roman" w:hAnsi="Times New Roman"/>
          <w:sz w:val="17"/>
          <w:szCs w:val="17"/>
          <w:u w:val="single" w:color="auto"/>
          <w:color w:val="auto"/>
        </w:rPr>
        <w:t>____________________</w:t>
      </w:r>
    </w:p>
    <w:p>
      <w:pPr>
        <w:spacing w:after="0" w:line="15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3"/>
          <w:szCs w:val="23"/>
          <w:b w:val="1"/>
          <w:bCs w:val="1"/>
          <w:color w:val="auto"/>
        </w:rPr>
        <w:t>Civeo Corporation</w:t>
      </w:r>
    </w:p>
    <w:p>
      <w:pPr>
        <w:spacing w:after="0" w:line="3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(Exact name of registrant as specified in its charter)</w:t>
      </w:r>
    </w:p>
    <w:p>
      <w:pPr>
        <w:sectPr>
          <w:pgSz w:w="11900" w:h="16838" w:orient="portrait"/>
          <w:cols w:equalWidth="0" w:num="1">
            <w:col w:w="11260"/>
          </w:cols>
          <w:pgMar w:left="300" w:top="1117" w:right="339" w:bottom="1440" w:gutter="0" w:footer="0" w:header="0"/>
        </w:sectPr>
      </w:pPr>
    </w:p>
    <w:p>
      <w:pPr>
        <w:spacing w:after="0" w:line="213" w:lineRule="exact"/>
        <w:rPr>
          <w:sz w:val="24"/>
          <w:szCs w:val="24"/>
          <w:color w:val="auto"/>
        </w:rPr>
      </w:pPr>
    </w:p>
    <w:p>
      <w:pPr>
        <w:ind w:left="880"/>
        <w:spacing w:after="0"/>
        <w:rPr>
          <w:sz w:val="20"/>
          <w:szCs w:val="20"/>
          <w:color w:val="auto"/>
        </w:rPr>
      </w:pPr>
      <w:r>
        <w:rPr>
          <w:rFonts w:ascii="Times New Roman" w:cs="Times New Roman" w:eastAsia="Times New Roman" w:hAnsi="Times New Roman"/>
          <w:sz w:val="17"/>
          <w:szCs w:val="17"/>
          <w:b w:val="1"/>
          <w:bCs w:val="1"/>
          <w:color w:val="auto"/>
        </w:rPr>
        <w:t>British Columbia, Canada</w:t>
      </w:r>
    </w:p>
    <w:p>
      <w:pPr>
        <w:spacing w:after="0" w:line="20" w:lineRule="exact"/>
        <w:rPr>
          <w:sz w:val="24"/>
          <w:szCs w:val="24"/>
          <w:color w:val="auto"/>
        </w:rPr>
      </w:pPr>
      <w:r>
        <w:rPr>
          <w:sz w:val="24"/>
          <w:szCs w:val="24"/>
          <w:color w:val="auto"/>
        </w:rPr>
        <w:br w:type="column"/>
      </w:r>
    </w:p>
    <w:p>
      <w:pPr>
        <w:spacing w:after="0" w:line="193"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1-36246</w:t>
      </w:r>
    </w:p>
    <w:p>
      <w:pPr>
        <w:spacing w:after="0" w:line="20" w:lineRule="exact"/>
        <w:rPr>
          <w:sz w:val="24"/>
          <w:szCs w:val="24"/>
          <w:color w:val="auto"/>
        </w:rPr>
      </w:pPr>
      <w:r>
        <w:rPr>
          <w:sz w:val="24"/>
          <w:szCs w:val="24"/>
          <w:color w:val="auto"/>
        </w:rPr>
        <w:br w:type="column"/>
      </w:r>
    </w:p>
    <w:p>
      <w:pPr>
        <w:spacing w:after="0" w:line="193"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98-1253716</w:t>
      </w:r>
    </w:p>
    <w:p>
      <w:pPr>
        <w:spacing w:after="0" w:line="31" w:lineRule="exact"/>
        <w:rPr>
          <w:sz w:val="24"/>
          <w:szCs w:val="24"/>
          <w:color w:val="auto"/>
        </w:rPr>
      </w:pPr>
    </w:p>
    <w:p>
      <w:pPr>
        <w:sectPr>
          <w:pgSz w:w="11900" w:h="16838" w:orient="portrait"/>
          <w:cols w:equalWidth="0" w:num="3">
            <w:col w:w="4520" w:space="720"/>
            <w:col w:w="2700" w:space="720"/>
            <w:col w:w="2600"/>
          </w:cols>
          <w:pgMar w:left="300" w:top="1117" w:right="339" w:bottom="1440" w:gutter="0" w:footer="0" w:header="0"/>
          <w:type w:val="continuous"/>
        </w:sectPr>
      </w:pPr>
    </w:p>
    <w:p>
      <w:pPr>
        <w:jc w:val="center"/>
        <w:ind w:right="180"/>
        <w:spacing w:after="0"/>
        <w:rPr>
          <w:sz w:val="20"/>
          <w:szCs w:val="20"/>
          <w:color w:val="auto"/>
        </w:rPr>
      </w:pPr>
      <w:r>
        <w:rPr>
          <w:rFonts w:ascii="Times New Roman" w:cs="Times New Roman" w:eastAsia="Times New Roman" w:hAnsi="Times New Roman"/>
          <w:sz w:val="14"/>
          <w:szCs w:val="14"/>
          <w:color w:val="auto"/>
        </w:rPr>
        <w:t>(State or other jurisdiction</w:t>
      </w:r>
    </w:p>
    <w:p>
      <w:pPr>
        <w:jc w:val="center"/>
        <w:ind w:right="180"/>
        <w:spacing w:after="0"/>
        <w:rPr>
          <w:sz w:val="20"/>
          <w:szCs w:val="20"/>
          <w:color w:val="auto"/>
        </w:rPr>
      </w:pPr>
      <w:r>
        <w:rPr>
          <w:rFonts w:ascii="Times New Roman" w:cs="Times New Roman" w:eastAsia="Times New Roman" w:hAnsi="Times New Roman"/>
          <w:sz w:val="14"/>
          <w:szCs w:val="14"/>
          <w:color w:val="auto"/>
        </w:rPr>
        <w:t>of incorporation or organization)</w:t>
      </w:r>
    </w:p>
    <w:p>
      <w:pPr>
        <w:spacing w:after="0" w:line="20" w:lineRule="exact"/>
        <w:rPr>
          <w:sz w:val="24"/>
          <w:szCs w:val="24"/>
          <w:color w:val="auto"/>
        </w:rPr>
      </w:pPr>
      <w:r>
        <w:rPr>
          <w:sz w:val="24"/>
          <w:szCs w:val="24"/>
          <w:color w:val="auto"/>
        </w:rPr>
        <w:br w:type="column"/>
      </w:r>
    </w:p>
    <w:p>
      <w:pPr>
        <w:jc w:val="center"/>
        <w:ind w:right="1560"/>
        <w:spacing w:after="0"/>
        <w:rPr>
          <w:sz w:val="20"/>
          <w:szCs w:val="20"/>
          <w:color w:val="auto"/>
        </w:rPr>
      </w:pPr>
      <w:r>
        <w:rPr>
          <w:rFonts w:ascii="Times New Roman" w:cs="Times New Roman" w:eastAsia="Times New Roman" w:hAnsi="Times New Roman"/>
          <w:sz w:val="14"/>
          <w:szCs w:val="14"/>
          <w:color w:val="auto"/>
        </w:rPr>
        <w:t>(Commission File</w:t>
      </w:r>
    </w:p>
    <w:p>
      <w:pPr>
        <w:jc w:val="center"/>
        <w:ind w:right="1560"/>
        <w:spacing w:after="0"/>
        <w:rPr>
          <w:sz w:val="20"/>
          <w:szCs w:val="20"/>
          <w:color w:val="auto"/>
        </w:rPr>
      </w:pPr>
      <w:r>
        <w:rPr>
          <w:rFonts w:ascii="Times New Roman" w:cs="Times New Roman" w:eastAsia="Times New Roman" w:hAnsi="Times New Roman"/>
          <w:sz w:val="14"/>
          <w:szCs w:val="14"/>
          <w:color w:val="auto"/>
        </w:rPr>
        <w:t>Number)</w:t>
      </w:r>
    </w:p>
    <w:p>
      <w:pPr>
        <w:spacing w:after="0" w:line="20" w:lineRule="exact"/>
        <w:rPr>
          <w:sz w:val="24"/>
          <w:szCs w:val="24"/>
          <w:color w:val="auto"/>
        </w:rPr>
      </w:pPr>
      <w:r>
        <w:rPr>
          <w:sz w:val="24"/>
          <w:szCs w:val="24"/>
          <w:color w:val="auto"/>
        </w:rPr>
        <w:br w:type="column"/>
      </w:r>
    </w:p>
    <w:p>
      <w:pPr>
        <w:ind w:left="40"/>
        <w:spacing w:after="0"/>
        <w:rPr>
          <w:sz w:val="20"/>
          <w:szCs w:val="20"/>
          <w:color w:val="auto"/>
        </w:rPr>
      </w:pPr>
      <w:r>
        <w:rPr>
          <w:rFonts w:ascii="Times New Roman" w:cs="Times New Roman" w:eastAsia="Times New Roman" w:hAnsi="Times New Roman"/>
          <w:sz w:val="14"/>
          <w:szCs w:val="14"/>
          <w:color w:val="auto"/>
        </w:rPr>
        <w:t>(I.R.S. Employer</w:t>
      </w:r>
    </w:p>
    <w:p>
      <w:pPr>
        <w:spacing w:after="0"/>
        <w:rPr>
          <w:sz w:val="20"/>
          <w:szCs w:val="20"/>
          <w:color w:val="auto"/>
        </w:rPr>
      </w:pPr>
      <w:r>
        <w:rPr>
          <w:rFonts w:ascii="Times New Roman" w:cs="Times New Roman" w:eastAsia="Times New Roman" w:hAnsi="Times New Roman"/>
          <w:sz w:val="14"/>
          <w:szCs w:val="14"/>
          <w:color w:val="auto"/>
        </w:rPr>
        <w:t>Identification No.)</w:t>
      </w:r>
    </w:p>
    <w:p>
      <w:pPr>
        <w:spacing w:after="0" w:line="121" w:lineRule="exact"/>
        <w:rPr>
          <w:sz w:val="24"/>
          <w:szCs w:val="24"/>
          <w:color w:val="auto"/>
        </w:rPr>
      </w:pPr>
    </w:p>
    <w:p>
      <w:pPr>
        <w:sectPr>
          <w:pgSz w:w="11900" w:h="16838" w:orient="portrait"/>
          <w:cols w:equalWidth="0" w:num="3">
            <w:col w:w="4300" w:space="720"/>
            <w:col w:w="2580" w:space="720"/>
            <w:col w:w="2940"/>
          </w:cols>
          <w:pgMar w:left="300" w:top="1117" w:right="339" w:bottom="1440" w:gutter="0" w:footer="0" w:header="0"/>
          <w:type w:val="continuous"/>
        </w:sectPr>
      </w:pPr>
    </w:p>
    <w:p>
      <w:pPr>
        <w:ind w:left="4820"/>
        <w:spacing w:after="0"/>
        <w:rPr>
          <w:sz w:val="20"/>
          <w:szCs w:val="20"/>
          <w:color w:val="auto"/>
        </w:rPr>
      </w:pPr>
      <w:r>
        <w:rPr>
          <w:rFonts w:ascii="Times New Roman" w:cs="Times New Roman" w:eastAsia="Times New Roman" w:hAnsi="Times New Roman"/>
          <w:sz w:val="17"/>
          <w:szCs w:val="17"/>
          <w:b w:val="1"/>
          <w:bCs w:val="1"/>
          <w:color w:val="auto"/>
        </w:rPr>
        <w:t>Three Allen Center</w:t>
      </w:r>
    </w:p>
    <w:p>
      <w:pPr>
        <w:spacing w:after="0" w:line="102" w:lineRule="exact"/>
        <w:rPr>
          <w:sz w:val="24"/>
          <w:szCs w:val="24"/>
          <w:color w:val="auto"/>
        </w:rPr>
      </w:pPr>
    </w:p>
    <w:p>
      <w:pPr>
        <w:ind w:left="4700"/>
        <w:spacing w:after="0"/>
        <w:rPr>
          <w:sz w:val="20"/>
          <w:szCs w:val="20"/>
          <w:color w:val="auto"/>
        </w:rPr>
      </w:pPr>
      <w:r>
        <w:rPr>
          <w:rFonts w:ascii="Times New Roman" w:cs="Times New Roman" w:eastAsia="Times New Roman" w:hAnsi="Times New Roman"/>
          <w:sz w:val="16"/>
          <w:szCs w:val="16"/>
          <w:b w:val="1"/>
          <w:bCs w:val="1"/>
          <w:color w:val="auto"/>
        </w:rPr>
        <w:t>333 Clay Street, Suite 4980</w:t>
      </w:r>
    </w:p>
    <w:p>
      <w:pPr>
        <w:sectPr>
          <w:pgSz w:w="11900" w:h="16838" w:orient="portrait"/>
          <w:cols w:equalWidth="0" w:num="1">
            <w:col w:w="11260"/>
          </w:cols>
          <w:pgMar w:left="300" w:top="1117" w:right="339" w:bottom="1440" w:gutter="0" w:footer="0" w:header="0"/>
          <w:type w:val="continuous"/>
        </w:sectPr>
      </w:pPr>
    </w:p>
    <w:p>
      <w:pPr>
        <w:spacing w:after="0" w:line="124" w:lineRule="exact"/>
        <w:rPr>
          <w:sz w:val="24"/>
          <w:szCs w:val="24"/>
          <w:color w:val="auto"/>
        </w:rPr>
      </w:pPr>
    </w:p>
    <w:p>
      <w:pPr>
        <w:ind w:left="4900"/>
        <w:spacing w:after="0"/>
        <w:rPr>
          <w:sz w:val="20"/>
          <w:szCs w:val="20"/>
          <w:color w:val="auto"/>
        </w:rPr>
      </w:pPr>
      <w:r>
        <w:rPr>
          <w:rFonts w:ascii="Times New Roman" w:cs="Times New Roman" w:eastAsia="Times New Roman" w:hAnsi="Times New Roman"/>
          <w:sz w:val="16"/>
          <w:szCs w:val="16"/>
          <w:b w:val="1"/>
          <w:bCs w:val="1"/>
          <w:color w:val="auto"/>
        </w:rPr>
        <w:t>Houston, Texas</w:t>
      </w:r>
    </w:p>
    <w:p>
      <w:pPr>
        <w:spacing w:after="0" w:line="20" w:lineRule="exact"/>
        <w:rPr>
          <w:sz w:val="24"/>
          <w:szCs w:val="24"/>
          <w:color w:val="auto"/>
        </w:rPr>
      </w:pPr>
      <w:r>
        <w:rPr>
          <w:sz w:val="24"/>
          <w:szCs w:val="24"/>
          <w:color w:val="auto"/>
        </w:rPr>
        <w:br w:type="column"/>
      </w:r>
    </w:p>
    <w:p>
      <w:pPr>
        <w:spacing w:after="0" w:line="104"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77002</w:t>
      </w:r>
    </w:p>
    <w:p>
      <w:pPr>
        <w:spacing w:after="0" w:line="39" w:lineRule="exact"/>
        <w:rPr>
          <w:sz w:val="24"/>
          <w:szCs w:val="24"/>
          <w:color w:val="auto"/>
        </w:rPr>
      </w:pPr>
    </w:p>
    <w:p>
      <w:pPr>
        <w:sectPr>
          <w:pgSz w:w="11900" w:h="16838" w:orient="portrait"/>
          <w:cols w:equalWidth="0" w:num="2">
            <w:col w:w="6000" w:space="460"/>
            <w:col w:w="4800"/>
          </w:cols>
          <w:pgMar w:left="300" w:top="1117" w:right="339" w:bottom="1440" w:gutter="0" w:footer="0" w:header="0"/>
          <w:type w:val="continuous"/>
        </w:sectPr>
      </w:pPr>
    </w:p>
    <w:p>
      <w:pPr>
        <w:jc w:val="center"/>
        <w:ind w:right="-19"/>
        <w:spacing w:after="0"/>
        <w:rPr>
          <w:sz w:val="20"/>
          <w:szCs w:val="20"/>
          <w:color w:val="auto"/>
        </w:rPr>
      </w:pPr>
      <w:r>
        <w:rPr>
          <w:rFonts w:ascii="Times New Roman" w:cs="Times New Roman" w:eastAsia="Times New Roman" w:hAnsi="Times New Roman"/>
          <w:sz w:val="14"/>
          <w:szCs w:val="14"/>
          <w:color w:val="auto"/>
        </w:rPr>
        <w:t>(Address and zip code of principal executive offices)</w:t>
      </w:r>
    </w:p>
    <w:p>
      <w:pPr>
        <w:sectPr>
          <w:pgSz w:w="11900" w:h="16838" w:orient="portrait"/>
          <w:cols w:equalWidth="0" w:num="1">
            <w:col w:w="11260"/>
          </w:cols>
          <w:pgMar w:left="300" w:top="1117" w:right="339" w:bottom="1440" w:gutter="0" w:footer="0" w:header="0"/>
          <w:type w:val="continuous"/>
        </w:sectPr>
      </w:pPr>
    </w:p>
    <w:p>
      <w:pPr>
        <w:spacing w:after="0" w:line="26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 xml:space="preserve">Registrant’s telephone number, including area code: </w:t>
      </w:r>
      <w:r>
        <w:rPr>
          <w:rFonts w:ascii="Times New Roman" w:cs="Times New Roman" w:eastAsia="Times New Roman" w:hAnsi="Times New Roman"/>
          <w:sz w:val="14"/>
          <w:szCs w:val="14"/>
          <w:color w:val="auto"/>
        </w:rPr>
        <w:t>(713) 510-2400</w:t>
      </w:r>
    </w:p>
    <w:p>
      <w:pPr>
        <w:spacing w:after="0" w:line="393"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color w:val="auto"/>
        </w:rPr>
        <w:t>Check the appropriate box below if the Form 8-K filing is intended to simultaneously satisfy the filing obligation of the registrant under any of the following provisions (see General Instruction A.2.</w:t>
      </w:r>
    </w:p>
    <w:p>
      <w:pPr>
        <w:spacing w:after="0" w:line="23"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color w:val="auto"/>
        </w:rPr>
        <w:t>below):</w:t>
      </w:r>
    </w:p>
    <w:p>
      <w:pPr>
        <w:spacing w:after="0" w:line="185" w:lineRule="exact"/>
        <w:rPr>
          <w:sz w:val="24"/>
          <w:szCs w:val="24"/>
          <w:color w:val="auto"/>
        </w:rPr>
      </w:pPr>
    </w:p>
    <w:p>
      <w:pPr>
        <w:ind w:left="160" w:hanging="155"/>
        <w:spacing w:after="0"/>
        <w:tabs>
          <w:tab w:leader="none" w:pos="160" w:val="left"/>
        </w:tabs>
        <w:numPr>
          <w:ilvl w:val="0"/>
          <w:numId w:val="1"/>
        </w:numPr>
        <w:rPr>
          <w:rFonts w:ascii="MS PGothic" w:cs="MS PGothic" w:eastAsia="MS PGothic" w:hAnsi="MS PGothic"/>
          <w:sz w:val="14"/>
          <w:szCs w:val="14"/>
          <w:color w:val="auto"/>
        </w:rPr>
      </w:pPr>
      <w:r>
        <w:rPr>
          <w:rFonts w:ascii="Times New Roman" w:cs="Times New Roman" w:eastAsia="Times New Roman" w:hAnsi="Times New Roman"/>
          <w:sz w:val="14"/>
          <w:szCs w:val="14"/>
          <w:color w:val="auto"/>
        </w:rPr>
        <w:t>Written communications pursuant to Rule 425 under the Securities Act (17 CFR 230.425)</w:t>
      </w:r>
    </w:p>
    <w:p>
      <w:pPr>
        <w:spacing w:after="0" w:line="199" w:lineRule="exact"/>
        <w:rPr>
          <w:rFonts w:ascii="MS PGothic" w:cs="MS PGothic" w:eastAsia="MS PGothic" w:hAnsi="MS PGothic"/>
          <w:sz w:val="14"/>
          <w:szCs w:val="14"/>
          <w:color w:val="auto"/>
        </w:rPr>
      </w:pPr>
    </w:p>
    <w:p>
      <w:pPr>
        <w:ind w:left="160" w:hanging="155"/>
        <w:spacing w:after="0"/>
        <w:tabs>
          <w:tab w:leader="none" w:pos="160" w:val="left"/>
        </w:tabs>
        <w:numPr>
          <w:ilvl w:val="0"/>
          <w:numId w:val="1"/>
        </w:numPr>
        <w:rPr>
          <w:rFonts w:ascii="MS PGothic" w:cs="MS PGothic" w:eastAsia="MS PGothic" w:hAnsi="MS PGothic"/>
          <w:sz w:val="14"/>
          <w:szCs w:val="14"/>
          <w:color w:val="auto"/>
        </w:rPr>
      </w:pPr>
      <w:r>
        <w:rPr>
          <w:rFonts w:ascii="Times New Roman" w:cs="Times New Roman" w:eastAsia="Times New Roman" w:hAnsi="Times New Roman"/>
          <w:sz w:val="14"/>
          <w:szCs w:val="14"/>
          <w:color w:val="auto"/>
        </w:rPr>
        <w:t>Soliciting material pursuant to Rule 14a-12 under the Exchange Act (17 CFR 240.14a-12)</w:t>
      </w:r>
    </w:p>
    <w:p>
      <w:pPr>
        <w:spacing w:after="0" w:line="199" w:lineRule="exact"/>
        <w:rPr>
          <w:rFonts w:ascii="MS PGothic" w:cs="MS PGothic" w:eastAsia="MS PGothic" w:hAnsi="MS PGothic"/>
          <w:sz w:val="14"/>
          <w:szCs w:val="14"/>
          <w:color w:val="auto"/>
        </w:rPr>
      </w:pPr>
    </w:p>
    <w:p>
      <w:pPr>
        <w:ind w:left="160" w:hanging="155"/>
        <w:spacing w:after="0"/>
        <w:tabs>
          <w:tab w:leader="none" w:pos="160" w:val="left"/>
        </w:tabs>
        <w:numPr>
          <w:ilvl w:val="0"/>
          <w:numId w:val="1"/>
        </w:numPr>
        <w:rPr>
          <w:rFonts w:ascii="MS PGothic" w:cs="MS PGothic" w:eastAsia="MS PGothic" w:hAnsi="MS PGothic"/>
          <w:sz w:val="14"/>
          <w:szCs w:val="14"/>
          <w:color w:val="auto"/>
        </w:rPr>
      </w:pPr>
      <w:r>
        <w:rPr>
          <w:rFonts w:ascii="Times New Roman" w:cs="Times New Roman" w:eastAsia="Times New Roman" w:hAnsi="Times New Roman"/>
          <w:sz w:val="14"/>
          <w:szCs w:val="14"/>
          <w:color w:val="auto"/>
        </w:rPr>
        <w:t>Pre-commencement communications pursuant to Rule 14d-2(b) under the Exchange Act (17 CFR 240.14d-2(b))</w:t>
      </w:r>
    </w:p>
    <w:p>
      <w:pPr>
        <w:spacing w:after="0" w:line="199" w:lineRule="exact"/>
        <w:rPr>
          <w:rFonts w:ascii="MS PGothic" w:cs="MS PGothic" w:eastAsia="MS PGothic" w:hAnsi="MS PGothic"/>
          <w:sz w:val="14"/>
          <w:szCs w:val="14"/>
          <w:color w:val="auto"/>
        </w:rPr>
      </w:pPr>
    </w:p>
    <w:p>
      <w:pPr>
        <w:ind w:right="4780" w:firstLine="5"/>
        <w:spacing w:after="0" w:line="422" w:lineRule="auto"/>
        <w:tabs>
          <w:tab w:leader="none" w:pos="163" w:val="left"/>
        </w:tabs>
        <w:numPr>
          <w:ilvl w:val="0"/>
          <w:numId w:val="1"/>
        </w:numPr>
        <w:rPr>
          <w:rFonts w:ascii="MS PGothic" w:cs="MS PGothic" w:eastAsia="MS PGothic" w:hAnsi="MS PGothic"/>
          <w:sz w:val="14"/>
          <w:szCs w:val="14"/>
          <w:color w:val="auto"/>
        </w:rPr>
      </w:pPr>
      <w:r>
        <w:rPr>
          <w:rFonts w:ascii="Times New Roman" w:cs="Times New Roman" w:eastAsia="Times New Roman" w:hAnsi="Times New Roman"/>
          <w:sz w:val="14"/>
          <w:szCs w:val="14"/>
          <w:color w:val="auto"/>
        </w:rPr>
        <w:t>Pre-commencement communications pursuant to Rule 13e-4(c) under the Exchange Act (17 CFR 240.13e-4(c)) Securities registered pursuant to Section 12(b) of the Act:</w:t>
      </w:r>
    </w:p>
    <w:tbl>
      <w:tblPr>
        <w:tblLayout w:type="fixed"/>
        <w:tblInd w:w="10" w:type="dxa"/>
        <w:tblCellMar>
          <w:top w:w="0" w:type="dxa"/>
          <w:left w:w="0" w:type="dxa"/>
          <w:bottom w:w="0" w:type="dxa"/>
          <w:right w:w="0" w:type="dxa"/>
        </w:tblCellMar>
      </w:tblPr>
      <w:tr>
        <w:trPr>
          <w:trHeight w:val="175"/>
        </w:trPr>
        <w:tc>
          <w:tcPr>
            <w:tcW w:w="3780" w:type="dxa"/>
            <w:vAlign w:val="bottom"/>
            <w:tcBorders>
              <w:top w:val="single" w:sz="8" w:color="00000A"/>
              <w:left w:val="single" w:sz="8" w:color="00000A"/>
              <w:right w:val="single" w:sz="8" w:color="00000A"/>
            </w:tcBorders>
          </w:tcPr>
          <w:p>
            <w:pPr>
              <w:jc w:val="center"/>
              <w:spacing w:after="0"/>
              <w:rPr>
                <w:sz w:val="20"/>
                <w:szCs w:val="20"/>
                <w:color w:val="auto"/>
              </w:rPr>
            </w:pPr>
            <w:r>
              <w:rPr>
                <w:rFonts w:ascii="Times New Roman" w:cs="Times New Roman" w:eastAsia="Times New Roman" w:hAnsi="Times New Roman"/>
                <w:sz w:val="14"/>
                <w:szCs w:val="14"/>
                <w:color w:val="auto"/>
                <w:w w:val="99"/>
              </w:rPr>
              <w:t>Title of Each Class</w:t>
            </w:r>
          </w:p>
        </w:tc>
        <w:tc>
          <w:tcPr>
            <w:tcW w:w="2620" w:type="dxa"/>
            <w:vAlign w:val="bottom"/>
            <w:tcBorders>
              <w:top w:val="single" w:sz="8" w:color="00000A"/>
              <w:right w:val="single" w:sz="8" w:color="00000A"/>
            </w:tcBorders>
          </w:tcPr>
          <w:p>
            <w:pPr>
              <w:jc w:val="center"/>
              <w:spacing w:after="0"/>
              <w:rPr>
                <w:sz w:val="20"/>
                <w:szCs w:val="20"/>
                <w:color w:val="auto"/>
              </w:rPr>
            </w:pPr>
            <w:r>
              <w:rPr>
                <w:rFonts w:ascii="Times New Roman" w:cs="Times New Roman" w:eastAsia="Times New Roman" w:hAnsi="Times New Roman"/>
                <w:sz w:val="14"/>
                <w:szCs w:val="14"/>
                <w:color w:val="auto"/>
              </w:rPr>
              <w:t>Trading Symbol(s)</w:t>
            </w:r>
          </w:p>
        </w:tc>
        <w:tc>
          <w:tcPr>
            <w:tcW w:w="4860" w:type="dxa"/>
            <w:vAlign w:val="bottom"/>
            <w:tcBorders>
              <w:top w:val="single" w:sz="8" w:color="00000A"/>
              <w:right w:val="single" w:sz="8" w:color="00000A"/>
            </w:tcBorders>
          </w:tcPr>
          <w:p>
            <w:pPr>
              <w:jc w:val="center"/>
              <w:spacing w:after="0"/>
              <w:rPr>
                <w:sz w:val="20"/>
                <w:szCs w:val="20"/>
                <w:color w:val="auto"/>
              </w:rPr>
            </w:pPr>
            <w:r>
              <w:rPr>
                <w:rFonts w:ascii="Times New Roman" w:cs="Times New Roman" w:eastAsia="Times New Roman" w:hAnsi="Times New Roman"/>
                <w:sz w:val="14"/>
                <w:szCs w:val="14"/>
                <w:color w:val="auto"/>
              </w:rPr>
              <w:t>Name of Each Exchange on Which Registered</w:t>
            </w:r>
          </w:p>
        </w:tc>
      </w:tr>
      <w:tr>
        <w:trPr>
          <w:trHeight w:val="81"/>
        </w:trPr>
        <w:tc>
          <w:tcPr>
            <w:tcW w:w="3780" w:type="dxa"/>
            <w:vAlign w:val="bottom"/>
            <w:tcBorders>
              <w:left w:val="single" w:sz="8" w:color="00000A"/>
              <w:bottom w:val="single" w:sz="8" w:color="00000A"/>
              <w:right w:val="single" w:sz="8" w:color="00000A"/>
            </w:tcBorders>
          </w:tcPr>
          <w:p>
            <w:pPr>
              <w:spacing w:after="0"/>
              <w:rPr>
                <w:sz w:val="7"/>
                <w:szCs w:val="7"/>
                <w:color w:val="auto"/>
              </w:rPr>
            </w:pPr>
          </w:p>
        </w:tc>
        <w:tc>
          <w:tcPr>
            <w:tcW w:w="2620" w:type="dxa"/>
            <w:vAlign w:val="bottom"/>
            <w:tcBorders>
              <w:bottom w:val="single" w:sz="8" w:color="00000A"/>
              <w:right w:val="single" w:sz="8" w:color="00000A"/>
            </w:tcBorders>
          </w:tcPr>
          <w:p>
            <w:pPr>
              <w:spacing w:after="0"/>
              <w:rPr>
                <w:sz w:val="7"/>
                <w:szCs w:val="7"/>
                <w:color w:val="auto"/>
              </w:rPr>
            </w:pPr>
          </w:p>
        </w:tc>
        <w:tc>
          <w:tcPr>
            <w:tcW w:w="4860" w:type="dxa"/>
            <w:vAlign w:val="bottom"/>
            <w:tcBorders>
              <w:bottom w:val="single" w:sz="8" w:color="00000A"/>
              <w:right w:val="single" w:sz="8" w:color="00000A"/>
            </w:tcBorders>
          </w:tcPr>
          <w:p>
            <w:pPr>
              <w:spacing w:after="0"/>
              <w:rPr>
                <w:sz w:val="7"/>
                <w:szCs w:val="7"/>
                <w:color w:val="auto"/>
              </w:rPr>
            </w:pPr>
          </w:p>
        </w:tc>
      </w:tr>
      <w:tr>
        <w:trPr>
          <w:trHeight w:val="175"/>
        </w:trPr>
        <w:tc>
          <w:tcPr>
            <w:tcW w:w="3780" w:type="dxa"/>
            <w:vAlign w:val="bottom"/>
            <w:tcBorders>
              <w:left w:val="single" w:sz="8" w:color="00000A"/>
              <w:right w:val="single" w:sz="8" w:color="00000A"/>
            </w:tcBorders>
          </w:tcPr>
          <w:p>
            <w:pPr>
              <w:jc w:val="center"/>
              <w:spacing w:after="0"/>
              <w:rPr>
                <w:sz w:val="20"/>
                <w:szCs w:val="20"/>
                <w:color w:val="auto"/>
              </w:rPr>
            </w:pPr>
            <w:r>
              <w:rPr>
                <w:rFonts w:ascii="Times New Roman" w:cs="Times New Roman" w:eastAsia="Times New Roman" w:hAnsi="Times New Roman"/>
                <w:sz w:val="14"/>
                <w:szCs w:val="14"/>
                <w:color w:val="auto"/>
              </w:rPr>
              <w:t>Common Shares, no par value</w:t>
            </w:r>
          </w:p>
        </w:tc>
        <w:tc>
          <w:tcPr>
            <w:tcW w:w="2620" w:type="dxa"/>
            <w:vAlign w:val="bottom"/>
            <w:tcBorders>
              <w:right w:val="single" w:sz="8" w:color="00000A"/>
            </w:tcBorders>
          </w:tcPr>
          <w:p>
            <w:pPr>
              <w:jc w:val="center"/>
              <w:spacing w:after="0"/>
              <w:rPr>
                <w:sz w:val="20"/>
                <w:szCs w:val="20"/>
                <w:color w:val="auto"/>
              </w:rPr>
            </w:pPr>
            <w:r>
              <w:rPr>
                <w:rFonts w:ascii="Times New Roman" w:cs="Times New Roman" w:eastAsia="Times New Roman" w:hAnsi="Times New Roman"/>
                <w:sz w:val="14"/>
                <w:szCs w:val="14"/>
                <w:color w:val="auto"/>
                <w:w w:val="99"/>
              </w:rPr>
              <w:t>CVEO</w:t>
            </w:r>
          </w:p>
        </w:tc>
        <w:tc>
          <w:tcPr>
            <w:tcW w:w="4860" w:type="dxa"/>
            <w:vAlign w:val="bottom"/>
            <w:tcBorders>
              <w:right w:val="single" w:sz="8" w:color="00000A"/>
            </w:tcBorders>
          </w:tcPr>
          <w:p>
            <w:pPr>
              <w:jc w:val="center"/>
              <w:spacing w:after="0"/>
              <w:rPr>
                <w:sz w:val="20"/>
                <w:szCs w:val="20"/>
                <w:color w:val="auto"/>
              </w:rPr>
            </w:pPr>
            <w:r>
              <w:rPr>
                <w:rFonts w:ascii="Times New Roman" w:cs="Times New Roman" w:eastAsia="Times New Roman" w:hAnsi="Times New Roman"/>
                <w:sz w:val="14"/>
                <w:szCs w:val="14"/>
                <w:color w:val="auto"/>
                <w:w w:val="99"/>
              </w:rPr>
              <w:t>New York Stock Exchange</w:t>
            </w:r>
          </w:p>
        </w:tc>
      </w:tr>
      <w:tr>
        <w:trPr>
          <w:trHeight w:val="81"/>
        </w:trPr>
        <w:tc>
          <w:tcPr>
            <w:tcW w:w="3780" w:type="dxa"/>
            <w:vAlign w:val="bottom"/>
            <w:tcBorders>
              <w:left w:val="single" w:sz="8" w:color="00000A"/>
              <w:bottom w:val="single" w:sz="8" w:color="00000A"/>
              <w:right w:val="single" w:sz="8" w:color="00000A"/>
            </w:tcBorders>
          </w:tcPr>
          <w:p>
            <w:pPr>
              <w:spacing w:after="0"/>
              <w:rPr>
                <w:sz w:val="7"/>
                <w:szCs w:val="7"/>
                <w:color w:val="auto"/>
              </w:rPr>
            </w:pPr>
          </w:p>
        </w:tc>
        <w:tc>
          <w:tcPr>
            <w:tcW w:w="2620" w:type="dxa"/>
            <w:vAlign w:val="bottom"/>
            <w:tcBorders>
              <w:bottom w:val="single" w:sz="8" w:color="00000A"/>
              <w:right w:val="single" w:sz="8" w:color="00000A"/>
            </w:tcBorders>
          </w:tcPr>
          <w:p>
            <w:pPr>
              <w:spacing w:after="0"/>
              <w:rPr>
                <w:sz w:val="7"/>
                <w:szCs w:val="7"/>
                <w:color w:val="auto"/>
              </w:rPr>
            </w:pPr>
          </w:p>
        </w:tc>
        <w:tc>
          <w:tcPr>
            <w:tcW w:w="4860" w:type="dxa"/>
            <w:vAlign w:val="bottom"/>
            <w:tcBorders>
              <w:bottom w:val="single" w:sz="8" w:color="00000A"/>
              <w:right w:val="single" w:sz="8" w:color="00000A"/>
            </w:tcBorders>
          </w:tcPr>
          <w:p>
            <w:pPr>
              <w:spacing w:after="0"/>
              <w:rPr>
                <w:sz w:val="7"/>
                <w:szCs w:val="7"/>
                <w:color w:val="auto"/>
              </w:rPr>
            </w:pPr>
          </w:p>
        </w:tc>
      </w:tr>
    </w:tbl>
    <w:p>
      <w:pPr>
        <w:spacing w:after="0" w:line="155" w:lineRule="exact"/>
        <w:rPr>
          <w:sz w:val="24"/>
          <w:szCs w:val="24"/>
          <w:color w:val="auto"/>
        </w:rPr>
      </w:pPr>
    </w:p>
    <w:p>
      <w:pPr>
        <w:ind w:right="80"/>
        <w:spacing w:after="0" w:line="287" w:lineRule="auto"/>
        <w:rPr>
          <w:sz w:val="20"/>
          <w:szCs w:val="20"/>
          <w:color w:val="auto"/>
        </w:rPr>
      </w:pPr>
      <w:r>
        <w:rPr>
          <w:rFonts w:ascii="Times New Roman" w:cs="Times New Roman" w:eastAsia="Times New Roman" w:hAnsi="Times New Roman"/>
          <w:sz w:val="14"/>
          <w:szCs w:val="14"/>
          <w:color w:val="auto"/>
        </w:rPr>
        <w:t>Indicate by check mark whether the registrant is an emerging growth company as defined in Rule 405 of the Securities Act of 1933 (17 CFR §230.405) or Rule 12b-2 of the Securities Exchange Act of 1934 (17 CFR §240.12b-2).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-8890</wp:posOffset>
            </wp:positionH>
            <wp:positionV relativeFrom="paragraph">
              <wp:posOffset>607695</wp:posOffset>
            </wp:positionV>
            <wp:extent cx="7186930"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1117" w:right="339" w:bottom="1440" w:gutter="0" w:footer="0" w:header="0"/>
          <w:type w:val="continuous"/>
        </w:sectPr>
      </w:pPr>
    </w:p>
    <w:bookmarkStart w:id="1" w:name="page2"/>
    <w:bookmarkEnd w:id="1"/>
    <w:p>
      <w:pPr>
        <w:spacing w:after="0" w:line="161" w:lineRule="exact"/>
        <w:rPr>
          <w:sz w:val="20"/>
          <w:szCs w:val="20"/>
          <w:color w:val="auto"/>
        </w:rPr>
      </w:pPr>
      <w:r>
        <w:rPr>
          <w:rFonts w:ascii="Times New Roman" w:cs="Times New Roman" w:eastAsia="Times New Roman" w:hAnsi="Times New Roman"/>
          <w:sz w:val="14"/>
          <w:szCs w:val="14"/>
          <w:color w:val="auto"/>
        </w:rPr>
        <w:t xml:space="preserve">Emerging growth company </w:t>
      </w:r>
      <w:r>
        <w:rPr>
          <w:rFonts w:ascii="MS PGothic" w:cs="MS PGothic" w:eastAsia="MS PGothic" w:hAnsi="MS PGothic"/>
          <w:sz w:val="14"/>
          <w:szCs w:val="14"/>
          <w:color w:val="auto"/>
        </w:rPr>
        <w:t>☐</w:t>
      </w:r>
    </w:p>
    <w:p>
      <w:pPr>
        <w:spacing w:after="0" w:line="200" w:lineRule="exact"/>
        <w:rPr>
          <w:sz w:val="20"/>
          <w:szCs w:val="20"/>
          <w:color w:val="auto"/>
        </w:rPr>
      </w:pPr>
    </w:p>
    <w:p>
      <w:pPr>
        <w:spacing w:after="0" w:line="185" w:lineRule="exact"/>
        <w:rPr>
          <w:sz w:val="20"/>
          <w:szCs w:val="20"/>
          <w:color w:val="auto"/>
        </w:rPr>
      </w:pPr>
      <w:r>
        <w:rPr>
          <w:rFonts w:ascii="Times New Roman" w:cs="Times New Roman" w:eastAsia="Times New Roman" w:hAnsi="Times New Roman"/>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847090</wp:posOffset>
            </wp:positionV>
            <wp:extent cx="7186930" cy="387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060"/>
          </w:cols>
          <w:pgMar w:left="300" w:top="1196" w:right="5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4"/>
          <w:szCs w:val="14"/>
          <w:b w:val="1"/>
          <w:bCs w:val="1"/>
          <w:color w:val="auto"/>
        </w:rPr>
        <w:t>Item 5.03. Amendments to Articles of Incorporation or Bylaws; Change in Fiscal Year.</w:t>
      </w:r>
    </w:p>
    <w:p>
      <w:pPr>
        <w:spacing w:after="0" w:line="181" w:lineRule="exact"/>
        <w:rPr>
          <w:sz w:val="20"/>
          <w:szCs w:val="20"/>
          <w:color w:val="auto"/>
        </w:rPr>
      </w:pPr>
    </w:p>
    <w:p>
      <w:pPr>
        <w:ind w:right="60"/>
        <w:spacing w:after="0" w:line="248" w:lineRule="auto"/>
        <w:rPr>
          <w:sz w:val="20"/>
          <w:szCs w:val="20"/>
          <w:color w:val="auto"/>
        </w:rPr>
      </w:pPr>
      <w:r>
        <w:rPr>
          <w:rFonts w:ascii="Times New Roman" w:cs="Times New Roman" w:eastAsia="Times New Roman" w:hAnsi="Times New Roman"/>
          <w:sz w:val="14"/>
          <w:szCs w:val="14"/>
          <w:color w:val="auto"/>
        </w:rPr>
        <w:t>On December 22, 2022, in consideration of the U.S. Securities and Exchange Commission’s recently adopted “universal proxy card” rules, the Board of Directors (the “Board”) of Civeo Corporation (the “Company”) adopted and approved amendments to its Articles (the “Amended and Restated Articles”). The Amended and Restated Articles became effective immediately and revise and clarify certain procedural and disclosure requirements for director nominees and the Company’s shareholders proposing business or director nominations for consideration at meetings of the Company’s shareholders. The Amended and Restated Articles also include technical and conforming revisions and clarifications. The amendments to the Amended and Restated Articles include the following:</w:t>
      </w:r>
    </w:p>
    <w:p>
      <w:pPr>
        <w:spacing w:after="0" w:line="194" w:lineRule="exact"/>
        <w:rPr>
          <w:sz w:val="20"/>
          <w:szCs w:val="20"/>
          <w:color w:val="auto"/>
        </w:rPr>
      </w:pPr>
    </w:p>
    <w:p>
      <w:pPr>
        <w:ind w:left="520" w:right="20" w:hanging="260"/>
        <w:spacing w:after="0" w:line="232" w:lineRule="auto"/>
        <w:tabs>
          <w:tab w:leader="none" w:pos="516" w:val="left"/>
        </w:tabs>
        <w:numPr>
          <w:ilvl w:val="0"/>
          <w:numId w:val="2"/>
        </w:numPr>
        <w:rPr>
          <w:rFonts w:ascii="Arial" w:cs="Arial" w:eastAsia="Arial" w:hAnsi="Arial"/>
          <w:sz w:val="17"/>
          <w:szCs w:val="17"/>
          <w:color w:val="auto"/>
        </w:rPr>
      </w:pPr>
      <w:r>
        <w:rPr>
          <w:rFonts w:ascii="Times New Roman" w:cs="Times New Roman" w:eastAsia="Times New Roman" w:hAnsi="Times New Roman"/>
          <w:sz w:val="14"/>
          <w:szCs w:val="14"/>
          <w:color w:val="auto"/>
        </w:rPr>
        <w:t>Require that any shareholder submitting a nomination notice make a representation and applicable confirmation as to whether such shareholder intends to solicit proxies in support of director nominees other than the Board’s nominees in accordance with Rule 14a-19 under the Securities Exchange Act of 1934, as amended (the “Exchange Act”) and the Amended and Restated Articles, and to provide evidence that the shareholder has complied with such requirements;</w:t>
      </w:r>
    </w:p>
    <w:p>
      <w:pPr>
        <w:spacing w:after="0" w:line="9" w:lineRule="exact"/>
        <w:rPr>
          <w:rFonts w:ascii="Arial" w:cs="Arial" w:eastAsia="Arial" w:hAnsi="Arial"/>
          <w:sz w:val="17"/>
          <w:szCs w:val="17"/>
          <w:color w:val="auto"/>
        </w:rPr>
      </w:pPr>
    </w:p>
    <w:p>
      <w:pPr>
        <w:ind w:left="520" w:right="20" w:hanging="260"/>
        <w:spacing w:after="0" w:line="231" w:lineRule="auto"/>
        <w:tabs>
          <w:tab w:leader="none" w:pos="516" w:val="left"/>
        </w:tabs>
        <w:numPr>
          <w:ilvl w:val="0"/>
          <w:numId w:val="2"/>
        </w:numPr>
        <w:rPr>
          <w:rFonts w:ascii="Arial" w:cs="Arial" w:eastAsia="Arial" w:hAnsi="Arial"/>
          <w:sz w:val="17"/>
          <w:szCs w:val="17"/>
          <w:color w:val="auto"/>
        </w:rPr>
      </w:pPr>
      <w:r>
        <w:rPr>
          <w:rFonts w:ascii="Times New Roman" w:cs="Times New Roman" w:eastAsia="Times New Roman" w:hAnsi="Times New Roman"/>
          <w:sz w:val="14"/>
          <w:szCs w:val="14"/>
          <w:color w:val="auto"/>
        </w:rPr>
        <w:t>Clarify that a failure to comply with the procedures set forth under the advance notice provisions of the Amended and Restated Articles, including a failure to comply with Rule 14a-19 under the Exchange Act, will result in the meeting chairman disregarding a shareholder’s nomination or proposal of other business;</w:t>
      </w:r>
    </w:p>
    <w:p>
      <w:pPr>
        <w:spacing w:after="0" w:line="7" w:lineRule="exact"/>
        <w:rPr>
          <w:rFonts w:ascii="Arial" w:cs="Arial" w:eastAsia="Arial" w:hAnsi="Arial"/>
          <w:sz w:val="17"/>
          <w:szCs w:val="17"/>
          <w:color w:val="auto"/>
        </w:rPr>
      </w:pPr>
    </w:p>
    <w:p>
      <w:pPr>
        <w:ind w:left="520" w:hanging="260"/>
        <w:spacing w:after="0" w:line="231" w:lineRule="auto"/>
        <w:tabs>
          <w:tab w:leader="none" w:pos="516" w:val="left"/>
        </w:tabs>
        <w:numPr>
          <w:ilvl w:val="0"/>
          <w:numId w:val="2"/>
        </w:numPr>
        <w:rPr>
          <w:rFonts w:ascii="Arial" w:cs="Arial" w:eastAsia="Arial" w:hAnsi="Arial"/>
          <w:sz w:val="17"/>
          <w:szCs w:val="17"/>
          <w:color w:val="auto"/>
        </w:rPr>
      </w:pPr>
      <w:r>
        <w:rPr>
          <w:rFonts w:ascii="Times New Roman" w:cs="Times New Roman" w:eastAsia="Times New Roman" w:hAnsi="Times New Roman"/>
          <w:sz w:val="14"/>
          <w:szCs w:val="14"/>
          <w:color w:val="auto"/>
        </w:rPr>
        <w:t>Clarify that certain informational requirements applicable to shareholders that are entities also encompass individuals who directly or indirectly control such entities (but not passive investors in such entities); and</w:t>
      </w:r>
    </w:p>
    <w:p>
      <w:pPr>
        <w:ind w:left="500" w:hanging="240"/>
        <w:spacing w:after="0" w:line="221" w:lineRule="auto"/>
        <w:tabs>
          <w:tab w:leader="none" w:pos="500" w:val="left"/>
        </w:tabs>
        <w:numPr>
          <w:ilvl w:val="0"/>
          <w:numId w:val="2"/>
        </w:numPr>
        <w:rPr>
          <w:rFonts w:ascii="Arial" w:cs="Arial" w:eastAsia="Arial" w:hAnsi="Arial"/>
          <w:sz w:val="17"/>
          <w:szCs w:val="17"/>
          <w:color w:val="auto"/>
        </w:rPr>
      </w:pPr>
      <w:r>
        <w:rPr>
          <w:rFonts w:ascii="Times New Roman" w:cs="Times New Roman" w:eastAsia="Times New Roman" w:hAnsi="Times New Roman"/>
          <w:sz w:val="14"/>
          <w:szCs w:val="14"/>
          <w:color w:val="auto"/>
        </w:rPr>
        <w:t>Require that a shareholder directly or indirectly soliciting proxies from other shareholders use a proxy card color other than white.</w:t>
      </w:r>
    </w:p>
    <w:p>
      <w:pPr>
        <w:spacing w:after="0" w:line="166" w:lineRule="exact"/>
        <w:rPr>
          <w:sz w:val="20"/>
          <w:szCs w:val="20"/>
          <w:color w:val="auto"/>
        </w:rPr>
      </w:pPr>
    </w:p>
    <w:p>
      <w:pPr>
        <w:ind w:right="380"/>
        <w:spacing w:after="0" w:line="271" w:lineRule="auto"/>
        <w:rPr>
          <w:sz w:val="20"/>
          <w:szCs w:val="20"/>
          <w:color w:val="auto"/>
        </w:rPr>
      </w:pPr>
      <w:r>
        <w:rPr>
          <w:rFonts w:ascii="Times New Roman" w:cs="Times New Roman" w:eastAsia="Times New Roman" w:hAnsi="Times New Roman"/>
          <w:sz w:val="14"/>
          <w:szCs w:val="14"/>
          <w:color w:val="auto"/>
        </w:rPr>
        <w:t>The foregoing description is a summary and is qualified in its entirety by reference to the full text of the Amended and Restated Articles, a copy of which is attached as Exhibit 3.1 hereto and is incorporated by reference herein.</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9.01. Financial Statements and Exhibits.</w:t>
      </w:r>
    </w:p>
    <w:p>
      <w:pPr>
        <w:spacing w:after="0" w:line="202" w:lineRule="exact"/>
        <w:rPr>
          <w:sz w:val="20"/>
          <w:szCs w:val="20"/>
          <w:color w:val="auto"/>
        </w:rPr>
      </w:pPr>
    </w:p>
    <w:p>
      <w:pPr>
        <w:ind w:left="320" w:hanging="315"/>
        <w:spacing w:after="0"/>
        <w:tabs>
          <w:tab w:leader="none" w:pos="32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Exhibits</w:t>
      </w:r>
      <w:r>
        <w:rPr>
          <w:rFonts w:ascii="Times New Roman" w:cs="Times New Roman" w:eastAsia="Times New Roman" w:hAnsi="Times New Roman"/>
          <w:sz w:val="14"/>
          <w:szCs w:val="14"/>
          <w:color w:val="auto"/>
        </w:rPr>
        <w:t>.</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17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Exhibit</w:t>
            </w:r>
          </w:p>
        </w:tc>
        <w:tc>
          <w:tcPr>
            <w:tcW w:w="952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Description of Document</w:t>
            </w:r>
          </w:p>
        </w:tc>
      </w:tr>
      <w:tr>
        <w:trPr>
          <w:trHeight w:val="129"/>
        </w:trPr>
        <w:tc>
          <w:tcPr>
            <w:tcW w:w="20" w:type="dxa"/>
            <w:vAlign w:val="bottom"/>
          </w:tcPr>
          <w:p>
            <w:pPr>
              <w:spacing w:after="0"/>
              <w:rPr>
                <w:sz w:val="11"/>
                <w:szCs w:val="11"/>
                <w:color w:val="auto"/>
              </w:rPr>
            </w:pPr>
          </w:p>
        </w:tc>
        <w:tc>
          <w:tcPr>
            <w:tcW w:w="1740" w:type="dxa"/>
            <w:vAlign w:val="bottom"/>
            <w:gridSpan w:val="2"/>
          </w:tcPr>
          <w:p>
            <w:pPr>
              <w:spacing w:after="0" w:line="129" w:lineRule="exact"/>
              <w:rPr>
                <w:sz w:val="20"/>
                <w:szCs w:val="20"/>
                <w:color w:val="auto"/>
              </w:rPr>
            </w:pPr>
            <w:r>
              <w:rPr>
                <w:rFonts w:ascii="Times New Roman" w:cs="Times New Roman" w:eastAsia="Times New Roman" w:hAnsi="Times New Roman"/>
                <w:sz w:val="14"/>
                <w:szCs w:val="14"/>
                <w:color w:val="auto"/>
              </w:rPr>
              <w:t>Number</w:t>
            </w:r>
          </w:p>
        </w:tc>
        <w:tc>
          <w:tcPr>
            <w:tcW w:w="1440" w:type="dxa"/>
            <w:vAlign w:val="bottom"/>
            <w:tcBorders>
              <w:top w:val="single" w:sz="8" w:color="auto"/>
            </w:tcBorders>
          </w:tcPr>
          <w:p>
            <w:pPr>
              <w:spacing w:after="0"/>
              <w:rPr>
                <w:sz w:val="11"/>
                <w:szCs w:val="11"/>
                <w:color w:val="auto"/>
              </w:rPr>
            </w:pPr>
          </w:p>
        </w:tc>
        <w:tc>
          <w:tcPr>
            <w:tcW w:w="1600" w:type="dxa"/>
            <w:vAlign w:val="bottom"/>
          </w:tcPr>
          <w:p>
            <w:pPr>
              <w:spacing w:after="0"/>
              <w:rPr>
                <w:sz w:val="11"/>
                <w:szCs w:val="11"/>
                <w:color w:val="auto"/>
              </w:rPr>
            </w:pPr>
          </w:p>
        </w:tc>
        <w:tc>
          <w:tcPr>
            <w:tcW w:w="6480" w:type="dxa"/>
            <w:vAlign w:val="bottom"/>
          </w:tcPr>
          <w:p>
            <w:pPr>
              <w:spacing w:after="0"/>
              <w:rPr>
                <w:sz w:val="11"/>
                <w:szCs w:val="11"/>
                <w:color w:val="auto"/>
              </w:rPr>
            </w:pPr>
          </w:p>
        </w:tc>
      </w:tr>
      <w:tr>
        <w:trPr>
          <w:trHeight w:val="20"/>
        </w:trPr>
        <w:tc>
          <w:tcPr>
            <w:tcW w:w="2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6480" w:type="dxa"/>
            <w:vAlign w:val="bottom"/>
          </w:tcPr>
          <w:p>
            <w:pPr>
              <w:spacing w:after="0" w:line="20" w:lineRule="exact"/>
              <w:rPr>
                <w:sz w:val="1"/>
                <w:szCs w:val="1"/>
                <w:color w:val="auto"/>
              </w:rPr>
            </w:pPr>
          </w:p>
        </w:tc>
      </w:tr>
      <w:tr>
        <w:trPr>
          <w:trHeight w:val="160"/>
        </w:trPr>
        <w:tc>
          <w:tcPr>
            <w:tcW w:w="4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3.1</w:t>
            </w:r>
          </w:p>
        </w:tc>
        <w:tc>
          <w:tcPr>
            <w:tcW w:w="1280" w:type="dxa"/>
            <w:vAlign w:val="bottom"/>
          </w:tcPr>
          <w:p>
            <w:pPr>
              <w:spacing w:after="0"/>
              <w:rPr>
                <w:sz w:val="13"/>
                <w:szCs w:val="13"/>
                <w:color w:val="auto"/>
              </w:rPr>
            </w:pPr>
          </w:p>
        </w:tc>
        <w:tc>
          <w:tcPr>
            <w:tcW w:w="9520" w:type="dxa"/>
            <w:vAlign w:val="bottom"/>
            <w:gridSpan w:val="3"/>
          </w:tcPr>
          <w:p>
            <w:pPr>
              <w:spacing w:after="0"/>
              <w:rPr>
                <w:sz w:val="20"/>
                <w:szCs w:val="20"/>
                <w:color w:val="auto"/>
              </w:rPr>
            </w:pPr>
            <w:r>
              <w:rPr>
                <w:rFonts w:ascii="Times New Roman" w:cs="Times New Roman" w:eastAsia="Times New Roman" w:hAnsi="Times New Roman"/>
                <w:sz w:val="14"/>
                <w:szCs w:val="14"/>
                <w:color w:val="0000FF"/>
              </w:rPr>
              <w:t>Amended and Restated Articles of Civeo Corporation</w:t>
            </w:r>
          </w:p>
        </w:tc>
      </w:tr>
      <w:tr>
        <w:trPr>
          <w:trHeight w:val="20"/>
        </w:trPr>
        <w:tc>
          <w:tcPr>
            <w:tcW w:w="480" w:type="dxa"/>
            <w:vAlign w:val="bottom"/>
            <w:gridSpan w:val="2"/>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3040" w:type="dxa"/>
            <w:vAlign w:val="bottom"/>
            <w:gridSpan w:val="2"/>
            <w:shd w:val="clear" w:color="auto" w:fill="0000FF"/>
          </w:tcPr>
          <w:p>
            <w:pPr>
              <w:spacing w:after="0" w:line="20" w:lineRule="exact"/>
              <w:rPr>
                <w:sz w:val="1"/>
                <w:szCs w:val="1"/>
                <w:color w:val="auto"/>
              </w:rPr>
            </w:pPr>
          </w:p>
        </w:tc>
        <w:tc>
          <w:tcPr>
            <w:tcW w:w="6480" w:type="dxa"/>
            <w:vAlign w:val="bottom"/>
          </w:tcPr>
          <w:p>
            <w:pPr>
              <w:spacing w:after="0" w:line="20" w:lineRule="exact"/>
              <w:rPr>
                <w:sz w:val="1"/>
                <w:szCs w:val="1"/>
                <w:color w:val="auto"/>
              </w:rPr>
            </w:pPr>
          </w:p>
        </w:tc>
      </w:tr>
      <w:tr>
        <w:trPr>
          <w:trHeight w:val="308"/>
        </w:trPr>
        <w:tc>
          <w:tcPr>
            <w:tcW w:w="4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104</w:t>
            </w:r>
          </w:p>
        </w:tc>
        <w:tc>
          <w:tcPr>
            <w:tcW w:w="1280" w:type="dxa"/>
            <w:vAlign w:val="bottom"/>
          </w:tcPr>
          <w:p>
            <w:pPr>
              <w:spacing w:after="0"/>
              <w:rPr>
                <w:sz w:val="24"/>
                <w:szCs w:val="24"/>
                <w:color w:val="auto"/>
              </w:rPr>
            </w:pPr>
          </w:p>
        </w:tc>
        <w:tc>
          <w:tcPr>
            <w:tcW w:w="952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Cover Page Interactive Data File (formatted as Inline XBRL and contained in Exhibit 101)</w:t>
            </w:r>
          </w:p>
        </w:tc>
      </w:tr>
      <w:tr>
        <w:trPr>
          <w:trHeight w:val="1084"/>
        </w:trPr>
        <w:tc>
          <w:tcPr>
            <w:tcW w:w="20" w:type="dxa"/>
            <w:vAlign w:val="bottom"/>
            <w:tcBorders>
              <w:bottom w:val="single" w:sz="8" w:color="9A9A9A"/>
            </w:tcBorders>
          </w:tcPr>
          <w:p>
            <w:pPr>
              <w:spacing w:after="0"/>
              <w:rPr>
                <w:sz w:val="24"/>
                <w:szCs w:val="24"/>
                <w:color w:val="auto"/>
              </w:rPr>
            </w:pPr>
          </w:p>
        </w:tc>
        <w:tc>
          <w:tcPr>
            <w:tcW w:w="460" w:type="dxa"/>
            <w:vAlign w:val="bottom"/>
            <w:tcBorders>
              <w:bottom w:val="single" w:sz="8" w:color="9A9A9A"/>
            </w:tcBorders>
          </w:tcPr>
          <w:p>
            <w:pPr>
              <w:spacing w:after="0"/>
              <w:rPr>
                <w:sz w:val="24"/>
                <w:szCs w:val="24"/>
                <w:color w:val="auto"/>
              </w:rPr>
            </w:pPr>
          </w:p>
        </w:tc>
        <w:tc>
          <w:tcPr>
            <w:tcW w:w="1280" w:type="dxa"/>
            <w:vAlign w:val="bottom"/>
            <w:tcBorders>
              <w:bottom w:val="single" w:sz="8" w:color="9A9A9A"/>
            </w:tcBorders>
          </w:tcPr>
          <w:p>
            <w:pPr>
              <w:spacing w:after="0"/>
              <w:rPr>
                <w:sz w:val="24"/>
                <w:szCs w:val="24"/>
                <w:color w:val="auto"/>
              </w:rPr>
            </w:pPr>
          </w:p>
        </w:tc>
        <w:tc>
          <w:tcPr>
            <w:tcW w:w="1440" w:type="dxa"/>
            <w:vAlign w:val="bottom"/>
            <w:tcBorders>
              <w:bottom w:val="single" w:sz="8" w:color="9A9A9A"/>
            </w:tcBorders>
          </w:tcPr>
          <w:p>
            <w:pPr>
              <w:spacing w:after="0"/>
              <w:rPr>
                <w:sz w:val="24"/>
                <w:szCs w:val="24"/>
                <w:color w:val="auto"/>
              </w:rPr>
            </w:pPr>
          </w:p>
        </w:tc>
        <w:tc>
          <w:tcPr>
            <w:tcW w:w="1600" w:type="dxa"/>
            <w:vAlign w:val="bottom"/>
            <w:tcBorders>
              <w:bottom w:val="single" w:sz="8" w:color="9A9A9A"/>
            </w:tcBorders>
          </w:tcPr>
          <w:p>
            <w:pPr>
              <w:spacing w:after="0"/>
              <w:rPr>
                <w:sz w:val="24"/>
                <w:szCs w:val="24"/>
                <w:color w:val="auto"/>
              </w:rPr>
            </w:pPr>
          </w:p>
        </w:tc>
        <w:tc>
          <w:tcPr>
            <w:tcW w:w="64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1046" w:right="319" w:bottom="1440" w:gutter="0" w:footer="0" w:header="0"/>
        </w:sectPr>
      </w:pPr>
    </w:p>
    <w:bookmarkStart w:id="3" w:name="page4"/>
    <w:bookmarkEnd w:id="3"/>
    <w:p>
      <w:pPr>
        <w:jc w:val="center"/>
        <w:ind w:right="-479"/>
        <w:spacing w:after="0"/>
        <w:rPr>
          <w:sz w:val="20"/>
          <w:szCs w:val="20"/>
          <w:color w:val="auto"/>
        </w:rPr>
      </w:pPr>
      <w:r>
        <w:rPr>
          <w:rFonts w:ascii="Times New Roman" w:cs="Times New Roman" w:eastAsia="Times New Roman" w:hAnsi="Times New Roman"/>
          <w:sz w:val="17"/>
          <w:szCs w:val="17"/>
          <w:b w:val="1"/>
          <w:bCs w:val="1"/>
          <w:color w:val="auto"/>
        </w:rPr>
        <w:t>SIGNATURES</w:t>
      </w:r>
    </w:p>
    <w:p>
      <w:pPr>
        <w:spacing w:after="0" w:line="19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Pursuant to the requirements of the Securities Exchange Act of 1934, the registrant has duly caused this report to be signed on its behalf by the undersigned hereunto duly authorized.</w:t>
      </w:r>
    </w:p>
    <w:p>
      <w:pPr>
        <w:spacing w:after="0" w:line="37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Dated: December 23, 2022</w:t>
      </w:r>
    </w:p>
    <w:p>
      <w:pPr>
        <w:spacing w:after="0" w:line="177"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4"/>
          <w:szCs w:val="14"/>
          <w:b w:val="1"/>
          <w:bCs w:val="1"/>
          <w:color w:val="auto"/>
        </w:rPr>
        <w:t>CIVEO CORPORATION</w:t>
      </w:r>
    </w:p>
    <w:p>
      <w:pPr>
        <w:spacing w:after="0" w:line="393" w:lineRule="exact"/>
        <w:rPr>
          <w:sz w:val="20"/>
          <w:szCs w:val="20"/>
          <w:color w:val="auto"/>
        </w:rPr>
      </w:pPr>
    </w:p>
    <w:p>
      <w:pPr>
        <w:ind w:left="1220"/>
        <w:spacing w:after="0"/>
        <w:rPr>
          <w:sz w:val="20"/>
          <w:szCs w:val="20"/>
          <w:color w:val="auto"/>
        </w:rPr>
      </w:pPr>
      <w:r>
        <w:rPr>
          <w:rFonts w:ascii="Times New Roman" w:cs="Times New Roman" w:eastAsia="Times New Roman" w:hAnsi="Times New Roman"/>
          <w:sz w:val="14"/>
          <w:szCs w:val="14"/>
          <w:color w:val="auto"/>
        </w:rPr>
        <w:t xml:space="preserve">By: /s/ Carolyn J. Stone </w:t>
      </w:r>
      <w:r>
        <w:rPr>
          <w:rFonts w:ascii="Times New Roman" w:cs="Times New Roman" w:eastAsia="Times New Roman" w:hAnsi="Times New Roman"/>
          <w:sz w:val="14"/>
          <w:szCs w:val="14"/>
          <w:color w:val="FFFFFF"/>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904875</wp:posOffset>
            </wp:positionH>
            <wp:positionV relativeFrom="paragraph">
              <wp:posOffset>-4445</wp:posOffset>
            </wp:positionV>
            <wp:extent cx="748030" cy="698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48030" cy="6985"/>
                    </a:xfrm>
                    <a:prstGeom prst="rect">
                      <a:avLst/>
                    </a:prstGeom>
                    <a:noFill/>
                  </pic:spPr>
                </pic:pic>
              </a:graphicData>
            </a:graphic>
          </wp:anchor>
        </w:drawing>
      </w:r>
    </w:p>
    <w:p>
      <w:pPr>
        <w:spacing w:after="0" w:line="3" w:lineRule="exact"/>
        <w:rPr>
          <w:sz w:val="20"/>
          <w:szCs w:val="20"/>
          <w:color w:val="auto"/>
        </w:rPr>
      </w:pPr>
    </w:p>
    <w:p>
      <w:pPr>
        <w:ind w:left="1220"/>
        <w:spacing w:after="0"/>
        <w:tabs>
          <w:tab w:leader="none" w:pos="1720" w:val="left"/>
        </w:tabs>
        <w:rPr>
          <w:sz w:val="20"/>
          <w:szCs w:val="20"/>
          <w:color w:val="auto"/>
        </w:rPr>
      </w:pPr>
      <w:r>
        <w:rPr>
          <w:rFonts w:ascii="Times New Roman" w:cs="Times New Roman" w:eastAsia="Times New Roman" w:hAnsi="Times New Roman"/>
          <w:sz w:val="14"/>
          <w:szCs w:val="14"/>
          <w:color w:val="auto"/>
        </w:rPr>
        <w:t>Name:</w:t>
        <w:tab/>
        <w:t>Carolyn J. Stone</w:t>
      </w:r>
    </w:p>
    <w:p>
      <w:pPr>
        <w:spacing w:after="0" w:line="9" w:lineRule="exact"/>
        <w:rPr>
          <w:sz w:val="20"/>
          <w:szCs w:val="20"/>
          <w:color w:val="auto"/>
        </w:rPr>
      </w:pPr>
    </w:p>
    <w:p>
      <w:pPr>
        <w:ind w:left="3060"/>
        <w:spacing w:after="0"/>
        <w:tabs>
          <w:tab w:leader="none" w:pos="3480" w:val="left"/>
        </w:tabs>
        <w:rPr>
          <w:sz w:val="20"/>
          <w:szCs w:val="20"/>
          <w:color w:val="auto"/>
        </w:rPr>
      </w:pPr>
      <w:r>
        <w:rPr>
          <w:rFonts w:ascii="Times New Roman" w:cs="Times New Roman" w:eastAsia="Times New Roman" w:hAnsi="Times New Roman"/>
          <w:sz w:val="14"/>
          <w:szCs w:val="14"/>
          <w:color w:val="auto"/>
        </w:rPr>
        <w:t>Title:</w:t>
        <w:tab/>
        <w:t>Senior Vice President, Chief Financial Officer and Treasurer</w:t>
      </w:r>
    </w:p>
    <w:p>
      <w:pPr>
        <w:sectPr>
          <w:pgSz w:w="11900" w:h="16838" w:orient="portrait"/>
          <w:cols w:equalWidth="0" w:num="1">
            <w:col w:w="10800"/>
          </w:cols>
          <w:pgMar w:left="300" w:top="1048" w:right="799" w:bottom="1440" w:gutter="0" w:footer="0" w:header="0"/>
        </w:sectPr>
      </w:pPr>
    </w:p>
    <w:bookmarkStart w:id="4" w:name="page5"/>
    <w:bookmarkEnd w:id="4"/>
    <w:p>
      <w:pPr>
        <w:spacing w:after="0"/>
        <w:tabs>
          <w:tab w:leader="none" w:pos="348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304800</wp:posOffset>
            </wp:positionV>
            <wp:extent cx="7105650" cy="933386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 w:name="page6"/>
    <w:bookmarkEnd w:id="5"/>
    <w:p>
      <w:pPr>
        <w:spacing w:after="0"/>
        <w:tabs>
          <w:tab w:leader="none" w:pos="348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 w:name="page7"/>
    <w:bookmarkEnd w:id="6"/>
    <w:p>
      <w:pPr>
        <w:spacing w:after="0"/>
        <w:tabs>
          <w:tab w:leader="none" w:pos="348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 w:name="page8"/>
    <w:bookmarkEnd w:id="7"/>
    <w:p>
      <w:pPr>
        <w:spacing w:after="0"/>
        <w:tabs>
          <w:tab w:leader="none" w:pos="348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 w:name="page9"/>
    <w:bookmarkEnd w:id="8"/>
    <w:p>
      <w:pPr>
        <w:spacing w:after="0"/>
        <w:tabs>
          <w:tab w:leader="none" w:pos="348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 w:name="page10"/>
    <w:bookmarkEnd w:id="9"/>
    <w:p>
      <w:pPr>
        <w:spacing w:after="0"/>
        <w:tabs>
          <w:tab w:leader="none" w:pos="348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 w:name="page11"/>
    <w:bookmarkEnd w:id="10"/>
    <w:p>
      <w:pPr>
        <w:spacing w:after="0"/>
        <w:tabs>
          <w:tab w:leader="none" w:pos="348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2751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 w:name="page12"/>
    <w:bookmarkEnd w:id="11"/>
    <w:p>
      <w:pPr>
        <w:spacing w:after="0"/>
        <w:tabs>
          <w:tab w:leader="none" w:pos="348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 w:name="page13"/>
    <w:bookmarkEnd w:id="12"/>
    <w:p>
      <w:pPr>
        <w:spacing w:after="0"/>
        <w:tabs>
          <w:tab w:leader="none" w:pos="348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 w:name="page14"/>
    <w:bookmarkEnd w:id="13"/>
    <w:p>
      <w:pPr>
        <w:spacing w:after="0"/>
        <w:tabs>
          <w:tab w:leader="none" w:pos="348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 w:name="page15"/>
    <w:bookmarkEnd w:id="14"/>
    <w:p>
      <w:pPr>
        <w:spacing w:after="0"/>
        <w:tabs>
          <w:tab w:leader="none" w:pos="348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 w:name="page16"/>
    <w:bookmarkEnd w:id="15"/>
    <w:p>
      <w:pPr>
        <w:spacing w:after="0"/>
        <w:tabs>
          <w:tab w:leader="none" w:pos="348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 w:name="page17"/>
    <w:bookmarkEnd w:id="16"/>
    <w:p>
      <w:pPr>
        <w:spacing w:after="0"/>
        <w:tabs>
          <w:tab w:leader="none" w:pos="348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 w:name="page18"/>
    <w:bookmarkEnd w:id="17"/>
    <w:p>
      <w:pPr>
        <w:spacing w:after="0"/>
        <w:tabs>
          <w:tab w:leader="none" w:pos="348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 w:name="page19"/>
    <w:bookmarkEnd w:id="18"/>
    <w:p>
      <w:pPr>
        <w:spacing w:after="0"/>
        <w:tabs>
          <w:tab w:leader="none" w:pos="348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 w:name="page20"/>
    <w:bookmarkEnd w:id="19"/>
    <w:p>
      <w:pPr>
        <w:spacing w:after="0"/>
        <w:tabs>
          <w:tab w:leader="none" w:pos="348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 w:name="page21"/>
    <w:bookmarkEnd w:id="20"/>
    <w:p>
      <w:pPr>
        <w:spacing w:after="0"/>
        <w:tabs>
          <w:tab w:leader="none" w:pos="348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 w:name="page22"/>
    <w:bookmarkEnd w:id="21"/>
    <w:p>
      <w:pPr>
        <w:spacing w:after="0"/>
        <w:tabs>
          <w:tab w:leader="none" w:pos="348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 w:name="page23"/>
    <w:bookmarkEnd w:id="22"/>
    <w:p>
      <w:pPr>
        <w:spacing w:after="0"/>
        <w:tabs>
          <w:tab w:leader="none" w:pos="348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 w:name="page24"/>
    <w:bookmarkEnd w:id="23"/>
    <w:p>
      <w:pPr>
        <w:spacing w:after="0"/>
        <w:tabs>
          <w:tab w:leader="none" w:pos="348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4" w:name="page25"/>
    <w:bookmarkEnd w:id="24"/>
    <w:p>
      <w:pPr>
        <w:spacing w:after="0"/>
        <w:tabs>
          <w:tab w:leader="none" w:pos="348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5" w:name="page26"/>
    <w:bookmarkEnd w:id="25"/>
    <w:p>
      <w:pPr>
        <w:spacing w:after="0"/>
        <w:tabs>
          <w:tab w:leader="none" w:pos="348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6" w:name="page27"/>
    <w:bookmarkEnd w:id="26"/>
    <w:p>
      <w:pPr>
        <w:spacing w:after="0"/>
        <w:tabs>
          <w:tab w:leader="none" w:pos="348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7" w:name="page28"/>
    <w:bookmarkEnd w:id="27"/>
    <w:p>
      <w:pPr>
        <w:spacing w:after="0"/>
        <w:tabs>
          <w:tab w:leader="none" w:pos="348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8" w:name="page29"/>
    <w:bookmarkEnd w:id="28"/>
    <w:p>
      <w:pPr>
        <w:spacing w:after="0"/>
        <w:tabs>
          <w:tab w:leader="none" w:pos="348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9" w:name="page30"/>
    <w:bookmarkEnd w:id="29"/>
    <w:p>
      <w:pPr>
        <w:spacing w:after="0"/>
        <w:tabs>
          <w:tab w:leader="none" w:pos="348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0" w:name="page31"/>
    <w:bookmarkEnd w:id="30"/>
    <w:p>
      <w:pPr>
        <w:spacing w:after="0"/>
        <w:tabs>
          <w:tab w:leader="none" w:pos="348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1" w:name="page32"/>
    <w:bookmarkEnd w:id="31"/>
    <w:p>
      <w:pPr>
        <w:spacing w:after="0"/>
        <w:tabs>
          <w:tab w:leader="none" w:pos="348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2" w:name="page33"/>
    <w:bookmarkEnd w:id="32"/>
    <w:p>
      <w:pPr>
        <w:spacing w:after="0"/>
        <w:tabs>
          <w:tab w:leader="none" w:pos="348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3" w:name="page34"/>
    <w:bookmarkEnd w:id="33"/>
    <w:p>
      <w:pPr>
        <w:spacing w:after="0"/>
        <w:tabs>
          <w:tab w:leader="none" w:pos="348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4" w:name="page35"/>
    <w:bookmarkEnd w:id="34"/>
    <w:p>
      <w:pPr>
        <w:spacing w:after="0"/>
        <w:tabs>
          <w:tab w:leader="none" w:pos="348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5" w:name="page36"/>
    <w:bookmarkEnd w:id="35"/>
    <w:p>
      <w:pPr>
        <w:spacing w:after="0"/>
        <w:tabs>
          <w:tab w:leader="none" w:pos="348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6" w:name="page37"/>
    <w:bookmarkEnd w:id="36"/>
    <w:p>
      <w:pPr>
        <w:spacing w:after="0"/>
        <w:tabs>
          <w:tab w:leader="none" w:pos="348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7" w:name="page38"/>
    <w:bookmarkEnd w:id="37"/>
    <w:p>
      <w:pPr>
        <w:spacing w:after="0"/>
        <w:tabs>
          <w:tab w:leader="none" w:pos="348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8" w:name="page39"/>
    <w:bookmarkEnd w:id="38"/>
    <w:p>
      <w:pPr>
        <w:spacing w:after="0"/>
        <w:tabs>
          <w:tab w:leader="none" w:pos="348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9" w:name="page40"/>
    <w:bookmarkEnd w:id="39"/>
    <w:p>
      <w:pPr>
        <w:spacing w:after="0"/>
        <w:tabs>
          <w:tab w:leader="none" w:pos="348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0" w:name="page41"/>
    <w:bookmarkEnd w:id="40"/>
    <w:p>
      <w:pPr>
        <w:spacing w:after="0"/>
        <w:tabs>
          <w:tab w:leader="none" w:pos="348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4085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1" w:name="page42"/>
    <w:bookmarkEnd w:id="41"/>
    <w:p>
      <w:pPr>
        <w:spacing w:after="0"/>
        <w:tabs>
          <w:tab w:leader="none" w:pos="348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4085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2" w:name="page43"/>
    <w:bookmarkEnd w:id="42"/>
    <w:p>
      <w:pPr>
        <w:spacing w:after="0"/>
        <w:tabs>
          <w:tab w:leader="none" w:pos="348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3" w:name="page44"/>
    <w:bookmarkEnd w:id="43"/>
    <w:p>
      <w:pPr>
        <w:spacing w:after="0"/>
        <w:tabs>
          <w:tab w:leader="none" w:pos="348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4" w:name="page45"/>
    <w:bookmarkEnd w:id="44"/>
    <w:p>
      <w:pPr>
        <w:spacing w:after="0"/>
        <w:tabs>
          <w:tab w:leader="none" w:pos="348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5" w:name="page46"/>
    <w:bookmarkEnd w:id="45"/>
    <w:p>
      <w:pPr>
        <w:spacing w:after="0"/>
        <w:tabs>
          <w:tab w:leader="none" w:pos="348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6" w:name="page47"/>
    <w:bookmarkEnd w:id="46"/>
    <w:p>
      <w:pPr>
        <w:spacing w:after="0"/>
        <w:tabs>
          <w:tab w:leader="none" w:pos="348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7" w:name="page48"/>
    <w:bookmarkEnd w:id="47"/>
    <w:p>
      <w:pPr>
        <w:spacing w:after="0"/>
        <w:tabs>
          <w:tab w:leader="none" w:pos="348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8" w:name="page49"/>
    <w:bookmarkEnd w:id="48"/>
    <w:p>
      <w:pPr>
        <w:spacing w:after="0"/>
        <w:tabs>
          <w:tab w:leader="none" w:pos="348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9" w:name="page50"/>
    <w:bookmarkEnd w:id="49"/>
    <w:p>
      <w:pPr>
        <w:spacing w:after="0"/>
        <w:tabs>
          <w:tab w:leader="none" w:pos="348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0" w:name="page51"/>
    <w:bookmarkEnd w:id="50"/>
    <w:p>
      <w:pPr>
        <w:spacing w:after="0"/>
        <w:tabs>
          <w:tab w:leader="none" w:pos="348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1" w:name="page52"/>
    <w:bookmarkEnd w:id="51"/>
    <w:p>
      <w:pPr>
        <w:spacing w:after="0"/>
        <w:tabs>
          <w:tab w:leader="none" w:pos="348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751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2" w:name="page53"/>
    <w:bookmarkEnd w:id="52"/>
    <w:p>
      <w:pPr>
        <w:spacing w:after="0"/>
        <w:tabs>
          <w:tab w:leader="none" w:pos="348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3" w:name="page54"/>
    <w:bookmarkEnd w:id="53"/>
    <w:p>
      <w:pPr>
        <w:spacing w:after="0"/>
        <w:tabs>
          <w:tab w:leader="none" w:pos="348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4" w:name="page55"/>
    <w:bookmarkEnd w:id="54"/>
    <w:p>
      <w:pPr>
        <w:spacing w:after="0"/>
        <w:tabs>
          <w:tab w:leader="none" w:pos="348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9740265</wp:posOffset>
            </wp:positionV>
            <wp:extent cx="7105650" cy="1968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05650" cy="196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5" w:name="page56"/>
    <w:bookmarkEnd w:id="55"/>
    <w:p>
      <w:pPr>
        <w:spacing w:after="0"/>
        <w:tabs>
          <w:tab w:leader="none" w:pos="348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6" w:name="page57"/>
    <w:bookmarkEnd w:id="56"/>
    <w:p>
      <w:pPr>
        <w:spacing w:after="0"/>
        <w:tabs>
          <w:tab w:leader="none" w:pos="348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7" w:name="page58"/>
    <w:bookmarkEnd w:id="57"/>
    <w:p>
      <w:pPr>
        <w:spacing w:after="0"/>
        <w:tabs>
          <w:tab w:leader="none" w:pos="348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8" w:name="page59"/>
    <w:bookmarkEnd w:id="58"/>
    <w:p>
      <w:pPr>
        <w:spacing w:after="0"/>
        <w:tabs>
          <w:tab w:leader="none" w:pos="348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9" w:name="page60"/>
    <w:bookmarkEnd w:id="59"/>
    <w:p>
      <w:pPr>
        <w:spacing w:after="0"/>
        <w:tabs>
          <w:tab w:leader="none" w:pos="348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0" w:name="page61"/>
    <w:bookmarkEnd w:id="60"/>
    <w:p>
      <w:pPr>
        <w:spacing w:after="0"/>
        <w:tabs>
          <w:tab w:leader="none" w:pos="348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1" w:name="page62"/>
    <w:bookmarkEnd w:id="61"/>
    <w:p>
      <w:pPr>
        <w:spacing w:after="0"/>
        <w:tabs>
          <w:tab w:leader="none" w:pos="348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2" w:name="page63"/>
    <w:bookmarkEnd w:id="62"/>
    <w:p>
      <w:pPr>
        <w:spacing w:after="0"/>
        <w:tabs>
          <w:tab w:leader="none" w:pos="348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3" w:name="page64"/>
    <w:bookmarkEnd w:id="63"/>
    <w:p>
      <w:pPr>
        <w:spacing w:after="0"/>
        <w:tabs>
          <w:tab w:leader="none" w:pos="348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4" w:name="page65"/>
    <w:bookmarkEnd w:id="64"/>
    <w:p>
      <w:pPr>
        <w:spacing w:after="0"/>
        <w:tabs>
          <w:tab w:leader="none" w:pos="348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5" w:name="page66"/>
    <w:bookmarkEnd w:id="65"/>
    <w:p>
      <w:pPr>
        <w:spacing w:after="0"/>
        <w:tabs>
          <w:tab w:leader="none" w:pos="348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6" w:name="page67"/>
    <w:bookmarkEnd w:id="66"/>
    <w:p>
      <w:pPr>
        <w:spacing w:after="0"/>
        <w:tabs>
          <w:tab w:leader="none" w:pos="348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7" w:name="page68"/>
    <w:bookmarkEnd w:id="67"/>
    <w:p>
      <w:pPr>
        <w:spacing w:after="0"/>
        <w:tabs>
          <w:tab w:leader="none" w:pos="348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8" w:name="page69"/>
    <w:bookmarkEnd w:id="68"/>
    <w:p>
      <w:pPr>
        <w:spacing w:after="0"/>
        <w:tabs>
          <w:tab w:leader="none" w:pos="348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9" w:name="page70"/>
    <w:bookmarkEnd w:id="69"/>
    <w:p>
      <w:pPr>
        <w:spacing w:after="0"/>
        <w:tabs>
          <w:tab w:leader="none" w:pos="348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0" w:name="page71"/>
    <w:bookmarkEnd w:id="70"/>
    <w:p>
      <w:pPr>
        <w:spacing w:after="0"/>
        <w:tabs>
          <w:tab w:leader="none" w:pos="348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1" w:name="page72"/>
    <w:bookmarkEnd w:id="71"/>
    <w:p>
      <w:pPr>
        <w:spacing w:after="0"/>
        <w:tabs>
          <w:tab w:leader="none" w:pos="348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2" w:name="page73"/>
    <w:bookmarkEnd w:id="72"/>
    <w:p>
      <w:pPr>
        <w:spacing w:after="0"/>
        <w:tabs>
          <w:tab w:leader="none" w:pos="348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9733915</wp:posOffset>
            </wp:positionV>
            <wp:extent cx="7105650" cy="1968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05650" cy="196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3" w:name="page74"/>
    <w:bookmarkEnd w:id="73"/>
    <w:p>
      <w:pPr>
        <w:spacing w:after="0"/>
        <w:tabs>
          <w:tab w:leader="none" w:pos="348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751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4" w:name="page75"/>
    <w:bookmarkEnd w:id="74"/>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1)"/>
      <w:numFmt w:val="lowerLetter"/>
      <w:start w:val="4"/>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2022-12-23T08:05:22Z</dcterms:created>
  <dcterms:modified xsi:type="dcterms:W3CDTF">2022-12-23T08:05:22Z</dcterms:modified>
</cp:coreProperties>
</file>