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60" w:right="1780" w:hanging="560"/>
        <w:spacing w:after="0" w:line="26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2014</w:t>
      </w:r>
    </w:p>
    <w:p>
      <w:pPr>
        <w:spacing w:after="0" w:line="184"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960" w:right="1760" w:hanging="560"/>
        <w:spacing w:after="0" w:line="492" w:lineRule="auto"/>
        <w:tabs>
          <w:tab w:leader="none" w:pos="5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3575685</wp:posOffset>
            </wp:positionH>
            <wp:positionV relativeFrom="paragraph">
              <wp:posOffset>-152400</wp:posOffset>
            </wp:positionV>
            <wp:extent cx="162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96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gridSpan w:val="3"/>
          </w:tcPr>
          <w:p>
            <w:pPr>
              <w:jc w:val="center"/>
              <w:ind w:right="2600"/>
              <w:spacing w:after="0"/>
              <w:rPr>
                <w:sz w:val="20"/>
                <w:szCs w:val="20"/>
                <w:color w:val="auto"/>
              </w:rPr>
            </w:pPr>
            <w:r>
              <w:rPr>
                <w:rFonts w:ascii="Arial" w:cs="Arial" w:eastAsia="Arial" w:hAnsi="Arial"/>
                <w:sz w:val="18"/>
                <w:szCs w:val="18"/>
                <w:color w:val="auto"/>
                <w:w w:val="89"/>
              </w:rPr>
              <w:t>Delaware</w:t>
            </w:r>
          </w:p>
        </w:tc>
        <w:tc>
          <w:tcPr>
            <w:tcW w:w="1720" w:type="dxa"/>
            <w:vAlign w:val="bottom"/>
            <w:gridSpan w:val="5"/>
          </w:tcPr>
          <w:p>
            <w:pPr>
              <w:jc w:val="right"/>
              <w:ind w:right="240"/>
              <w:spacing w:after="0"/>
              <w:rPr>
                <w:sz w:val="20"/>
                <w:szCs w:val="20"/>
                <w:color w:val="auto"/>
              </w:rPr>
            </w:pPr>
            <w:r>
              <w:rPr>
                <w:rFonts w:ascii="Arial" w:cs="Arial" w:eastAsia="Arial" w:hAnsi="Arial"/>
                <w:sz w:val="18"/>
                <w:szCs w:val="18"/>
                <w:color w:val="auto"/>
              </w:rPr>
              <w:t>46-3831207</w:t>
            </w: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70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5"/>
          </w:tcPr>
          <w:p>
            <w:pPr>
              <w:jc w:val="center"/>
              <w:ind w:left="290"/>
              <w:spacing w:after="0"/>
              <w:rPr>
                <w:sz w:val="20"/>
                <w:szCs w:val="20"/>
                <w:color w:val="auto"/>
              </w:rPr>
            </w:pPr>
            <w:r>
              <w:rPr>
                <w:rFonts w:ascii="Arial" w:cs="Arial" w:eastAsia="Arial" w:hAnsi="Arial"/>
                <w:sz w:val="18"/>
                <w:szCs w:val="18"/>
                <w:color w:val="auto"/>
                <w:w w:val="92"/>
              </w:rPr>
              <w:t>(I.R.S. Employer</w:t>
            </w:r>
          </w:p>
        </w:tc>
      </w:tr>
      <w:tr>
        <w:trPr>
          <w:trHeight w:val="230"/>
        </w:trPr>
        <w:tc>
          <w:tcPr>
            <w:tcW w:w="470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incorporation or organization)</w:t>
            </w:r>
          </w:p>
        </w:tc>
        <w:tc>
          <w:tcPr>
            <w:tcW w:w="1720" w:type="dxa"/>
            <w:vAlign w:val="bottom"/>
            <w:gridSpan w:val="5"/>
          </w:tcPr>
          <w:p>
            <w:pPr>
              <w:jc w:val="center"/>
              <w:ind w:left="29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700" w:type="dxa"/>
            <w:vAlign w:val="bottom"/>
            <w:gridSpan w:val="5"/>
          </w:tcPr>
          <w:p>
            <w:pPr>
              <w:jc w:val="center"/>
              <w:ind w:right="1200"/>
              <w:spacing w:after="0"/>
              <w:rPr>
                <w:sz w:val="20"/>
                <w:szCs w:val="20"/>
                <w:color w:val="auto"/>
              </w:rPr>
            </w:pPr>
            <w:r>
              <w:rPr>
                <w:rFonts w:ascii="Arial" w:cs="Arial" w:eastAsia="Arial" w:hAnsi="Arial"/>
                <w:sz w:val="18"/>
                <w:szCs w:val="18"/>
                <w:color w:val="auto"/>
                <w:w w:val="90"/>
              </w:rPr>
              <w:t>Three Allen Center, 333 Clay Street, Suite 4980,</w:t>
            </w:r>
          </w:p>
        </w:tc>
        <w:tc>
          <w:tcPr>
            <w:tcW w:w="82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12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88"/>
              </w:rPr>
              <w:t>Houston, Texas</w:t>
            </w:r>
          </w:p>
        </w:tc>
        <w:tc>
          <w:tcPr>
            <w:tcW w:w="2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4"/>
          </w:tcPr>
          <w:p>
            <w:pPr>
              <w:jc w:val="center"/>
              <w:ind w:right="240"/>
              <w:spacing w:after="0" w:line="196" w:lineRule="exact"/>
              <w:rPr>
                <w:sz w:val="20"/>
                <w:szCs w:val="20"/>
                <w:color w:val="auto"/>
              </w:rPr>
            </w:pPr>
            <w:r>
              <w:rPr>
                <w:rFonts w:ascii="Arial" w:cs="Arial" w:eastAsia="Arial" w:hAnsi="Arial"/>
                <w:sz w:val="18"/>
                <w:szCs w:val="18"/>
                <w:color w:val="auto"/>
                <w:w w:val="91"/>
              </w:rPr>
              <w:t>(Zip Code)</w:t>
            </w:r>
          </w:p>
        </w:tc>
      </w:tr>
      <w:tr>
        <w:trPr>
          <w:trHeight w:val="237"/>
        </w:trPr>
        <w:tc>
          <w:tcPr>
            <w:tcW w:w="470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(Address of principal executive offices)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4700" w:type="dxa"/>
            <w:vAlign w:val="bottom"/>
            <w:gridSpan w:val="5"/>
          </w:tcPr>
          <w:p>
            <w:pPr>
              <w:jc w:val="right"/>
              <w:ind w:right="380"/>
              <w:spacing w:after="0"/>
              <w:rPr>
                <w:sz w:val="20"/>
                <w:szCs w:val="20"/>
                <w:color w:val="auto"/>
              </w:rPr>
            </w:pPr>
            <w:r>
              <w:rPr>
                <w:rFonts w:ascii="Arial" w:cs="Arial" w:eastAsia="Arial" w:hAnsi="Arial"/>
                <w:sz w:val="18"/>
                <w:szCs w:val="18"/>
                <w:color w:val="auto"/>
              </w:rPr>
              <w:t>(713) 510-2400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ind w:right="-19"/>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20"/>
          </w:cols>
          <w:pgMar w:left="240" w:top="449" w:right="239" w:bottom="1440" w:gutter="0" w:footer="0" w:header="0"/>
        </w:sectPr>
      </w:pPr>
    </w:p>
    <w:p>
      <w:pPr>
        <w:spacing w:after="0" w:line="265"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jc w:val="center"/>
        <w:ind w:right="4140"/>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5060" w:space="720"/>
            <w:col w:w="5640"/>
          </w:cols>
          <w:pgMar w:left="240" w:top="44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4"/>
          <w:szCs w:val="24"/>
          <w:color w:val="auto"/>
        </w:rPr>
      </w:pPr>
    </w:p>
    <w:p>
      <w:pPr>
        <w:sectPr>
          <w:pgSz w:w="11900" w:h="16838" w:orient="portrait"/>
          <w:cols w:equalWidth="0" w:num="2">
            <w:col w:w="5300" w:space="480"/>
            <w:col w:w="5640"/>
          </w:cols>
          <w:pgMar w:left="240" w:top="44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54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106,733,659 shares of common stock outstanding as of November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300" w:type="dxa"/>
            <w:vAlign w:val="bottom"/>
          </w:tcPr>
          <w:p>
            <w:pPr>
              <w:jc w:val="center"/>
              <w:ind w:left="990"/>
              <w:spacing w:after="0"/>
              <w:rPr>
                <w:sz w:val="20"/>
                <w:szCs w:val="20"/>
                <w:color w:val="auto"/>
              </w:rPr>
            </w:pPr>
            <w:r>
              <w:rPr>
                <w:rFonts w:ascii="Arial" w:cs="Arial" w:eastAsia="Arial" w:hAnsi="Arial"/>
                <w:sz w:val="18"/>
                <w:szCs w:val="18"/>
                <w:color w:val="auto"/>
                <w:w w:val="95"/>
              </w:rPr>
              <w:t>CIVEO CORPORATION</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00" w:type="dxa"/>
            <w:vAlign w:val="bottom"/>
          </w:tcPr>
          <w:p>
            <w:pPr>
              <w:jc w:val="center"/>
              <w:ind w:left="1010"/>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300" w:type="dxa"/>
            <w:vAlign w:val="bottom"/>
          </w:tcPr>
          <w:p>
            <w:pPr>
              <w:spacing w:after="0"/>
              <w:rPr>
                <w:sz w:val="24"/>
                <w:szCs w:val="24"/>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Part I -- FINANCIAL INFORMATION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Financial Statements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00" w:type="dxa"/>
            <w:vAlign w:val="bottom"/>
          </w:tcPr>
          <w:p>
            <w:pPr>
              <w:ind w:left="800"/>
              <w:spacing w:after="0" w:line="201" w:lineRule="exact"/>
              <w:rPr>
                <w:sz w:val="20"/>
                <w:szCs w:val="20"/>
                <w:color w:val="auto"/>
              </w:rPr>
            </w:pPr>
            <w:r>
              <w:rPr>
                <w:rFonts w:ascii="Arial" w:cs="Arial" w:eastAsia="Arial" w:hAnsi="Arial"/>
                <w:sz w:val="18"/>
                <w:szCs w:val="18"/>
                <w:color w:val="auto"/>
              </w:rPr>
              <w:t>Unaudited Consolidated Statements of Income for the Three and Nine Month Periods</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00" w:type="dxa"/>
            <w:vAlign w:val="bottom"/>
          </w:tcPr>
          <w:p>
            <w:pPr>
              <w:ind w:left="960"/>
              <w:spacing w:after="0"/>
              <w:rPr>
                <w:sz w:val="20"/>
                <w:szCs w:val="20"/>
                <w:color w:val="auto"/>
              </w:rPr>
            </w:pPr>
            <w:r>
              <w:rPr>
                <w:rFonts w:ascii="Arial" w:cs="Arial" w:eastAsia="Arial" w:hAnsi="Arial"/>
                <w:sz w:val="18"/>
                <w:szCs w:val="18"/>
                <w:color w:val="auto"/>
              </w:rPr>
              <w:t>Ended September 30, 2014 and 2013</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Unaudited Consolidated Statements of Comprehensive Income for the Three and Nine Month</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Periods Ended September 30, 2014 and 2013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Consolidated Balance Sheets – September 30, 2014 (unaudited) and December 31, 2013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Unaudited Consolidated Statements of Changes in Stockholders’ Equity / Net Investment for the Nine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Months Ended September 30, 2014 and 2013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00" w:type="dxa"/>
            <w:vAlign w:val="bottom"/>
          </w:tcPr>
          <w:p>
            <w:pPr>
              <w:ind w:left="800"/>
              <w:spacing w:after="0" w:line="201" w:lineRule="exact"/>
              <w:rPr>
                <w:sz w:val="20"/>
                <w:szCs w:val="20"/>
                <w:color w:val="auto"/>
              </w:rPr>
            </w:pPr>
            <w:r>
              <w:rPr>
                <w:rFonts w:ascii="Arial" w:cs="Arial" w:eastAsia="Arial" w:hAnsi="Arial"/>
                <w:sz w:val="18"/>
                <w:szCs w:val="18"/>
                <w:color w:val="auto"/>
              </w:rPr>
              <w:t>Unaudited Consolidated Statements of Cash Flows for the Nine Months 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00" w:type="dxa"/>
            <w:vAlign w:val="bottom"/>
          </w:tcPr>
          <w:p>
            <w:pPr>
              <w:ind w:left="960"/>
              <w:spacing w:after="0"/>
              <w:rPr>
                <w:sz w:val="20"/>
                <w:szCs w:val="20"/>
                <w:color w:val="auto"/>
              </w:rPr>
            </w:pPr>
            <w:r>
              <w:rPr>
                <w:rFonts w:ascii="Arial" w:cs="Arial" w:eastAsia="Arial" w:hAnsi="Arial"/>
                <w:sz w:val="18"/>
                <w:szCs w:val="18"/>
                <w:color w:val="auto"/>
              </w:rPr>
              <w:t>September 30, 2014 and 2013</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to Unaudited Consolidated Financial Statements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 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Item 4. Controls and Procedures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Part II -- OTHER INFORMATION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Item 1. Legal Proceedings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Item 1A. Risk Factors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Item 6. Exhibits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 Index of Exhibits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Signature Page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0320" w:type="dxa"/>
            <w:vAlign w:val="bottom"/>
            <w:gridSpan w:val="2"/>
          </w:tcPr>
          <w:p>
            <w:pPr>
              <w:jc w:val="center"/>
              <w:ind w:left="101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Service and other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233,314</w:t>
            </w:r>
          </w:p>
        </w:tc>
        <w:tc>
          <w:tcPr>
            <w:tcW w:w="14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239,322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696,154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723,197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782,627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Service and other costs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126,972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389,486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17,212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51,069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Spin-off and formation costs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42,011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127,770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Other operating expense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53,384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115,083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(4,563)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3,236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51,412</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(11,418)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(16,411)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Civeo Corporation.</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Per Share Data (see Note 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income per share attributable to Civeo Corporation common</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Diluted net income per share attributable to Civeo Corporation common</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106,293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106,460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32,763</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83,644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(112,956)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27,125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(58,816)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67,119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60" w:type="dxa"/>
            <w:vAlign w:val="bottom"/>
          </w:tcPr>
          <w:p>
            <w:pPr>
              <w:jc w:val="center"/>
              <w:ind w:left="3450"/>
              <w:spacing w:after="0"/>
              <w:rPr>
                <w:sz w:val="20"/>
                <w:szCs w:val="20"/>
                <w:color w:val="auto"/>
              </w:rPr>
            </w:pPr>
            <w:r>
              <w:rPr>
                <w:rFonts w:ascii="Arial" w:cs="Arial" w:eastAsia="Arial" w:hAnsi="Arial"/>
                <w:sz w:val="18"/>
                <w:szCs w:val="18"/>
                <w:b w:val="1"/>
                <w:bCs w:val="1"/>
                <w:color w:val="auto"/>
              </w:rPr>
              <w:t>CIVEO CORPORATION</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6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jc w:val="center"/>
              <w:ind w:left="3430"/>
              <w:spacing w:after="0"/>
              <w:rPr>
                <w:sz w:val="20"/>
                <w:szCs w:val="20"/>
                <w:color w:val="auto"/>
              </w:rPr>
            </w:pPr>
            <w:r>
              <w:rPr>
                <w:rFonts w:ascii="Arial" w:cs="Arial" w:eastAsia="Arial" w:hAnsi="Arial"/>
                <w:sz w:val="18"/>
                <w:szCs w:val="18"/>
                <w:b w:val="1"/>
                <w:bCs w:val="1"/>
                <w:color w:val="auto"/>
                <w:w w:val="91"/>
              </w:rPr>
              <w:t>(In Thousands)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7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7"/>
              </w:rPr>
              <w:t>SEPTEMBER 30,</w:t>
            </w:r>
          </w:p>
        </w:tc>
        <w:tc>
          <w:tcPr>
            <w:tcW w:w="20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241,814</w:t>
            </w:r>
          </w:p>
        </w:tc>
        <w:tc>
          <w:tcPr>
            <w:tcW w:w="24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14,896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29,313</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489,354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439,744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1,364,918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255,283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59,589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18,975</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2,188,119</w:t>
            </w:r>
          </w:p>
        </w:tc>
        <w:tc>
          <w:tcPr>
            <w:tcW w:w="24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180"/>
              <w:spacing w:after="0"/>
              <w:rPr>
                <w:sz w:val="20"/>
                <w:szCs w:val="20"/>
                <w:color w:val="auto"/>
              </w:rPr>
            </w:pPr>
            <w:r>
              <w:rPr>
                <w:rFonts w:ascii="Arial" w:cs="Arial" w:eastAsia="Arial" w:hAnsi="Arial"/>
                <w:sz w:val="18"/>
                <w:szCs w:val="18"/>
                <w:color w:val="auto"/>
              </w:rPr>
              <w:t>LIABILITIES AND STOCKHOLDERS’ EQUITY / NET INVESTMENT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50,272</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22,884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9,687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765,313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25,248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963,720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 Net investment: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($0.01 par value, 550,000,000 shares authorized, 106,709,689 shares and zero shares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both issued and outstanding, respectively)</w:t>
            </w: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27,017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Oil States International, Inc. net investment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(118,692)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Civeo Corporation stockholders’ equity / Oil States International, Inc. net investment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1,222,215</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1,591,034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 / net investment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1,224,399</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1,592,745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 / net investment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2,188,119</w:t>
            </w:r>
          </w:p>
        </w:tc>
        <w:tc>
          <w:tcPr>
            <w:tcW w:w="24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STOCKHOLDERS’ EQUITY / NET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8"/>
                <w:szCs w:val="18"/>
                <w:b w:val="1"/>
                <w:bCs w:val="1"/>
                <w:color w:val="auto"/>
                <w:w w:val="91"/>
              </w:rPr>
              <w:t>Attributable to Civeo</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8"/>
                <w:szCs w:val="18"/>
                <w:b w:val="1"/>
                <w:bCs w:val="1"/>
                <w:color w:val="auto"/>
                <w:w w:val="99"/>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5"/>
              </w:rPr>
              <w:t>Additional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Oil States</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Paid-in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Retained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Comprehensive</w:t>
            </w: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Noncontrolling</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Equity /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Par Value</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1,302,664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107,733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136,423</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transfers from Oil States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105,971</w:t>
            </w:r>
          </w:p>
        </w:tc>
        <w:tc>
          <w:tcPr>
            <w:tcW w:w="2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105,971</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Inc.</w:t>
            </w:r>
          </w:p>
        </w:tc>
        <w:tc>
          <w:tcPr>
            <w:tcW w:w="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Balance, September 30, 2013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1,545,058</w:t>
            </w:r>
          </w:p>
        </w:tc>
        <w:tc>
          <w:tcPr>
            <w:tcW w:w="2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(3,120)</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1,390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1,543,328</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1,651,013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(59,979)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40,910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41,681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(13,893)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transfers from Oil States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Inc</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369,219</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Distribution to Oil States International,</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Inc.</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Oil States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Inc. Net Investment to</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1,311,913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(1,311,913)</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8"/>
              </w:rPr>
              <w:t>Issuance of common stock at the Spin-</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Off</w:t>
            </w:r>
          </w:p>
        </w:tc>
        <w:tc>
          <w:tcPr>
            <w:tcW w:w="24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Balance, September 30, 2014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1,067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1,312,823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27,017</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(118,692)</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2,184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1,224,399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86"/>
              </w:rPr>
              <w:t>Shares in</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87"/>
              </w:rPr>
              <w:t>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89"/>
              </w:rPr>
              <w:t>Common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gridSpan w:val="4"/>
          </w:tcPr>
          <w:p>
            <w:pPr>
              <w:jc w:val="center"/>
              <w:ind w:left="9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1"/>
              </w:rPr>
              <w:t>Issuance of common stock at the Spin-Off</w:t>
            </w:r>
          </w:p>
        </w:tc>
        <w:tc>
          <w:tcPr>
            <w:tcW w:w="24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106,538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172</w:t>
            </w: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Balance, September 30, 2014</w:t>
            </w:r>
          </w:p>
        </w:tc>
        <w:tc>
          <w:tcPr>
            <w:tcW w:w="24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b w:val="1"/>
                <w:bCs w:val="1"/>
                <w:color w:val="auto"/>
              </w:rPr>
              <w:t>106,710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-582295</wp:posOffset>
            </wp:positionV>
            <wp:extent cx="434784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-307975</wp:posOffset>
            </wp:positionV>
            <wp:extent cx="434784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47845" cy="30861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83,644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127,770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provision (benefit)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Non-cash compensation charge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on disposals of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Provision for loss on receivables, net of recoveries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adjustment of contingent consideration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(32,119)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(208,297)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(206,690)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(228,381)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borrowings and (repayments),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Term loan borrowings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Term loan repayments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Distributions to Oil States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Contributions from Oil States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Net cash flows provided by (used in)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(13,793)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241,814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SPIN-OFF,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On May 5, 2014, the Oil States International, Inc. (Oil States) board of directors approved the separation of its Accommodations Segment (Accommodations) into a standalone, publicly traded company, Civeo Corporation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U.S. Securities and Exchange Commission (SEC) and was declared effective on May 8, 2014 (the Form 10).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8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connection with the Spin-Off, on May 28, 2014, we entered into a $650.0 million, 5-year revolving credit facility and a 5-year U.S. term loan facility totaling $775.0 million. For further discussion, see Note 7 – Debt.</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a result of the Spin-Off, we incurred certain costs in the three month and nine month periods ended September 30, 2014. We recognized a loss on the termination of debt of approximately $3.5 million, in the nine month period ended September 30, 2014, related to unamortized debt issuance costs, which is included in Loss on extinguishment of debt on the accompanying unaudited consolidated statements of income. We recorded transition and formation costs associated with the Spin-Off of approximately $1.0 million and $3.5 million for the three month and nine month periods ended September 30, 2014, respectively, which are included in Spin-off and formation costs on the accompanying unaudited consolidated statements of income. In the second quarter 2014, we recognized a $9.0 million impairment of an intangible asset in Australia, which is included in Impairment expense on the accompanying unaudited consolidated statements of income. Due to the Spin-Off, and the resulting rebranding of our Australian operations from The MAC to Civeo, it was determined that the fair value of an intangible asset associated with The MAC brand had been reduced to nil. Additionally, in the second quarter 2014, we recognized an impairment totaling $2.6 million on assets that are in the custody of a non-paying client in Mexico and for which the return or reimbursement is uncertain.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September 29, 2014, we announced our plan to redomicile the Company to Canada.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believe we will qualify for a self-directed redomiciling. We expect to complete the migration in the second or third quarter of 2015. There is no assurance that we will be able to complete the migration in a timely manner or at all, and if completed, we may not achieve the expected benefits.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hanging="324"/>
        <w:spacing w:after="0" w:line="297"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consolidated statements of income and comprehensive income for the three months ended September 30, 2014 consist entirely of the consolidated results of Civeo. Our consolidated statements of income and comprehensive income for the nine months ended September 30, 2014 consist of (i) the combined results of the Oil States’ Accommodations business for the five months ended May 30, 2014 and (ii) the consolidated results of Civeo for the four months ended September 30, 2014. Our consolidated statements of income and comprehensive income for the three and nine months ended September 30, 2013 consist entirely of the combined results of the Oil States’ Accommodations business.</w:t>
      </w:r>
    </w:p>
    <w:p>
      <w:pPr>
        <w:spacing w:after="0" w:line="158" w:lineRule="exact"/>
        <w:rPr>
          <w:rFonts w:ascii="Arial" w:cs="Arial" w:eastAsia="Arial" w:hAnsi="Arial"/>
          <w:sz w:val="16"/>
          <w:szCs w:val="16"/>
          <w:color w:val="auto"/>
        </w:rPr>
      </w:pPr>
    </w:p>
    <w:p>
      <w:pPr>
        <w:ind w:left="980" w:right="2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consolidated balance sheet at September 30, 2014 consists of the consolidated balances of Civeo, while at December 31, 2013, it consists entirely of the combined balances of the Oil States’ Accommodations business.</w:t>
      </w:r>
    </w:p>
    <w:p>
      <w:pPr>
        <w:spacing w:after="0" w:line="170"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consolidated statements of cash flows and changes in stockholders’ equity / net investment for the nine months ended September 30, 2014 consist of (i) the combined results of the Oil States’ Accommodations business for the five months ended May 30, 2014 and (ii) the consolidated results of Civeo for the four months ended September 30, 2014. Our consolidated statements of cash flows and changes in stockholders’ equity / net investment for the nine months ended September 30, 2013 consist entirely of the combined results of the Oil States’ Accommodations business.</w:t>
      </w:r>
    </w:p>
    <w:p>
      <w:pPr>
        <w:spacing w:after="0" w:line="188"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separation mean the Accommodations business of Oil States. For time periods after the separation, these terms refer to the legal entity Civeo Corporation and its consolidated subsidiaries.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Civeo is performing these functions using its own resources or purchased services. For an interim period, however, some of these functions will continue to be provided by Oil States under a Transition Services Agreement, which extends for a period of up to nine months from the date of the Spin-Off, depending on the service being provided. See Note 13 – Related Party Transactions.</w:t>
      </w:r>
    </w:p>
    <w:p>
      <w:pPr>
        <w:spacing w:after="0" w:line="18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Oil States uses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16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 pertaining to interim financial information. Certain information in footnote disclosures normally included in financial statements prepared in accordance with U.S. GAAP has been condensed or omitted pursuant to these rules and regulations. The unaudited financial statements included in this report reflect all the adjustments, consisting of normal recurring adjustments, which we consider necessary for a fair presentation of the results of operations for the interim periods covered and for our financial condition at the date of the interim balance sheet. Results for the interim periods are not necessarily indicative of results for the full year. Certain reclassifications have been made to the December 31, 2013 consolidated balance sheet to conform to current year presentation.</w:t>
      </w:r>
    </w:p>
    <w:p>
      <w:pPr>
        <w:spacing w:after="0" w:line="16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the audited financial statements and accompanying notes for the year ended December 31, 2013 included in our Form 10.</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May 2014,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guidance is effective for the interim and annual periods beginning on or after December 15, 2016 (early adoption is not permitted).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6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other than our long-term debt to affiliates, on the accompanying consolidated balance sheets approximate their fair values.</w:t>
      </w:r>
    </w:p>
    <w:p>
      <w:pPr>
        <w:spacing w:after="0" w:line="14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fair value of our long-term debt to affiliates is estimated based on analysis of similar instruments (Level 2 fair value measurements). The carrying value and fair value of this debt are as follows for the period indicated (in thousands):</w:t>
      </w:r>
    </w:p>
    <w:p>
      <w:pPr>
        <w:spacing w:after="0" w:line="166"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0"/>
          <w:szCs w:val="20"/>
          <w:color w:val="auto"/>
        </w:rPr>
      </w:pPr>
    </w:p>
    <w:p>
      <w:pPr>
        <w:ind w:left="7340"/>
        <w:spacing w:after="0"/>
        <w:tabs>
          <w:tab w:leader="none" w:pos="9240" w:val="left"/>
        </w:tabs>
        <w:rPr>
          <w:sz w:val="20"/>
          <w:szCs w:val="20"/>
          <w:color w:val="auto"/>
        </w:rPr>
      </w:pPr>
      <w:r>
        <w:rPr>
          <w:rFonts w:ascii="Arial" w:cs="Arial" w:eastAsia="Arial" w:hAnsi="Arial"/>
          <w:sz w:val="18"/>
          <w:szCs w:val="18"/>
          <w:b w:val="1"/>
          <w:bCs w:val="1"/>
          <w:color w:val="auto"/>
        </w:rPr>
        <w:t>Carrying</w:t>
      </w:r>
      <w:r>
        <w:rPr>
          <w:sz w:val="20"/>
          <w:szCs w:val="20"/>
          <w:color w:val="auto"/>
        </w:rPr>
        <w:tab/>
      </w:r>
      <w:r>
        <w:rPr>
          <w:rFonts w:ascii="Arial" w:cs="Arial" w:eastAsia="Arial" w:hAnsi="Arial"/>
          <w:sz w:val="18"/>
          <w:szCs w:val="18"/>
          <w:b w:val="1"/>
          <w:bCs w:val="1"/>
          <w:color w:val="auto"/>
        </w:rPr>
        <w:t>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-130810</wp:posOffset>
            </wp:positionV>
            <wp:extent cx="2084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7480"/>
        <w:spacing w:after="0"/>
        <w:tabs>
          <w:tab w:leader="none" w:pos="918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9" w:lineRule="exact"/>
        <w:rPr>
          <w:sz w:val="20"/>
          <w:szCs w:val="20"/>
          <w:color w:val="auto"/>
        </w:rPr>
      </w:pPr>
    </w:p>
    <w:p>
      <w:pPr>
        <w:ind w:left="1140"/>
        <w:spacing w:after="0"/>
        <w:tabs>
          <w:tab w:leader="none" w:pos="6900" w:val="left"/>
          <w:tab w:leader="none" w:pos="7880" w:val="left"/>
          <w:tab w:leader="none" w:pos="8620" w:val="left"/>
          <w:tab w:leader="none" w:pos="9600" w:val="left"/>
        </w:tabs>
        <w:rPr>
          <w:sz w:val="20"/>
          <w:szCs w:val="20"/>
          <w:color w:val="auto"/>
        </w:rPr>
      </w:pPr>
      <w:r>
        <w:rPr>
          <w:rFonts w:ascii="Arial" w:cs="Arial" w:eastAsia="Arial" w:hAnsi="Arial"/>
          <w:sz w:val="18"/>
          <w:szCs w:val="18"/>
          <w:color w:val="auto"/>
        </w:rPr>
        <w:t>Long-term debt to affiliates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335,171</w:t>
        <w:tab/>
        <w:t>$</w:t>
      </w:r>
      <w:r>
        <w:rPr>
          <w:sz w:val="20"/>
          <w:szCs w:val="20"/>
          <w:color w:val="auto"/>
        </w:rPr>
        <w:tab/>
      </w:r>
      <w:r>
        <w:rPr>
          <w:rFonts w:ascii="Arial" w:cs="Arial" w:eastAsia="Arial" w:hAnsi="Arial"/>
          <w:sz w:val="16"/>
          <w:szCs w:val="16"/>
          <w:color w:val="auto"/>
        </w:rPr>
        <w:t>361,264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4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As of September 30, 2014, we believe the carrying value of our floating-rate debt outstanding under our $775 million term loan approximates its fair value because the term includes short-term interest rates and excludes penalties for prepayment. We estimated the fair value of our floating-rate term loan using significant other observable inputs, representative of a Level 2 fair value measurement, including terms and credit spreads for this loan.</w:t>
      </w:r>
    </w:p>
    <w:p>
      <w:pPr>
        <w:spacing w:after="0" w:line="16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Additional information regarding selected balance sheet accounts at September 30, 2014 and December 31, 2013 is presented below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w:t>
            </w:r>
          </w:p>
        </w:tc>
        <w:tc>
          <w:tcPr>
            <w:tcW w:w="18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153,559</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128,781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(3,913)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(3,656)</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2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3,358</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3,574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Raw materials</w:t>
            </w: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29,815</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20" w:type="dxa"/>
            <w:vAlign w:val="bottom"/>
          </w:tcPr>
          <w:p>
            <w:pPr>
              <w:jc w:val="right"/>
              <w:ind w:right="10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1" w:name="page12"/>
    <w:bookmarkEnd w:id="11"/>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rPr>
              <w:t>CIVEO CORPORATION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40" w:type="dxa"/>
            <w:vAlign w:val="bottom"/>
            <w:gridSpan w:val="8"/>
          </w:tcPr>
          <w:p>
            <w:pPr>
              <w:jc w:val="center"/>
              <w:ind w:left="1570"/>
              <w:spacing w:after="0"/>
              <w:rPr>
                <w:sz w:val="20"/>
                <w:szCs w:val="20"/>
                <w:color w:val="auto"/>
              </w:rPr>
            </w:pPr>
            <w:r>
              <w:rPr>
                <w:rFonts w:ascii="Arial" w:cs="Arial" w:eastAsia="Arial" w:hAnsi="Arial"/>
                <w:sz w:val="18"/>
                <w:szCs w:val="18"/>
                <w:b w:val="1"/>
                <w:bCs w:val="1"/>
                <w:color w:val="auto"/>
              </w:rPr>
              <w:t>NOTES TO UNAUDITED CONSOLIDATED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2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(continued)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Useful 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8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Land</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56,239</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244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8"/>
              </w:rPr>
              <w:t>3-15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440" w:type="dxa"/>
            <w:vAlign w:val="bottom"/>
            <w:gridSpan w:val="2"/>
          </w:tcPr>
          <w:p>
            <w:pPr>
              <w:jc w:val="center"/>
              <w:ind w:left="870"/>
              <w:spacing w:after="0"/>
              <w:rPr>
                <w:sz w:val="20"/>
                <w:szCs w:val="20"/>
                <w:color w:val="auto"/>
              </w:rPr>
            </w:pPr>
            <w:r>
              <w:rPr>
                <w:rFonts w:ascii="Arial" w:cs="Arial" w:eastAsia="Arial" w:hAnsi="Arial"/>
                <w:sz w:val="18"/>
                <w:szCs w:val="18"/>
                <w:color w:val="auto"/>
                <w:w w:val="88"/>
              </w:rPr>
              <w:t>3-20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41,517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4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8"/>
              </w:rPr>
              <w:t>4-15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440" w:type="dxa"/>
            <w:vAlign w:val="bottom"/>
            <w:gridSpan w:val="2"/>
          </w:tcPr>
          <w:p>
            <w:pPr>
              <w:jc w:val="center"/>
              <w:ind w:left="870"/>
              <w:spacing w:after="0"/>
              <w:rPr>
                <w:sz w:val="20"/>
                <w:szCs w:val="20"/>
                <w:color w:val="auto"/>
              </w:rPr>
            </w:pPr>
            <w:r>
              <w:rPr>
                <w:rFonts w:ascii="Arial" w:cs="Arial" w:eastAsia="Arial" w:hAnsi="Arial"/>
                <w:sz w:val="18"/>
                <w:szCs w:val="18"/>
                <w:color w:val="auto"/>
                <w:w w:val="92"/>
              </w:rPr>
              <w:t>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32,745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44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2"/>
              </w:rPr>
              <w:t>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w:t>
            </w:r>
          </w:p>
        </w:tc>
        <w:tc>
          <w:tcPr>
            <w:tcW w:w="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1,947,380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(582,462)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(495,260)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property, plant and equipment, net</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1,364,918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1,325,867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24"/>
                <w:szCs w:val="24"/>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December 31, 2013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compensation</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19,184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taxes, other than income taxes</w:t>
            </w:r>
          </w:p>
        </w:tc>
        <w:tc>
          <w:tcPr>
            <w:tcW w:w="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interest</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22,884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tab/>
        <w:t>EARNINGS PER SHARE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May 30, 2014, 106,538,044 shares of our common stock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 Our calculation of diluted earnings per share excludes 36,737 and 43,434 shares issuable pursuant to outstanding stock options, for the three and nine months ended September 30, 2014, respectively, due to their antidilutive effect.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gridSpan w:val="5"/>
          </w:tcPr>
          <w:p>
            <w:pPr>
              <w:jc w:val="center"/>
              <w:ind w:left="3950"/>
              <w:spacing w:after="0"/>
              <w:rPr>
                <w:sz w:val="20"/>
                <w:szCs w:val="20"/>
                <w:color w:val="auto"/>
              </w:rPr>
            </w:pPr>
            <w:r>
              <w:rPr>
                <w:rFonts w:ascii="Arial" w:cs="Arial" w:eastAsia="Arial" w:hAnsi="Arial"/>
                <w:sz w:val="18"/>
                <w:szCs w:val="18"/>
                <w:b w:val="1"/>
                <w:bCs w:val="1"/>
                <w:color w:val="auto"/>
              </w:rPr>
              <w:t>CIVEO CORPORATION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00" w:type="dxa"/>
            <w:vAlign w:val="bottom"/>
            <w:gridSpan w:val="7"/>
          </w:tcPr>
          <w:p>
            <w:pPr>
              <w:jc w:val="center"/>
              <w:ind w:left="3590"/>
              <w:spacing w:after="0"/>
              <w:rPr>
                <w:sz w:val="20"/>
                <w:szCs w:val="20"/>
                <w:color w:val="auto"/>
              </w:rPr>
            </w:pPr>
            <w:r>
              <w:rPr>
                <w:rFonts w:ascii="Arial" w:cs="Arial" w:eastAsia="Arial" w:hAnsi="Arial"/>
                <w:sz w:val="18"/>
                <w:szCs w:val="18"/>
                <w:b w:val="1"/>
                <w:bCs w:val="1"/>
                <w:color w:val="auto"/>
              </w:rPr>
              <w:t>NOTES TO UNAUDITED CONSOLIDATED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5"/>
          </w:tcPr>
          <w:p>
            <w:pPr>
              <w:jc w:val="center"/>
              <w:ind w:left="393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(continued)</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 attributable to Civeo</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32,403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39,641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82,591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8"/>
              </w:rPr>
              <w:t>Net income attributable to Civeo’s common stockholders - basic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32,230</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39,479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82,206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135,866</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106,293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0.77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Civeo’s common stockholders - basic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32,230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82,206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income attributable to Civeo’s common stockholders - diluted</w:t>
            </w: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106,293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106,474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0.77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for the nine month period ended September 30, 2014 are as follows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Canadian</w:t>
            </w:r>
          </w:p>
        </w:tc>
        <w:tc>
          <w:tcPr>
            <w:tcW w:w="1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Australian</w:t>
            </w:r>
          </w:p>
        </w:tc>
        <w:tc>
          <w:tcPr>
            <w:tcW w:w="28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261,056</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(1,560)</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(4,213)</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(5,773)</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190,726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255,283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2014 and December 31, 2013, long-term debt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6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U.S. term loan, which matures on May 28, 2019, of $775.0 million; 1.25% of aggregate</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principal repayable per quarter beginning September 30, 2015; weighted average interest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of 2.4% for the nine month period ended September 30, 2014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6"/>
              </w:rPr>
              <w:t>U.S. revolving credit facility, which matures on May 28, 2019, with available commitments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up to $450.0 million; no borrowings outstanding during the nine month period ended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September 30, 2014</w:t>
            </w:r>
          </w:p>
        </w:tc>
        <w:tc>
          <w:tcPr>
            <w:tcW w:w="1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Canadian revolving credit facility, which matures on May 28, 2019, with available</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up to $100.0 million; no borrowings outstanding during the nine month</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 ended September 30, 2014</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rPr>
              <w:t>Australian revolving credit facility, which matures May 28, 2019, with available</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commitments up to $100.0 million; no borrowings outstanding during the nine month</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period ended September 30, 2014</w:t>
            </w:r>
          </w:p>
        </w:tc>
        <w:tc>
          <w:tcPr>
            <w:tcW w:w="1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Affiliate debt with Oil States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335,171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335,171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765,313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335,171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80" w:type="dxa"/>
            <w:vAlign w:val="bottom"/>
            <w:vMerge w:val="restart"/>
          </w:tcPr>
          <w:p>
            <w:pPr>
              <w:ind w:left="504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68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Interest expense on the consolidated statements of income is net of capitalized interest of $0.8 million and $0.2 million for the three months ended September 30, 2014 and 2013, respectively. Interest expense on the consolidated statements of income is net of capitalized interest of $2.1 million and $0.8 million for the nine months ended September 30,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May 27, 2014, in conjunction with the Spin-Off, our affiliate debt with Oil States was settled through a non-cash capital contribution. See Note 13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Civeo was a party to an Oil States credit facility agreement together with Oil States that had separate Canadian borrowing limits that served as debt financing for the Canadian operations of Civeo (Oil States Credit Facility). As of December 31, 2013, we had no outstanding balance under the Canadian portion of the credit facility and $0.9 million of outstanding letters of credit. Additionally, Civeo had a separate Australian credit facility (The MAC Group Credit Facility) that was used exclusively to support our Australian operations. As of December 31, 2013, we had no outstanding balance under the Australian credit facility. On May 28, 2014, the Oil States Credit Facility and The MAC Group Credit Facility were terminated. We recognized a loss on the termination during the second quarter 2014 of approximately $3.5 million related to unamortized debt issuance costs, which is included in Loss on extinguishment of debt on the accompanying unaudited consolidated statements of income.</w:t>
      </w:r>
    </w:p>
    <w:p>
      <w:pPr>
        <w:spacing w:after="0" w:line="17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May 28, 2014, we entered into (i) a $650.0 million, 5-year revolving credit facility which is allocated as follows: (A) a $450.0 million senior secured revolving credit facility in favor of Civeo, as borrower (the U.S. facility), (B) a $100.0 million senior secured revolving credit facility in favor of certain of our Canadian subsidiaries, as borrowers (the Canadian facility), and (C) a $100.0 million senior secured revolving credit facility in favor of one of our Australian subsidiaries, as borrower (the Australian facility), and (ii) a $775.0 million, 5-year term loan facility in favor of Civeo (collectively, the Credit Agreement). U.S. Dollar amounts outstanding under the Credit Agreement bear interest at a variable rate equal to LIBOR plus a margin of 1.75% to 2.75%, or a base rate plus 0.75% to 1.75%, in each case based on a ratio of our total leverage to EBITDA (as defined in the Credit Agreement). Canadian Dollar amounts outstanding under the Credit Agreement bear interest at a variable rate equal to CDOR (as defined in the Credit Agreement) plus a margin of 1.75% to 2.75%, or a base rate plus a margin of 0.75% to 1.75%, in each case based on a ratio of our total leverage to EBITDA (as defined in the Credit Agreement). Australian Dollar amounts outstanding under the Credit Agreement bear interest at a variable rate equal to BBSY (as defined in the Credit Agreement) plus a margin of 1.75% to 2.75%, based on a ratio of our total leverage to EBITDA (as defined in the Credit Agreement). We paid certain customary fees with respect to the Credit Agreement. We have 15 lenders in our Credit Agreement with commitments ranging from $20 million to $195 million. As of September 30, 2014, we had outstanding letters of credit of $0.7 million under the U.S facility and $5.9 million under the Canadian facility.</w:t>
      </w:r>
    </w:p>
    <w:p>
      <w:pPr>
        <w:spacing w:after="0" w:line="16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to consolidated interest expense, of at least 3.0 to 1.0 and our maximum leverage ratio, defined as the ratio of total debt to consolidated EBITDA, of no greater than 3.5 to 1.0. Each of the factors considered in the calculations of these ratios are defined in the Credit Agreement. EBITDA and consolidated interest, as defined, exclude goodwill impairments, debt discount amortization and other non-cash charges. Borrowings under the Credit Agreement are secured by a pledge of substantially all of our assets and the assets of our subsidiaries. Obligations under the Credit Agreement are guaranteed by our significant subsidiaries.</w:t>
      </w:r>
    </w:p>
    <w:p>
      <w:pPr>
        <w:spacing w:after="0" w:line="1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to the Credit Agreement, we have an A$30 million line of credit facility, which matures December 10, 2015. There were no borrowings or letters of credit outstanding under this facility during the nine month period ended September 30, 2014.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compute our quarterly taxes under the effective tax rate method based on applying an anticipated annual effective rate to our year-to-date income, except for significant unusual or extraordinary transactions. Income taxes for significant unusual or extraordinary transactions are computed and recorded in the period that the specific transaction occurs.</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income tax expense for the nine months ended September 30, 2014 totaled $16.4 million, or 16.4% of pretax income, compared to income tax expense of $43.3 million, or 24.0% of pretax income, for the nine months ended September 30, 2013. Our income tax expense for the three months ended September 30, 2014 totaled $9.0 million, or 21.6% of pretax income, compared to income tax expense of $11.4 million, or 22.2% of pretax income, for the three months ended September 30, 2013. Generally, our effective tax rates are lower than U.S. statutory rates because of lower foreign income tax rates. The decrease in the effective tax rate from the prior year was largely the result of a change in the earnings mix between different tax jurisdictions. In addition, the effective tax rate was reduced due to changes in our corporate structure, including the contribution by Oil States of our affiliate debt (as further described in Note 13 – Related Party Transactions).</w:t>
      </w:r>
    </w:p>
    <w:p>
      <w:pPr>
        <w:spacing w:after="0" w:line="18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4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accumulated other comprehensive loss increased $58.7 million from a $60.0 million accumulated loss at December 31, 2013 to a $118.7 million accumulated loss at September 30, 2014, as a result of foreign currency exchange rate differences. Changes in the other comprehensive loss during the first nine months of 2014 were primarily driven by the Australian dollar and Canadian dollar decreasing in value compared to the U.S. dollar. Excluding intercompany balances, our Canadian dollar and Australian dollar functional currency net assets totaled approximately C$1.0 billion and A$983 million, respectively, at September 30,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Prior to the Spin-Off, certain employees of Civeo participated in Oil States’ Equity Participation Plan (the Oil States Plan). The expense associated with these employees is reflected in the accompanying consolidated income statements. Effective May 30, 2014, our employees and non-employee directors began participating in the 2014 Equity Participation Plan of Civeo Corporation (the Civeo Plan). The Civeo Plan authorizes the Board of Directors to grant options, awards of restricted stock, performance awards, dividend equivalents, awards of deferred stock, and stock payments to our employees and non-employee directors. No more than 4.0 million shares of Civeo common stock may be awarded under the Civeo Plan.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connection with the Spin-Off, stock based compensation awards granted under the Oil States Plan and held by Civeo grantees as of May 30, 2014 were replaced with substitute Civeo awards. Stock options were replaced with options to purchase Civeo common stock. Unvested restricted stock awards were replaced with substitute Civeo restricted stock awards. Additionally, phantom shares granted under the Canadian Long-Term Incentive Plan were converted to units that entitle the recipient to a lump sum cash payment equal to the fair market value of a share of Civeo’s common stock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 total of 120,799 Oil States stock options were converted to 554,738 Civeo stock options at May 30, 2014.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stock options recognized in the three month periods ended September 30, 2014 and 2013 totaled $0.2 million and $0.2 million, respectively. Compensation expense associated with stock options recognized in the nine month periods ended September 30, 2014 and 2013 totaled $0.5 million and $1.0 million, respectively.</w:t>
      </w:r>
    </w:p>
    <w:p>
      <w:pPr>
        <w:spacing w:after="0" w:line="18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At September 30, 2014, unrecognized compensation cost related to stock options was $0.7 million, which is expected to be recognized over a weighted average period of 2.1 years.</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b w:val="1"/>
          <w:bCs w:val="1"/>
          <w:i w:val="1"/>
          <w:iCs w:val="1"/>
          <w:color w:val="auto"/>
        </w:rPr>
        <w:t xml:space="preserve">Restricted Stock Awards. </w:t>
      </w:r>
      <w:r>
        <w:rPr>
          <w:rFonts w:ascii="Arial" w:cs="Arial" w:eastAsia="Arial" w:hAnsi="Arial"/>
          <w:sz w:val="17"/>
          <w:szCs w:val="17"/>
          <w:color w:val="auto"/>
        </w:rPr>
        <w:t>A total of 94,936 unvested Oil States restricted stock awards were converted to 435,999 unvested Civeo restricted stock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May 30, 2014. Included in this total were 20,000 Oil States performance based restricted stock awards, which vested in an amount that depended on Oil States’ achievement of specified performance objectives. In conjunction with the Spin-Off transaction, the awards were cancelled and the holders were granted 91,848 unvested Civeo restricted stock awards, of which half vest in February 2015 and the other half vest in February 2016.</w:t>
      </w:r>
    </w:p>
    <w:p>
      <w:pPr>
        <w:spacing w:after="0" w:line="17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On May 30, 2014, we granted 149,256 restricted stock awards. 37,947 of the awards vest on the earlier of the Company’s 2015 shareholder meeting or May 30, 2015 and the remaining 111,309 vest in four equal annual installments beginning on May 30, 2015. On July 25, 2014, we granted 4,926 restricted stock awards, which vest on the earlier of the Company’s 2015 shareholder meeting or July 25, 2015.</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Compensation expense associated with restricted stock awards recognized in the three month periods ended September 30, 2014 and 2013 totaled $1.1 million and $0.3 million, respectively. Compensation expense associated with restricted stock awards recognized in the nine month periods ended September 30, 2014 and 2013 totaled $2.9 million and $1.0 million, respectively. The total fair value of restricted stock awards that vested during the three months ended September 30, 2014 and 2013 was de minimis. The total fair value of restricted stock awards that vested during the nine months ended September 30, 2014 and 2013 was $2.5 million and $0.9 million, respectively.</w:t>
      </w:r>
    </w:p>
    <w:p>
      <w:pPr>
        <w:spacing w:after="0" w:line="18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At September 30, 2014, unrecognized compensation cost related to restricted stock awards was $8.5 million, which is expected to be recognized over a weighted average period of 3.0 years.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A total of 123,183 awards granted under the Canadian Long-Term Incentive Plan were converted to 565,706 units that entitle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recipient to a lump sum cash payment equal to the fair market value of a share of Civeo’s common stock on the respective vesting date. These awards are accounted for as a liability that is remeasured at each reporting date until paid.</w:t>
      </w:r>
    </w:p>
    <w:p>
      <w:pPr>
        <w:spacing w:after="0" w:line="18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On May 30, 2014, we granted 4,337 phantom stock awards, all of which vest in three equal annual installments beginning on May 30, 2015. Because of the decline in our stock price from June 30, 2014 to September 30, 2014, and because we remeasure these awards at each reporting date, we recognized income of $0.3 million on the phantom shares for the three month period ended September 30, 2014 compared with compensation expense associated with phantom shares recognized in the three month periods ended September 30, 2013 totaling $1.1 million. Compensation expense associated with phantom shares recognized in the nine month periods ended September 30, 2014 and 2013 totaled $5.1 million and $2.9 million,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At September 30, 2014, unrecognized compensation cost related to phantom shares was $3.7 million, as remeasured at September 30, 2014, which is expected to be recognized over a weighted average period of 1.9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Canadian, Australian and U.S., which represent our strategic focus on work force accommodations.</w:t>
      </w:r>
    </w:p>
    <w:p>
      <w:pPr>
        <w:spacing w:after="0" w:line="14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and nine months ended September 30, 2014 and 2013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Intersegment</w:t>
            </w:r>
          </w:p>
        </w:tc>
        <w:tc>
          <w:tcPr>
            <w:tcW w:w="1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8"/>
              </w:rPr>
              <w:t>expenditures</w:t>
            </w:r>
          </w:p>
        </w:tc>
        <w:tc>
          <w:tcPr>
            <w:tcW w:w="8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Total assets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2014</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174,111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174,111</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24,210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43,277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55,563</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1,056,435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16,451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24,896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(9,742)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5,107</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(1,236)</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(9,742)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9,742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(6,564)</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35,536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243,265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243,265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45,758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45,997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66,630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2,188,119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tcPr>
          <w:p>
            <w:pPr>
              <w:spacing w:after="0" w:line="198"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September 30, 2013</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168,017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167,207</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35,689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59,738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59,738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15,730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17,591</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919,315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5,489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245,099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2,097,280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2014</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511,219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510,914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65,551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110,743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187,397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1,056,435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26,158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97,581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(49,145)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14,756</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(6,664)</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(49,450)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49,450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(15,154)</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(3,393)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35,536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723,197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723,197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127,770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115,083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208,297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2,188,119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tcPr>
          <w:p>
            <w:pPr>
              <w:spacing w:after="0" w:line="198"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September 30, 2013</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539,401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535,810</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126,473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191,510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49,435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54,684</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62,508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919,315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(18,771)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18,771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(6,141)</w:t>
            </w:r>
          </w:p>
        </w:tc>
        <w:tc>
          <w:tcPr>
            <w:tcW w:w="1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2,097,280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17</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related parties included Oil States until May 30, 2014, the effective date of the Spin-Off.</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May 27, 2014, in connection with the Spin-off, we entered into several agreements with Oil States that govern the Spin-Off and the relationship of the parties following the Spin-Off. Because the terms of these agreements were entered into in the context of a related party transaction, the terms may not be comparable to terms that would be obtained in a transaction between unaffiliated parties.</w:t>
      </w:r>
    </w:p>
    <w:p>
      <w:pPr>
        <w:spacing w:after="0" w:line="18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Separation and Distribution Agreement between us and Oil States contains the key provisions relating to the separation of our business from Oil States and the distribution of our common stock to Oil States stockholders. The Separation and Distribution Agreement identifies the assets that were transferred or sold, liabilities that were assumed or sold and contracts that were assigned to us by Oil States or by us to Oil States in the Spin-Off and describes how these transfers, sales, assumptions and assignments occurred. Pursuant to the Separation and Distribution Agreement, on May 28, 2014, we made a cash distribution to Oil States of $750 million.</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Indemnification and Release Agreement governs the treatment of all aspects relating to indemnification, insurance, litigation responsibility and management, and litigation document sharing and cooperation. Generally, the Indemnification and Release Agreement provides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See Note 9.</w:t>
      </w:r>
    </w:p>
    <w:p>
      <w:pPr>
        <w:spacing w:after="0" w:line="18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Tax Sharing Agreement governs the respective rights, responsibilities and obligations of Oil States and us with respect to taxes and tax benefits, the filing of tax returns, the control of audits, restrictions on us to preserve the tax-free status of the Spin-Off and other tax matters.</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Employee Matters Agreement provides that each company has responsibility for its own employees and compensation plans. The agreement also contains provisions regarding stock-based compensation. See Note 11.</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Transition Services Agreement sets forth the terms on which Oil States will provide to us, and we will provide to Oil States, on a temporary basis, certain services or functions that the companies historically have shared. Transition services provided to us by Oil States may include administrative, payroll, legal, human resources, data processing, financial audit support, financial transaction support, and other support services, information technology systems and various other corporate services. Transition services provided to Oil States by us may include information technology systems, financial audit support, tax support and other corporate services. The agreement provides for the provision of specified transition services, generally for a period of up to nine months from the date of the Spin-Off, with a possible extension of 1 month (an aggregate of 10 months) at a predetermined fee based on estimated cost to Oil States. We incurred costs under the Transition Services Agreement totaling $0.6 million and $0.8 million during the three and nine months ended September 30,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Prior to the Spin-Off, Oil States provided services to and funded certain expenditures of Civeo. The most significant of these services and expenditures were: (1) funding expenditures to settle domestic accounts payable; (2) funding and processing of domestic payroll; (3) share-based compensation; and (4) certain transaction-related expenditures. The consolidated financial statements of Civeo reflect these expenditures. During the three months ended September 30, 2014 and 2013, zero and $34.4 million, respectively, of expenditures for services received from Oil States or funding for expenditures provided by Oil States were included in the consolidated financial statements. During the nine months ended September 30, 2014 and 2013, $41.7 million and $98.1 million, respectively, of expenditures for services received from Oil States or funding for expenditures provided by Oil States were included in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Prior to the Spin-Off, the consolidated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three months ended September 30, 2014 and 2013, we were allocated zero and $1.6 million, respectively, in respect of these corporate expenses which are included within selling, general and administrative expenses in the consolidated statements of income. During the nine months ended September 30, 2014 and 2013, we were allocated $2.8 million and $4.3 million, respectively, in respect of these corporate expenses which are included within selling, general and administrative expenses in the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Net Investment</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consolidated balance sheets. The components of the change in Oil States net investment for the nine months ended September 30, 2014 and 2013 are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transfers and general financing activities</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(13,255)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Services received or funding for expenditures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98,078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allocations, including income tax provision (1)</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increase in Oil States net investment</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32,420</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105,971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440" w:hanging="432"/>
        <w:spacing w:after="0" w:line="25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allocations includes the general corporate expense allocations of $2.8 million and $4.3 million for the nine months ended September 30, 2014 and 2013,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accordance with the Separation and Distribution Agreement, our affiliate debt with Oil States, which totaled approximately $336.8 million as of May 30, 2014, including accrued interest, was settled through a non-cash capital contribution.</w:t>
      </w:r>
    </w:p>
    <w:p>
      <w:pPr>
        <w:spacing w:after="0" w:line="16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On August 29, 2014, we paid a quarterly cash dividend of $0.13 per share of common stock. The total cash payment was $13.9 million.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9" w:name="page20"/>
    <w:bookmarkEnd w:id="19"/>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Amendment No. 5 to our registration statement on Form 10 filed with the Securities and Exchange Commission on May 8, 2014.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stockholders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70"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to “Civeo”, “the Company,” “us,” “our” or “we” for the time period prior to the separation mean the Accommodations business of Oil States. For time periods after the separation, these terms refer to the legal entity Civeo Corporation and its consolidated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May 5, 2014, the Oil States International, Inc. (Oil States) board of directors approved the separation of its Accommodations segment (Accommodations) into a standalone, publicly traded company, Civeo Corporation.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U.S. Securities and Exchange Commission (SEC) and was declared effective on May 8, 2014 (the Form 10).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ind w:right="140" w:firstLine="324"/>
        <w:spacing w:after="0" w:line="264" w:lineRule="auto"/>
        <w:rPr>
          <w:sz w:val="20"/>
          <w:szCs w:val="20"/>
          <w:color w:val="auto"/>
        </w:rPr>
      </w:pPr>
      <w:r>
        <w:rPr>
          <w:rFonts w:ascii="Arial" w:cs="Arial" w:eastAsia="Arial" w:hAnsi="Arial"/>
          <w:sz w:val="18"/>
          <w:szCs w:val="18"/>
          <w:color w:val="auto"/>
        </w:rPr>
        <w:t>In connection with the Spin-Off, on May 28, 2014, we entered into a $650.0 million, 5-year revolving credit facility and a 5-year U.S. term loan facility totaling $775.0 million. For further discussion, please see “Liquidity and Capital Resources” below and Note 7 – Debt to the accompanying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September 29, 2014, we announced our plan to redomicile the Company to Canada.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a company’s total (i) revenues, (ii) assets, (iii) employees and (iv) employee compensation. With approximately 50% or more of our operations in Canada based on these metrics, we believe we will qualify for a self-directed redomiciling. We expect to complete the migration in the second or third quarter of 2015. There is no assurance that we will be able to complete the migration in a timely manner or at all, and if completed, we may not achieve the expected benefits.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Prior to the Spin-Off, our financial position, results of operations and cash flows consisted of the Oil States’ Accommodations business, which represented a combined reporting entity. The combined financial statements included in this quarterly report on Form 10-Q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right="20" w:hanging="324"/>
        <w:spacing w:after="0" w:line="297"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consolidated statements of income and comprehensive income for the three months ended September 30, 2014 consist entirely of the consolidated results of Civeo. Our consolidated statements of income and comprehensive income for the nine months ended September 30, 2014 consist of (i) the combined results of the Oil States’ Accommodations business for the five months ended May 30, 2014 and (ii) the consolidated results of Civeo for the four months ended September 30, 2014. Our consolidated statements of income and comprehensive income for the three and nine months ended September 30, 2013 consist entirely of the combined results of the Oil States’ Accommodations business.</w:t>
      </w:r>
    </w:p>
    <w:p>
      <w:pPr>
        <w:spacing w:after="0" w:line="158" w:lineRule="exact"/>
        <w:rPr>
          <w:rFonts w:ascii="Arial" w:cs="Arial" w:eastAsia="Arial" w:hAnsi="Arial"/>
          <w:sz w:val="16"/>
          <w:szCs w:val="16"/>
          <w:color w:val="auto"/>
        </w:rPr>
      </w:pPr>
    </w:p>
    <w:p>
      <w:pPr>
        <w:ind w:left="980" w:right="2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consolidated balance sheet at September 30, 2014 consists of the consolidated balances of Civeo, while at December 31, 2013, it consists entirely of the combined balances of the Oil States’ Accommodations business.</w:t>
      </w:r>
    </w:p>
    <w:p>
      <w:pPr>
        <w:spacing w:after="0" w:line="170"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consolidated statements of cash flows and changes in stockholders’ equity / net investment for the nine months ended September 30, 2014 consist of (i) the combined results of the Oil States’ Accommodations business for the five months ended May 30, 2014 and (ii) the consolidated results of Civeo for the four months ended September 30, 2014. Our consolidated statements of cash flows and changes in stockholders’ equity / net investment for the nine months ended September 30, 2013 consist entirely of the combined results of the Oil States’ Accommodations business.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assets and liabilities in our consolidated financial statements have been reflected on a historical basis, as immediately prior to the Spin-Off all of the assets and liabilities presented where wholly owned by Oil States and were transferred within the Oil States consolidated group. All significant intercompany transactions and accounts have been eliminated. All affiliate transactions between Civeo and Oil States have been included in the consolidated financial statements included in this quarterly report on Form 10-Q.</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Civeo is performing these functions using its own resources or purchased services. For an interim period, however, some of these functions will continue to be provided by Oil States under a Transition Services Agreement, which extends for a period of up to nine months, depending on the service being provided. See Note 13 – Related Party Transactions to the accompanying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provide workforce accommodations to the natural resource industry in Canada, Australia and the United States.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metallurgical (met) coal and, to a lesser extent, natural gas.</w:t>
      </w:r>
    </w:p>
    <w:p>
      <w:pPr>
        <w:spacing w:after="0" w:line="16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Canada, Western Canadian Select (WCS) crude is the benchmark price for our oil sands accommodations’ customers. Pricing for WCS is driven by several factors. A significant factor affecting WCS pricing is the underlying price for West Texas Intermediate (WTI). As WTI prices recovered from the global financial crisis from 2009 through 2013, WCS prices also increased. Another significant factor affecting WCS pricing has been the availability of transportation infrastructure. Historically, WCS has traded at a discount to WTI, creating a “WCS Basis Differential,” due to transportation costs and limited capacity to move growing Canadian heavy oil production to refineries, primarily in the U.S. Gulf Coast. Depending on the extent of pipeline capacity availability, the WCS Basis Differential has varied. With the increase in global oil prices and increased transportation capacity from the oil sands region due to rail and barge alternatives, the absolute price of WCS increased and the WCS Basis Differential has slightly decreased.</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right="120" w:firstLine="324"/>
        <w:spacing w:after="0" w:line="272" w:lineRule="auto"/>
        <w:rPr>
          <w:sz w:val="20"/>
          <w:szCs w:val="20"/>
          <w:color w:val="auto"/>
        </w:rPr>
      </w:pPr>
      <w:r>
        <w:rPr>
          <w:rFonts w:ascii="Arial" w:cs="Arial" w:eastAsia="Arial" w:hAnsi="Arial"/>
          <w:sz w:val="17"/>
          <w:szCs w:val="17"/>
          <w:color w:val="auto"/>
        </w:rPr>
        <w:t>Recently, particularly in September 2014 and continuing into the fourth quarter 2014, global oil prices have significantly declined, primarily due to concerns over the economic growth rate in China, the overall economic health of Europe and price cutting by major oil producing countries, such as Saudi Arabia. Increasing global supply has also negatively impacted pricing, including increased U.S. shale oil. With falling Brent Crude and WTI oil prices, WCS has also fallen. WCS prices in the third quarter of 2014 averaged $78.69 per barrel compared to $83.78 per barrel in the second quarter of 2014. However, the WCS Basis Differential narrowed from $21.00 per barrel at the end of the second quarter of 2014 to $14.25 per barrel by the end of the third quarter of 2014, due to increased demand from U.S. refineries, a continued increase in crude by rail volumes and a number of pipeline capacity improvements and expansion projects. As of November 4, 2014, the WCS price was $61.13 and the WCS Basis Differential was $16.06.</w:t>
      </w:r>
    </w:p>
    <w:p>
      <w:pPr>
        <w:spacing w:after="0" w:line="17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Given the historical volatility of WTI crude prices and the WCS Basis Differential, there remains a risk that prices in the oil sands could continue to deteriorate going forward. Additionally, if the discount between WCS crude prices and WTI crude prices widens, our oil sands customers may have an incentive to delay additional investments in their oil sands assets. Alternatively, if the global supply of oil and global inventory levels were to decrease due to government instability in a major oil-producing nation and energy demand continues to increase in countries such as China, India and the U.S., we could see increases in WTI crude prices which, coupled with an improvement in takeaway capacity from the oil sands, could improve WCS pricing. This, in turn, could lead to our oil sands customers increasing their investments in oil sands production.</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Australian villages in the Bowen Basin primarily serve coal mines in that region. Met coal pricing and growth in production in the Bowen Basin region is influenced by levels of global steel production. Growth in worldwide steel demand has decreased from 3.8% in 2013 to 2.0% in 2014. Furthermore, because Chinese steel production has been growing at a slower pace than that experienced in 2011 and early 2012, Chinese demand for imported steel inputs such as met coal and iron ore continued to decrease during the third quarter of 2014 compared to the third quarter of 2013. Because of this, coupled with the fact that Australian met coal output has increased 12% during 2014 compared to 2013, met coal prices have decreased materially from over $160/metric ton at the beginning of 2013 to approximately $120/metric ton at the end of the third quarter of 2014.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However, steel consumption per capita in China is less than one-third of the amount installed in the U.S. economy, suggesting a favorable outlook for Chinese steel production and met coal demand over a longer time horizon.</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80" w:firstLine="324"/>
        <w:spacing w:after="0" w:line="255" w:lineRule="auto"/>
        <w:rPr>
          <w:sz w:val="20"/>
          <w:szCs w:val="20"/>
          <w:color w:val="auto"/>
        </w:rPr>
      </w:pPr>
      <w:r>
        <w:rPr>
          <w:rFonts w:ascii="Arial" w:cs="Arial" w:eastAsia="Arial" w:hAnsi="Arial"/>
          <w:sz w:val="18"/>
          <w:szCs w:val="18"/>
          <w:color w:val="auto"/>
        </w:rPr>
        <w:t>Natural gas and WTI crude oil prices, discussed above, have an impact on the demand for our U.S. accommodations. Prices for natural gas in the U.S. averaged $3.95 per mcf in the third quarter of 2014, an 11% increase over the third quarter 2013 average price. U.S. natural gas production has outpaced demand recently, which has caused prices to continue to be weak relative to prices experienced in 2006 through 2008 and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rPr>
              <w:t>Hard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rPr>
              <w:t>WTI</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WCS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Coking Coal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Henry Hub</w:t>
            </w:r>
          </w:p>
        </w:tc>
        <w:tc>
          <w:tcPr>
            <w:tcW w:w="80" w:type="dxa"/>
            <w:vAlign w:val="bottom"/>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Crude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Crude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(Met Coal)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Natural Gas</w:t>
            </w:r>
          </w:p>
        </w:tc>
        <w:tc>
          <w:tcPr>
            <w:tcW w:w="80" w:type="dxa"/>
            <w:vAlign w:val="bottom"/>
          </w:tcPr>
          <w:p>
            <w:pPr>
              <w:spacing w:after="0"/>
              <w:rPr>
                <w:sz w:val="18"/>
                <w:szCs w:val="18"/>
                <w:color w:val="auto"/>
              </w:rPr>
            </w:pPr>
          </w:p>
        </w:tc>
      </w:tr>
      <w:tr>
        <w:trPr>
          <w:trHeight w:val="234"/>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(per bbl)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(per bbl)</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(per ton)</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(per mcf)</w:t>
            </w:r>
          </w:p>
        </w:tc>
        <w:tc>
          <w:tcPr>
            <w:tcW w:w="80" w:type="dxa"/>
            <w:vAlign w:val="bottom"/>
          </w:tcPr>
          <w:p>
            <w:pPr>
              <w:spacing w:after="0"/>
              <w:rPr>
                <w:sz w:val="20"/>
                <w:szCs w:val="20"/>
                <w:color w:val="auto"/>
              </w:rPr>
            </w:pPr>
          </w:p>
        </w:tc>
      </w:tr>
      <w:tr>
        <w:trPr>
          <w:trHeight w:val="210"/>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0"/>
              </w:rPr>
              <w:t>12/31/2013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0"/>
              </w:rPr>
              <w:t>12/31/2012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r>
      <w:tr>
        <w:trPr>
          <w:trHeight w:val="218"/>
        </w:trPr>
        <w:tc>
          <w:tcPr>
            <w:tcW w:w="3300" w:type="dxa"/>
            <w:vAlign w:val="bottom"/>
          </w:tcPr>
          <w:p>
            <w:pPr>
              <w:jc w:val="center"/>
              <w:spacing w:after="0"/>
              <w:rPr>
                <w:sz w:val="20"/>
                <w:szCs w:val="20"/>
                <w:color w:val="auto"/>
              </w:rPr>
            </w:pPr>
            <w:r>
              <w:rPr>
                <w:rFonts w:ascii="Arial" w:cs="Arial" w:eastAsia="Arial" w:hAnsi="Arial"/>
                <w:sz w:val="18"/>
                <w:szCs w:val="18"/>
                <w:color w:val="auto"/>
                <w:w w:val="88"/>
              </w:rPr>
              <w:t>12/31/2011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7" w:lineRule="exact"/>
        <w:rPr>
          <w:sz w:val="20"/>
          <w:szCs w:val="20"/>
          <w:color w:val="auto"/>
        </w:rPr>
      </w:pPr>
    </w:p>
    <w:p>
      <w:pPr>
        <w:ind w:left="260" w:hanging="9"/>
        <w:spacing w:after="0" w:line="261" w:lineRule="auto"/>
        <w:tabs>
          <w:tab w:leader="none" w:pos="7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Seaborne hard coking coal contract price from Bloomberg.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As noted above, demand for our services is primarily tied to the long-term outlook for crude oil and met coal prices. Other factors that can affect our business and financial results include the general global economic environment and regulatory changes in the U.S., Canada and Australia and in other markets.</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months to several years.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jc w:val="both"/>
        <w:ind w:right="360" w:firstLine="324"/>
        <w:spacing w:after="0" w:line="31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Oil sands development and production activity has increased over the past several years and has had a positive impact on our Canadian business.</w:t>
      </w:r>
    </w:p>
    <w:p>
      <w:pPr>
        <w:spacing w:after="0" w:line="14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Announcements of certain new and expanded oil sands projects can create the opportunity to extend existing accommodations contracts and incremental contracts for us in Canada. For example, we were awarded a three-year contract in January 2014 to provide accommodations in support of a new oil sand mining project. We will serve this client at our new McClelland Lake Lodge, which began operations in the second quarter of 2014 and will have 1,997 rooms by year end.</w:t>
      </w:r>
    </w:p>
    <w:p>
      <w:pPr>
        <w:spacing w:after="0" w:line="187" w:lineRule="exact"/>
        <w:rPr>
          <w:sz w:val="20"/>
          <w:szCs w:val="20"/>
          <w:color w:val="auto"/>
        </w:rPr>
      </w:pPr>
    </w:p>
    <w:p>
      <w:pPr>
        <w:ind w:firstLine="366"/>
        <w:spacing w:after="0" w:line="271" w:lineRule="auto"/>
        <w:rPr>
          <w:sz w:val="20"/>
          <w:szCs w:val="20"/>
          <w:color w:val="auto"/>
        </w:rPr>
      </w:pPr>
      <w:r>
        <w:rPr>
          <w:rFonts w:ascii="Arial" w:cs="Arial" w:eastAsia="Arial" w:hAnsi="Arial"/>
          <w:sz w:val="17"/>
          <w:szCs w:val="17"/>
          <w:color w:val="auto"/>
        </w:rPr>
        <w:t>With lingering concerns about take-away capacity out of the oil sands region, lower oil prices and continued high costs including labor costs, the current outlook for oil sands activity has deteriorated for the fourth quarter of 2014 and the full year 2015. Project delays and cancellations continued with recent cancellations by Total, StatOil, Husky and the Korean National Oil Company. Although we are currently the primary third-party accommodations provider for the two major construction projects in the oil sands region, Suncor’s Fort Hills project and Imperial Oil’s Kearl Project, outlook for additional major oil sands construction projects is limited. Oil sands operators are looking to reduce their costs and focus their spending on sustaining capital projects, limiting the demand for accommodations like we provide. As a result, we are expecting materially lower revenues and earnings from our Canadian operations in the fourth quarter of 2014 and the full year 2015. Additionally, if oil prices remain at current levels, or continue to decline, throughout the fourth quarter 2014, the resulting impact could negatively affect the value of our long-lived assets, including goodwill.</w:t>
      </w:r>
    </w:p>
    <w:p>
      <w:pPr>
        <w:spacing w:after="0" w:line="23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production from higher cost mines and delay or materially reduce their growth plans. This has negatively affected our ability to expand our room count and has led to a decrease in occupancy levels. It has also caused one of our customers to reduce their forward room commitments in return for contract amendment payments beginning in March 2014, which is being recognized as additional revenue on a straight-line basis over the remaining life of the customer contracts. Despite the recent repeal of carbon and mining taxes, continued concerns about China’s economy, which significantly influences the global demand for steel, and therefore, met coal, the outlook for met coal demand continues to be negative. As a result, we expect our Australian business to experience low occupancy levels for the fourth quarter of 2014 continuing into 2015.</w:t>
      </w:r>
    </w:p>
    <w:p>
      <w:pPr>
        <w:spacing w:after="0" w:line="16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Exchange rates between the U.S. dollar and the Canadian dollar and between the U.S. dollar and the Australian dollar influence our U.S. reported financial results. Our business has historically derived the vast majority of its revenues and operating income in Canada and Australia. These revenues and profits are translated into U.S. dollars for U.S. GAAP financial reporting purposes. The Canadian dollar was valued at an average exchange rate of U.S. $0.91 for the first nine months of 2014 compared to U.S. $0.98 for the first nine months of 2013, a decrease of approximately 7%. The Australian dollar was valued at an average exchange rate of U.S. $0.92 for the first nine months of 2014 compared to U.S. $0.98 for the first nine months of 2013, a decrease of approximately 6%. This weakening of the Canadian and Australian dollars has and may continue to have a proportionately negative impact on the translation of earnings generated from our Canadian and Australian subsidiaries and, therefore, our financial results.</w:t>
      </w:r>
    </w:p>
    <w:p>
      <w:pPr>
        <w:spacing w:after="0" w:line="17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of our customers in order to plan our business. We currently expect that our 2014 capital expenditures will total approximately $280 million to $300 million, compared to 2013 capital expenditures of $292 million. Please see “Liquidity and Capital Resources” below for further discussion of 2014 capital expenditures.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nine-month period ended September 30, 2014, is based on a comparison with the corresponding period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September 30, 2014 Compared to Three Months Ended September 30, 2013</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6"/>
              </w:rPr>
              <w:t>in thousands)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Canada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174,111</w:t>
            </w:r>
          </w:p>
        </w:tc>
        <w:tc>
          <w:tcPr>
            <w:tcW w:w="200" w:type="dxa"/>
            <w:vAlign w:val="bottom"/>
          </w:tcPr>
          <w:p>
            <w:pPr>
              <w:spacing w:after="0"/>
              <w:rPr>
                <w:sz w:val="18"/>
                <w:szCs w:val="18"/>
                <w:color w:val="auto"/>
              </w:rPr>
            </w:pPr>
          </w:p>
        </w:tc>
        <w:tc>
          <w:tcPr>
            <w:tcW w:w="320" w:type="dxa"/>
            <w:vAlign w:val="bottom"/>
          </w:tcPr>
          <w:p>
            <w:pPr>
              <w:jc w:val="right"/>
              <w:ind w:right="15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167,207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6,904</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59,738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(5,738)</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15,154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18,154</w:t>
            </w: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(3,000)</w:t>
            </w:r>
          </w:p>
        </w:tc>
      </w:tr>
      <w:tr>
        <w:trPr>
          <w:trHeight w:val="210"/>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243,265</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245,099</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3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96,410</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22,039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458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13,677</w:t>
            </w: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0"/>
        </w:trPr>
        <w:tc>
          <w:tcPr>
            <w:tcW w:w="4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cost of sales and services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137,101</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132,126</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17,212</w:t>
            </w: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(3,996)</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Spin-off and formation costs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45,758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42,011</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 (income)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r>
      <w:tr>
        <w:trPr>
          <w:trHeight w:val="20"/>
        </w:trPr>
        <w:tc>
          <w:tcPr>
            <w:tcW w:w="45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197,268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191,715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5,553</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45,997</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(4,287)</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3,236</w:t>
            </w: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(3,172)</w:t>
            </w:r>
          </w:p>
        </w:tc>
      </w:tr>
      <w:tr>
        <w:trPr>
          <w:trHeight w:val="210"/>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41,774</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51,412</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(9,011)</w:t>
            </w: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(11,418)</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2,407</w:t>
            </w:r>
          </w:p>
        </w:tc>
      </w:tr>
      <w:tr>
        <w:trPr>
          <w:trHeight w:val="210"/>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32,763</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39,994</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Civeo</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We reported net income attributable to Civeo for the quarter ended September 30, 2014 of $32.4 million, or $0.30 per diluted share. These results compare to net income attributable to Civeo for the quarter ended September 30, 2013 of $39.6 million, or $0.37 per diluted share.</w:t>
      </w:r>
    </w:p>
    <w:p>
      <w:pPr>
        <w:spacing w:after="0" w:line="143"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$1.8 million, or less than one percent, in the third quarter of 2014 compared to the third quarter of 2013.</w:t>
      </w:r>
      <w:r>
        <w:rPr>
          <w:rFonts w:ascii="Arial" w:cs="Arial" w:eastAsia="Arial" w:hAnsi="Arial"/>
          <w:sz w:val="16"/>
          <w:szCs w:val="16"/>
          <w:b w:val="1"/>
          <w:bCs w:val="1"/>
          <w:color w:val="auto"/>
        </w:rPr>
        <w:t xml:space="preserve"> </w:t>
      </w:r>
      <w:r>
        <w:rPr>
          <w:rFonts w:ascii="Arial" w:cs="Arial" w:eastAsia="Arial" w:hAnsi="Arial"/>
          <w:sz w:val="16"/>
          <w:szCs w:val="16"/>
          <w:color w:val="auto"/>
        </w:rPr>
        <w:t>This decline was largely driven by decreases in Australia, due to lower revenue per available room (“RevPAR”) and occupancy, offset by increases in Canada, due to an increase in average available rooms and higher mobile, open camp and product revenue, as further described in the segment discussion below.</w:t>
      </w:r>
    </w:p>
    <w:p>
      <w:pPr>
        <w:spacing w:after="0" w:line="142" w:lineRule="exact"/>
        <w:rPr>
          <w:sz w:val="20"/>
          <w:szCs w:val="20"/>
          <w:color w:val="auto"/>
        </w:rPr>
      </w:pPr>
    </w:p>
    <w:p>
      <w:pPr>
        <w:jc w:val="both"/>
        <w:ind w:right="28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increased $5.0 million, or 4%, in the third quarter of 2014 compared to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2013 primarily due to increases in average available rooms and product costs in Canada, offset by decreases in the United States, due to lower fabrication sales. Please see further description in segment discussion below.</w:t>
      </w:r>
    </w:p>
    <w:p>
      <w:pPr>
        <w:spacing w:after="0" w:line="176" w:lineRule="exact"/>
        <w:rPr>
          <w:sz w:val="20"/>
          <w:szCs w:val="20"/>
          <w:color w:val="auto"/>
        </w:rPr>
      </w:pPr>
    </w:p>
    <w:p>
      <w:pPr>
        <w:ind w:firstLine="324"/>
        <w:spacing w:after="0" w:line="292"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(SG&amp;A) expense decreased $4.0 million, or 23%, in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2014 compared to the third quarter of 2013 primarily due to a $2.0 million refund of surplus medical premiums from our Canadian medical benefits provider based on lower experience ratings, a recovery of previously reserved receivables of approximately $1.4 million, reduced bonus accruals for 2014 compared to 2013 and lower compensation expense associated with phantom share awards. Because of the decline in our stock price from June 30, 2014 to September 30, 2014, and because we remeasure these awards at each reporting date, we recognized income of $0.3 million on the phantom shares in the three month period ended September 30, 2014 compared to expense of $1.1 million in the three month period ended September 30, 2013. These items were offset by an increase of approximately $2.8 million related to costs associated with being a publicly traded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6" w:name="page27"/>
    <w:bookmarkEnd w:id="26"/>
    <w:p>
      <w:pPr>
        <w:ind w:right="72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$1.0 million relate to transition costs incurred during the third quarter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becoming a stand-alone company.</w:t>
      </w:r>
    </w:p>
    <w:p>
      <w:pPr>
        <w:spacing w:after="0" w:line="162" w:lineRule="exact"/>
        <w:rPr>
          <w:sz w:val="20"/>
          <w:szCs w:val="20"/>
          <w:color w:val="auto"/>
        </w:rPr>
      </w:pPr>
    </w:p>
    <w:p>
      <w:pPr>
        <w:jc w:val="both"/>
        <w:ind w:right="80" w:firstLine="324"/>
        <w:spacing w:after="0" w:line="347"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increased $3.7 million, or 9%, in the third quarter of 2014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third quarter of 2013 primarily due to capital expenditures made during the last twelve months largely related to investments in our Canadian segment.</w:t>
      </w:r>
    </w:p>
    <w:p>
      <w:pPr>
        <w:spacing w:after="0" w:line="116"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decreased $7.4 million, or 14%, in the third quarter of 2014 compared to the third quarter of 2013</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contracted rates in Canada, lower occupancy levels in Australia and lower utilization in the U.S., partially offset by the increase in average available rooms in Canada.</w:t>
      </w:r>
    </w:p>
    <w:p>
      <w:pPr>
        <w:spacing w:after="0" w:line="17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including interest expense and income to/from affiliates, decreased by $0.9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18%, in the third quarter of 2014 compared to the third quarter of 2013 primarily due to increased interest income as a result of higher cash balances during the third quarter of 2014 compared to 2013. Interest expense associated with the new credit facility in 2014 was offset by interest expense associated with the affiliate debt in 2013.</w:t>
      </w:r>
    </w:p>
    <w:p>
      <w:pPr>
        <w:spacing w:after="0" w:line="180"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b w:val="1"/>
          <w:bCs w:val="1"/>
          <w:color w:val="auto"/>
        </w:rPr>
        <w:t xml:space="preserve">Income Tax Provision. </w:t>
      </w:r>
      <w:r>
        <w:rPr>
          <w:rFonts w:ascii="Arial" w:cs="Arial" w:eastAsia="Arial" w:hAnsi="Arial"/>
          <w:sz w:val="16"/>
          <w:szCs w:val="16"/>
          <w:color w:val="auto"/>
        </w:rPr>
        <w:t>Our income tax expense for the three months ended September 30, 2014 totaled $9.0 million, or 21.6% of pretax income,</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income tax expense of $11.4 million, or 22.2% of pretax income, for the three months ended September 30, 2013. Generally, our effective tax rates are lower than U.S. statutory rates because of lower foreign income tax rates. The decrease in the effective tax rate from the prior year was largely the result of a change in the earnings mix between different tax jurisdictions. In addition, the effective tax rate was reduced due to changes in our corporate structure, including the contribution by Oil States of our affiliate debt (as further described in Note 13 – Related Party Transactions).</w:t>
      </w:r>
    </w:p>
    <w:p>
      <w:pPr>
        <w:spacing w:after="0" w:line="154"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$140.1 million in the third quarter of 2014 compared to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2013 primarily as a result of foreign currency translation adjustments due to changes in the Canadian and Australian dollar exchange rates compared to the U.S. dollar. The Canadian dollar exchange rate compared to the U.S. dollar decreased 5% in the third quarter of 2014 compared to a 2% increase in the third quarter of 2013. The Australian dollar exchange rate compared to the U.S. dollar decreased 7% in the third quarter of 2014 compared to a 2% increase in the third quarter of 2013.</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7" w:name="page28"/>
    <w:bookmarkEnd w:id="27"/>
    <w:tbl>
      <w:tblPr>
        <w:tblLayout w:type="fixed"/>
        <w:tblInd w:w="340" w:type="dxa"/>
        <w:tblCellMar>
          <w:top w:w="0" w:type="dxa"/>
          <w:left w:w="0" w:type="dxa"/>
          <w:bottom w:w="0" w:type="dxa"/>
          <w:right w:w="0" w:type="dxa"/>
        </w:tblCellMar>
      </w:tblPr>
      <w:tr>
        <w:trPr>
          <w:trHeight w:val="230"/>
        </w:trPr>
        <w:tc>
          <w:tcPr>
            <w:tcW w:w="4580" w:type="dxa"/>
            <w:vAlign w:val="bottom"/>
            <w:gridSpan w:val="2"/>
          </w:tcPr>
          <w:p>
            <w:pPr>
              <w:jc w:val="right"/>
              <w:ind w:right="610"/>
              <w:spacing w:after="0"/>
              <w:rPr>
                <w:sz w:val="20"/>
                <w:szCs w:val="20"/>
                <w:color w:val="auto"/>
              </w:rPr>
            </w:pPr>
            <w:r>
              <w:rPr>
                <w:rFonts w:ascii="Arial" w:cs="Arial" w:eastAsia="Arial" w:hAnsi="Arial"/>
                <w:sz w:val="18"/>
                <w:szCs w:val="18"/>
                <w:b w:val="1"/>
                <w:bCs w:val="1"/>
                <w:i w:val="1"/>
                <w:iCs w:val="1"/>
                <w:color w:val="auto"/>
                <w:w w:val="85"/>
              </w:rPr>
              <w:t>Segment Results of Operations – Canadian Segment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gridSpan w:val="8"/>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134,600</w:t>
            </w:r>
          </w:p>
        </w:tc>
        <w:tc>
          <w:tcPr>
            <w:tcW w:w="1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139,357</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7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39,511</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174,111</w:t>
            </w:r>
          </w:p>
        </w:tc>
        <w:tc>
          <w:tcPr>
            <w:tcW w:w="1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167,207</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102,720</w:t>
            </w:r>
          </w:p>
        </w:tc>
        <w:tc>
          <w:tcPr>
            <w:tcW w:w="1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96,410</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RevPAR for Lodges (3)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Occupancy in Lodges (4)</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0.918</w:t>
            </w:r>
          </w:p>
        </w:tc>
        <w:tc>
          <w:tcPr>
            <w:tcW w:w="18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0.963</w:t>
            </w:r>
          </w:p>
        </w:tc>
        <w:tc>
          <w:tcPr>
            <w:tcW w:w="18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(0.045)</w:t>
            </w:r>
          </w:p>
        </w:tc>
        <w:tc>
          <w:tcPr>
            <w:tcW w:w="0" w:type="dxa"/>
            <w:vAlign w:val="bottom"/>
          </w:tcPr>
          <w:p>
            <w:pPr>
              <w:spacing w:after="0"/>
              <w:rPr>
                <w:sz w:val="1"/>
                <w:szCs w:val="1"/>
                <w:color w:val="auto"/>
              </w:rPr>
            </w:pPr>
          </w:p>
        </w:tc>
      </w:tr>
      <w:tr>
        <w:trPr>
          <w:trHeight w:val="472"/>
        </w:trPr>
        <w:tc>
          <w:tcPr>
            <w:tcW w:w="4580" w:type="dxa"/>
            <w:vAlign w:val="bottom"/>
            <w:gridSpan w:val="2"/>
          </w:tcPr>
          <w:p>
            <w:pPr>
              <w:jc w:val="right"/>
              <w:ind w:right="2550"/>
              <w:spacing w:after="0"/>
              <w:rPr>
                <w:sz w:val="20"/>
                <w:szCs w:val="20"/>
                <w:color w:val="auto"/>
              </w:rPr>
            </w:pPr>
            <w:r>
              <w:rPr>
                <w:rFonts w:ascii="Arial" w:cs="Arial" w:eastAsia="Arial" w:hAnsi="Arial"/>
                <w:sz w:val="18"/>
                <w:szCs w:val="18"/>
                <w:color w:val="auto"/>
              </w:rPr>
              <w:t>__________________</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33"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4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Canadian segment reported revenues in the third quarter of 2014 that were $6.9 million, or 4%, higher than the third quarter of 2013. The weakening of the Canadian dollar relative to the U.S. dollar by 5% in the third quarter of 2014 compared to the third quarter of 2013 resulted in an $8.5 million year-over-year reduction in revenues. Excluding the impact of the weaker Canadian exchange rates, the segment experienced a 1% increase in lodge revenues primarily due to an 11% increase year-over-year in average available rooms, partially offset by an 8% year-over-year decrease in RevPAR largely related to lower room rates and the shutdown of Lakeside Lodge during the second quarter of 2014. Mobile, open camp and product revenue was favorably impacted by increased activity at Pebble Beach and Marianna and a pipeline related contract camp. Finally, the completion of a wastewater treatment plant resulted in the recognition of approximately $4.0 million in product revenue in 2014. Similar product revenue was not recognized in 2013. Overall, Canadian product sales were $7.8 million in the third quarter of 2014 compared to $2.0 million in the third quarter of 2013.</w:t>
      </w:r>
    </w:p>
    <w:p>
      <w:pPr>
        <w:spacing w:after="0" w:line="1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Canadian segment cost of sales and services increased $6.3 million, or 7%, in the third quarter of 2014 compared to the third quarter of 2013. This increase was driven by the increase in revenue discussed above, including approximately $4.2 million in costs associated with the completion of a wastewater treatment plant. This was partially offset by the weakening of the Canadian dollar relative to the U.S. dollar by 5%, which resulted in a $5.0 million year-over-year reduction in cost of sales.</w:t>
      </w:r>
    </w:p>
    <w:p>
      <w:pPr>
        <w:spacing w:after="0" w:line="187"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Canadian segment gross margin as a percentage of revenues decreased from 42% in the third quarter of 2013 to 41% in the third quarter of 2014 primarily due to lower contracted room rates. Canadian product sales generated a $0.5 million loss in the third quarter of 2014, including a $0.2 million loss on the wastewater treatment plant noted above, compared to a $0.1 million profit in the third quarter of 2013.</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tbl>
      <w:tblPr>
        <w:tblLayout w:type="fixed"/>
        <w:tblInd w:w="340" w:type="dxa"/>
        <w:tblCellMar>
          <w:top w:w="0" w:type="dxa"/>
          <w:left w:w="0" w:type="dxa"/>
          <w:bottom w:w="0" w:type="dxa"/>
          <w:right w:w="0" w:type="dxa"/>
        </w:tblCellMar>
      </w:tblPr>
      <w:tr>
        <w:trPr>
          <w:trHeight w:val="230"/>
        </w:trPr>
        <w:tc>
          <w:tcPr>
            <w:tcW w:w="4620" w:type="dxa"/>
            <w:vAlign w:val="bottom"/>
            <w:gridSpan w:val="2"/>
          </w:tcPr>
          <w:p>
            <w:pPr>
              <w:jc w:val="right"/>
              <w:ind w:right="590"/>
              <w:spacing w:after="0"/>
              <w:rPr>
                <w:sz w:val="20"/>
                <w:szCs w:val="20"/>
                <w:color w:val="auto"/>
              </w:rPr>
            </w:pPr>
            <w:r>
              <w:rPr>
                <w:rFonts w:ascii="Arial" w:cs="Arial" w:eastAsia="Arial" w:hAnsi="Arial"/>
                <w:sz w:val="18"/>
                <w:szCs w:val="18"/>
                <w:b w:val="1"/>
                <w:bCs w:val="1"/>
                <w:i w:val="1"/>
                <w:iCs w:val="1"/>
                <w:color w:val="auto"/>
                <w:w w:val="85"/>
              </w:rPr>
              <w:t>Segment Results of Operations – Australian Segment</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2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54,000</w:t>
            </w:r>
          </w:p>
        </w:tc>
        <w:tc>
          <w:tcPr>
            <w:tcW w:w="1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59,738</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Cost of sales ($ in thousands)</w:t>
            </w:r>
          </w:p>
        </w:tc>
        <w:tc>
          <w:tcPr>
            <w:tcW w:w="15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22,704</w:t>
            </w:r>
          </w:p>
        </w:tc>
        <w:tc>
          <w:tcPr>
            <w:tcW w:w="1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22,039</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Average Available Village Rooms (2)</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9,269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RevPAR for Villages (3)</w:t>
            </w:r>
          </w:p>
        </w:tc>
        <w:tc>
          <w:tcPr>
            <w:tcW w:w="15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Occupancy in Villages (4)</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Australian dollar to US dollar</w:t>
            </w:r>
          </w:p>
        </w:tc>
        <w:tc>
          <w:tcPr>
            <w:tcW w:w="15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0.924</w:t>
            </w:r>
          </w:p>
        </w:tc>
        <w:tc>
          <w:tcPr>
            <w:tcW w:w="18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0.917</w:t>
            </w:r>
          </w:p>
        </w:tc>
        <w:tc>
          <w:tcPr>
            <w:tcW w:w="18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20" w:type="dxa"/>
            <w:vAlign w:val="bottom"/>
            <w:gridSpan w:val="2"/>
          </w:tcPr>
          <w:p>
            <w:pPr>
              <w:jc w:val="right"/>
              <w:ind w:right="2590"/>
              <w:spacing w:after="0"/>
              <w:rPr>
                <w:sz w:val="20"/>
                <w:szCs w:val="20"/>
                <w:color w:val="auto"/>
              </w:rPr>
            </w:pPr>
            <w:r>
              <w:rPr>
                <w:rFonts w:ascii="Arial" w:cs="Arial" w:eastAsia="Arial" w:hAnsi="Arial"/>
                <w:sz w:val="18"/>
                <w:szCs w:val="18"/>
                <w:color w:val="auto"/>
              </w:rPr>
              <w:t>__________________</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33"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Australian segment reported revenues in the third quarter of 2014 that were $5.7 million, or 10%, lower than the third quarter of 2013. The strengthening of the average exchange rates for Australian dollars relative to the U.S. dollar by 1% in the third quarter of 2014 compared to the third quarter of 2013 resulted in a $0.5 million year-over-year increase in revenues. Village revenues in the third quarter of 2014 were negatively impacted by lower occupancy levels compared to the third quarter of 2013, primarily as a result of the continued slowdown in mining activity, partially offset by the contributions of Boggabri Village, which commenced operations late in the third quarter 2013.</w:t>
      </w:r>
    </w:p>
    <w:p>
      <w:pPr>
        <w:spacing w:after="0" w:line="173"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Our Australian segment cost of sales increased by $0.7 million in the third quarter of 2014 compared to the third quarter of 2013. The strengthening of the Australian dollar was more than offset by the increased costs of the Boggabri Village, which commenced operations late in the third quarter 2013.</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declined from 63% in the third quarter of 2013 to 58% in the third quarter of 2014. The decline is largely due to the continued slowdown in mining activity, driving lower occupancy levels.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Segment Results of Operations – United States Segment</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7"/>
              </w:rPr>
              <w:t>SEPTEMBER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3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15,154</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3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11,677</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United States segment reported revenues in the third quarter of 2014 of $15.2 million, which were $3.0 million, or 17%, lower than the third quarter of 2013. Mobile camp revenues in the third quarter of 2014 were negatively impacted by lower occupancy levels and pricing compared to the third quarter of 2013, primarily as a result of increased competition, but were positively affected by the addition of two new lodges, only one of which was operating in the third quarter of 2013. Additionally, our offshore fabrication sales were down approximately $2.0 million due to a significant project recognized in 2013 that was not repeated in 2014.</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9" w:name="page30"/>
    <w:bookmarkEnd w:id="29"/>
    <w:p>
      <w:pPr>
        <w:ind w:right="400" w:firstLine="324"/>
        <w:spacing w:after="0" w:line="277" w:lineRule="auto"/>
        <w:rPr>
          <w:sz w:val="20"/>
          <w:szCs w:val="20"/>
          <w:color w:val="auto"/>
        </w:rPr>
      </w:pPr>
      <w:r>
        <w:rPr>
          <w:rFonts w:ascii="Arial" w:cs="Arial" w:eastAsia="Arial" w:hAnsi="Arial"/>
          <w:sz w:val="18"/>
          <w:szCs w:val="18"/>
          <w:color w:val="auto"/>
        </w:rPr>
        <w:t>Our United States cost of sales decreased $2.0 million, or 15%, in the third quarter of 2014 compared to the third quarter of 2013. The decrease was driven by the lower occupancy levels and lower fabrication sales noted above.</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25% in the third quarter of 2013 to 23% in the third quarter of 2014 primarily due to lower rates and occupancy levels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 – Nine Months Ended September 30, 2014 Compared to Nine Months Ended September 30, 2013</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7"/>
          </w:tcPr>
          <w:p>
            <w:pPr>
              <w:jc w:val="center"/>
              <w:ind w:left="710"/>
              <w:spacing w:after="0"/>
              <w:rPr>
                <w:sz w:val="20"/>
                <w:szCs w:val="20"/>
                <w:color w:val="auto"/>
              </w:rPr>
            </w:pPr>
            <w:r>
              <w:rPr>
                <w:rFonts w:ascii="Arial" w:cs="Arial" w:eastAsia="Arial" w:hAnsi="Arial"/>
                <w:sz w:val="18"/>
                <w:szCs w:val="18"/>
                <w:b w:val="1"/>
                <w:bCs w:val="1"/>
                <w:color w:val="auto"/>
              </w:rPr>
              <w:t>NINE MONTHS ENDED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7"/>
              </w:rPr>
              <w:t>SEPTEMBER 30,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 in thousands)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Canada</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510,914</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535,810</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191,510</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782,627</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308,988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301,819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73,381</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415,168</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Spin-off and formation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127,770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124,510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Other operating expense (income)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586,850</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(80,694)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(16,039)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(18,778)</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180,837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137,487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color w:val="auto"/>
              </w:rPr>
              <w:t>Net income attributable to Civeo</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82,591</w:t>
            </w: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136,423</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(53,832)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reported net income attributable to Civeo for the nine months ended September 30, 2014 of $82.6 million, or $0.77 per diluted share. As further discussed in Impairment expense and Interest expense and income, net, below, net income included $12.0 million of after-tax charges, or $0.12 per diluted share, resulting from the Spin-Off. In addition, we also incurred pre-tax severance costs of $4.1 million ($3.4 million after-tax), or $0.03 per diluted share after-tax, included in Selling, general and administrative expenses below and impairment costs of $2.6 million ($2.2 million after-tax), or $0.02 per diluted share after-tax, included in Impairment expense below. These results compare to net income attributable to Civeo for the nine months ended September 30, 2013 of $136.4 million, or $1.28 per diluted share, including a pre-tax gain of $4.0 million ($3.0 million after-tax), or $0.03 per diluted share after-tax from a decrease to a liability associated with contingent acquisition consideration. 2013 net income also included $1.2 million, or $0.01 per diluted share after-tax, of losses incurred on extinguishment of debt.</w:t>
      </w:r>
    </w:p>
    <w:p>
      <w:pPr>
        <w:spacing w:after="0" w:line="175" w:lineRule="exact"/>
        <w:rPr>
          <w:sz w:val="20"/>
          <w:szCs w:val="20"/>
          <w:color w:val="auto"/>
        </w:rPr>
      </w:pPr>
    </w:p>
    <w:p>
      <w:pPr>
        <w:ind w:right="180" w:firstLine="324"/>
        <w:spacing w:after="0" w:line="303"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$59.4 million, or 8%, in the nine months ended September 30, 2014 compared to the nine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2013. This decline was largely driven by decreases in Canada, due to weaker Canadian exchange rates, lower RevPAR and lower occupancy levels, partially offset by an increase in average available rooms in 2014 compared to 2013 and increased mobile, open camp and product revenue. In Australia, decreases were due to weaker Australian exchange rates and lower occupancy, as further described in the segment discussion below.</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0" w:name="page31"/>
    <w:bookmarkEnd w:id="30"/>
    <w:p>
      <w:pPr>
        <w:ind w:right="40" w:firstLine="324"/>
        <w:spacing w:after="0" w:line="261"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consolidated cost of sales decreased $1.3 million, or less than one percent, in the nine months ended September 30, 2014</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30, 2013 primarily due to lower variable costs related to lower occupancy in Australia and decreases in Australia and Canada due to exchange rate fluctuations, offset by increased room capacity and product costs in Canada. Please see further segment discussion below.</w:t>
      </w:r>
    </w:p>
    <w:p>
      <w:pPr>
        <w:spacing w:after="0" w:line="18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(SG&amp;A) expense increased $0.7 million, or 1%, in the nine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September 30, 2014 compared to the nine months ended September 30, 2013 primarily due to severance costs associated with the termination of an executive totaling $4.1 million, of which approximately $2.4 million related to phantom share awards. SG&amp;A expense also increased approximately $5.5 million due to costs incurred associated with being a publicly traded company. These items were offset by a $2.0 million refund of surplus medical premiums from our Canadian medical benefits provider based on lower experience ratings, a recovery of previously reserved receivables of approximately $1.4 million, lower expense of approximately $2.6 million due to weaker Australian and Canadian exchange rates, reduced bonus accruals for 2014 compared to 2013 and lower compensation expense associated with phantom share awards. Because of the decline in our stock price experienced during September 2014, and because we remeasure these awards at each reporting date, we recognized expense of $2.7 million on the phantom shares in the nine month period ended September 30, 2014 (exclusive of the $2.4 million noted above) compared to expense of $2.9 million in the nine month period ended September 30, 2013.</w:t>
      </w:r>
    </w:p>
    <w:p>
      <w:pPr>
        <w:spacing w:after="0" w:line="160"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$3.5 million relate to transition costs incurred associated with becoming a stand-alone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2" w:lineRule="exact"/>
        <w:rPr>
          <w:sz w:val="20"/>
          <w:szCs w:val="20"/>
          <w:color w:val="auto"/>
        </w:rPr>
      </w:pPr>
    </w:p>
    <w:p>
      <w:pPr>
        <w:ind w:right="60" w:firstLine="324"/>
        <w:spacing w:after="0" w:line="303"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increased $3.3 million, or 3%, in the nine months ended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30, 2014 compared to the nine months ended September 30, 2013 primarily due to capital expenditures made during the last twelve months largely related to investments in our Canadian segment. This was partially offset by lower depreciation expense in our Canadian and Australian segments due to the weakening of the average exchange rates for Canadian and Australian dollars relative to the U.S. dollar and the extension of a land lease for two of our Canadian lodges.</w:t>
      </w:r>
    </w:p>
    <w:p>
      <w:pPr>
        <w:spacing w:after="0" w:line="151"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$11.6 million in 2014 included a $9.0 million impairment of an intangible asset in Australia.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Spin-Off, and the resulting rebranding of our Australian operations from The MAC to Civeo, it was determined that the fair value of an intangible asset associated with The MAC brand was nil. Additionally, we recognized an impairment totaling $2.6 million on assets that are in the custody of non-paying customers in Mexico, and for which the return or reimbursement is unlikely.</w:t>
      </w:r>
    </w:p>
    <w:p>
      <w:pPr>
        <w:spacing w:after="0" w:line="180" w:lineRule="exact"/>
        <w:rPr>
          <w:sz w:val="20"/>
          <w:szCs w:val="20"/>
          <w:color w:val="auto"/>
        </w:rPr>
      </w:pPr>
    </w:p>
    <w:p>
      <w:pPr>
        <w:ind w:right="20" w:firstLine="324"/>
        <w:spacing w:after="0" w:line="314" w:lineRule="auto"/>
        <w:rPr>
          <w:sz w:val="20"/>
          <w:szCs w:val="20"/>
          <w:color w:val="auto"/>
        </w:rPr>
      </w:pPr>
      <w:r>
        <w:rPr>
          <w:rFonts w:ascii="Arial" w:cs="Arial" w:eastAsia="Arial" w:hAnsi="Arial"/>
          <w:sz w:val="16"/>
          <w:szCs w:val="16"/>
          <w:b w:val="1"/>
          <w:bCs w:val="1"/>
          <w:color w:val="auto"/>
        </w:rPr>
        <w:t xml:space="preserve">Operating Income. </w:t>
      </w:r>
      <w:r>
        <w:rPr>
          <w:rFonts w:ascii="Arial" w:cs="Arial" w:eastAsia="Arial" w:hAnsi="Arial"/>
          <w:sz w:val="16"/>
          <w:szCs w:val="16"/>
          <w:color w:val="auto"/>
        </w:rPr>
        <w:t>Consolidated operating income decreased $80.7 million, or 41%, in the nine months ended September 30, 2014 compared to the nine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September 30, 2013 primarily as a result of lower contracted rates in Canada, lower occupancy levels in Australia and the U.S. and the impairment expense and severance costs discussed above, partially offset by the increase in average available rooms in 2014 compared to 2013.</w:t>
      </w:r>
    </w:p>
    <w:p>
      <w:pPr>
        <w:spacing w:after="0" w:line="14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Interest Expense and Interest Income, net. </w:t>
      </w:r>
      <w:r>
        <w:rPr>
          <w:rFonts w:ascii="Arial" w:cs="Arial" w:eastAsia="Arial" w:hAnsi="Arial"/>
          <w:sz w:val="16"/>
          <w:szCs w:val="16"/>
          <w:color w:val="auto"/>
        </w:rPr>
        <w:t>Net interest expense, including interest expense and income to/from affiliates, decreased by $2.7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15%, in the nine months ended September 30, 2014 compared to the nine months ended September 30, 2013 primarily due to the repayment of the Australian revolving credit facility and the Canadian term loan in the nine months ended September 30, 2013, as well as the settlement of the affiliate debt in conjunction with the Spin-Off. Five months of interest associated with the affiliate debt are reflected in the nine months ended September 30, 2014, compared to nine months in the nine months ended September 30, 2013. These items were partially offset by interest expense incurred in 2014 associated with the new credit facility as well as the write-off of $3.5 million debt issuance costs associated with the credit agreement that was terminated in conjunction with the Spin-Off. The Company wrote-off $1.2 million of debt issuance costs associated with the Canadian term loan repayment in 2013. Interest income increased as a result of higher cash balances during the nine months ended September 30, 2014 compared to 2013.</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right="220" w:firstLine="324"/>
        <w:spacing w:after="0" w:line="298" w:lineRule="auto"/>
        <w:rPr>
          <w:sz w:val="20"/>
          <w:szCs w:val="20"/>
          <w:color w:val="auto"/>
        </w:rPr>
      </w:pPr>
      <w:r>
        <w:rPr>
          <w:rFonts w:ascii="Arial" w:cs="Arial" w:eastAsia="Arial" w:hAnsi="Arial"/>
          <w:sz w:val="16"/>
          <w:szCs w:val="16"/>
          <w:b w:val="1"/>
          <w:bCs w:val="1"/>
          <w:color w:val="auto"/>
        </w:rPr>
        <w:t xml:space="preserve">Income Tax Provision. </w:t>
      </w:r>
      <w:r>
        <w:rPr>
          <w:rFonts w:ascii="Arial" w:cs="Arial" w:eastAsia="Arial" w:hAnsi="Arial"/>
          <w:sz w:val="16"/>
          <w:szCs w:val="16"/>
          <w:color w:val="auto"/>
        </w:rPr>
        <w:t>Our income tax expense for the nine months ended September 30, 2014 totaled $16.4 million, or 16.4% of pretax income,</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income tax expense of $43.3 million, or 24.0% of pretax income, for the nine months ended September 30, 2013. Generally, our effective tax rates are lower than U.S. statutory rates because of lower foreign income tax rates. The decrease in the effective tax rate from the prior year was largely the result of a change in the earnings mix between different tax jurisdictions. In addition, the effective tax rate was reduced due to changes in our corporate structure, including the contribution by Oil States of our affiliate debt (as further described in Note 13 – Related Party Transactions).</w:t>
      </w:r>
    </w:p>
    <w:p>
      <w:pPr>
        <w:spacing w:after="0" w:line="15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loss decreased $52.1 million in the nine months ended September 30, 2014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2013 primarily as a result of foreign currency translation adjustments due to offsetting changes in the Canadian and Australian dollar exchange rates compared to the U.S. dollar. The Canadian dollar exchange rate compared to the U.S. dollar decreased 5% in the nine months ended September 30, 2014 compared to a 3% decrease in the nine months ended September 30, 2013. The Australian dollar exchange rate compared to the U.S. dollar decreased 2% in the nine months ended September 30, 2014 compared to a 10% decrease in the nine months ended September 30, 2013.</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Segment Results of Operations – Canadian Segment</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SEPTEMBER 30,</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379,700</w:t>
            </w:r>
          </w:p>
        </w:tc>
        <w:tc>
          <w:tcPr>
            <w:tcW w:w="18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417,162</w:t>
            </w:r>
          </w:p>
        </w:tc>
        <w:tc>
          <w:tcPr>
            <w:tcW w:w="2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131,214</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118,648</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510,914</w:t>
            </w:r>
          </w:p>
        </w:tc>
        <w:tc>
          <w:tcPr>
            <w:tcW w:w="18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535,810</w:t>
            </w:r>
          </w:p>
        </w:tc>
        <w:tc>
          <w:tcPr>
            <w:tcW w:w="2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(24,896)</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308,988</w:t>
            </w:r>
          </w:p>
        </w:tc>
        <w:tc>
          <w:tcPr>
            <w:tcW w:w="18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301,819</w:t>
            </w:r>
          </w:p>
        </w:tc>
        <w:tc>
          <w:tcPr>
            <w:tcW w:w="2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12,404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RevPAR for Lodges (3)</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Occupancy in Lodges (4)</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0.914</w:t>
            </w:r>
          </w:p>
        </w:tc>
        <w:tc>
          <w:tcPr>
            <w:tcW w:w="180" w:type="dxa"/>
            <w:vAlign w:val="bottom"/>
          </w:tcPr>
          <w:p>
            <w:pPr>
              <w:spacing w:after="0"/>
              <w:rPr>
                <w:sz w:val="20"/>
                <w:szCs w:val="20"/>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0.977</w:t>
            </w:r>
          </w:p>
        </w:tc>
        <w:tc>
          <w:tcPr>
            <w:tcW w:w="22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(0.063)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33"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Canadian segment reported revenues in the nine months ended September 30, 2014 that were $24.9 million, or 5%, lower than the nine months ended September 30, 2013. The weakening of the Canadian dollar relative to the U.S. dollar by 6% in the nine months ended September 30, 2014 compared to the nine months ended September 30, 2013 resulted in a $35.7 million year-over-year reduction in revenues. In addition, excluding the impact of the weaker Canadian exchange rates, the segment experienced a 3% decline in lodge revenues primarily due to a 10% year-over-year decrease in RevPAR largely related to contracted room rate reductions. In addition, revenues were reduced by approximately $4.9 million due to a contract amendment. Lodge revenues in the nine months ended September 30, 2014 were positively affected by an 8% increase year-over-year in average available rooms. Mobile, open camp and product revenue was favorably impacted by increased activity at Pebble Beach and Marianna, revenue from a significant contract camp associated with a 2014 pipeline project, as well as the related demobilization fee recognized upon the completion of the project. Finally, the completion of a wastewater treatment plant resulted in the recognition of approximately $4.0 million in product revenue in 2014. Similar product revenue was not recognized in 2013. Overall, Canadian product sales were $21.0 million for the nine months ended September 30, 2014 compared to $6.9 million for the nine months ended September 30, 2013.</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2" w:name="page33"/>
    <w:bookmarkEnd w:id="32"/>
    <w:p>
      <w:pPr>
        <w:ind w:right="80" w:firstLine="324"/>
        <w:spacing w:after="0" w:line="255" w:lineRule="auto"/>
        <w:rPr>
          <w:sz w:val="20"/>
          <w:szCs w:val="20"/>
          <w:color w:val="auto"/>
        </w:rPr>
      </w:pPr>
      <w:r>
        <w:rPr>
          <w:rFonts w:ascii="Arial" w:cs="Arial" w:eastAsia="Arial" w:hAnsi="Arial"/>
          <w:sz w:val="18"/>
          <w:szCs w:val="18"/>
          <w:color w:val="auto"/>
        </w:rPr>
        <w:t>Our Canadian segment cost of sales and services increased $7.2 million, or 2% in the nine months ended September 30, 2014 compared to the nine months ended September 30, 2013. The increase was driven by the increase in mobile, open camp and product revenue discussed above, including approximately $4.2 million in costs associated with the completion of a wastewater treatment plant. This was slightly offset by a decrease in cost of sales and services related to lodge revenues. Although revenue decreased due to lower contracted room rates, a corresponding decrease did not occur in costs of sales and services, as occupancy levels decreased to a lesser extent. However, the weakening of the average exchange rates resulted in a $21.5 million reduction in cost of sales.</w:t>
      </w:r>
    </w:p>
    <w:p>
      <w:pPr>
        <w:spacing w:after="0" w:line="19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Canadian segment gross margin as a percentage of revenues decreased from 44% in the nine months ended September 30, 2013 to 40% in the nine months ended September 30, 2014 primarily due to lower contracted room rates in Canada. In addition, Canadian product sales generated gross margin of $1.0 million and $1.7 million for the nine months ended September 30, 2014 and 2013, respectively.</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Segment Results of Operations – Australian Segment</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SEPTEMBER 30,</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163,847</w:t>
            </w:r>
          </w:p>
        </w:tc>
        <w:tc>
          <w:tcPr>
            <w:tcW w:w="18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191,510</w:t>
            </w:r>
          </w:p>
        </w:tc>
        <w:tc>
          <w:tcPr>
            <w:tcW w:w="2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(27,663)</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Cost of sales ($ in thousands)</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68,682</w:t>
            </w:r>
          </w:p>
        </w:tc>
        <w:tc>
          <w:tcPr>
            <w:tcW w:w="18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73,381</w:t>
            </w:r>
          </w:p>
        </w:tc>
        <w:tc>
          <w:tcPr>
            <w:tcW w:w="2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Average Available Village Rooms (2)</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RevPAR for Villages (3)</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Occupancy in Villages (4)</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Australian dollar to US dollar</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0.918</w:t>
            </w:r>
          </w:p>
        </w:tc>
        <w:tc>
          <w:tcPr>
            <w:tcW w:w="180" w:type="dxa"/>
            <w:vAlign w:val="bottom"/>
          </w:tcPr>
          <w:p>
            <w:pPr>
              <w:spacing w:after="0"/>
              <w:rPr>
                <w:sz w:val="20"/>
                <w:szCs w:val="20"/>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0.982</w:t>
            </w:r>
          </w:p>
        </w:tc>
        <w:tc>
          <w:tcPr>
            <w:tcW w:w="22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(0.064)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revenue related to rooms as well as the fees associated with catering, laundry and other services including facilities management.</w:t>
      </w:r>
    </w:p>
    <w:p>
      <w:pPr>
        <w:spacing w:after="0" w:line="222"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25"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Our Australian segment reported revenues in the nine months ended September 30, 2014 that were $27.7 million, or 14%, lower than the nine months ended September 30, 2013. The weakening of the average exchange rates for Australian dollars relative to the U.S. dollar by 7% in the nine months ended September 30, 2014 compared to the nine months ended September 30, 2013 resulted in an $11.7 million year-over-year reduction in revenues. Village revenues in the nine months ended September 30, 2014 were also negatively impacted by lower occupancy levels compared to the nine months ended September 30, 2013, primarily as a result of lower met coal prices and the resultant slowdown in mining activity partially offset by the contributions of the Boggabri Village, which commenced operations late in the third quarter of 2013.</w:t>
      </w:r>
    </w:p>
    <w:p>
      <w:pPr>
        <w:spacing w:after="0" w:line="17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Australian segment cost of sales decreased $4.7 million, or 6%, in the nine months ended September 30, 2014 compared to the nine months ended September 30, 2013. The decrease was driven entirely by the weakening of the Australian dollar. Although lower occupancy levels were experienced in many of our villages, this was offset by the increased costs of the Boggabri Village, which commenced operations late in the third quarter 2013. Additionally, cost of sales was negatively impacted by increased repair and maintenance costs associated with a water treatment facility as well as higher development expenses.</w:t>
      </w:r>
    </w:p>
    <w:p>
      <w:pPr>
        <w:spacing w:after="0" w:line="154"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Our Australian segment gross margin as a percentage of revenues declined from 62% in the nine months ended September 30, 2013 to 58% in the nine months ended September 30, 2014. This decrease was due to the continued slowdown in mining activity, driving lower occupancy levels.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tbl>
      <w:tblPr>
        <w:tblLayout w:type="fixed"/>
        <w:tblInd w:w="34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Segment Results of Operations – United States Segment</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SEPTEMBER 30,</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 ($ in thousands)</w:t>
            </w:r>
          </w:p>
        </w:tc>
        <w:tc>
          <w:tcPr>
            <w:tcW w:w="13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48,436</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3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36,246</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United States segment reported revenues in the nine months ended September 30, 2014 of $48.4 million, which were $6.9 million, or 12%, lower than the nine months ended September 30, 2013. Our offshore fabrication sales were down approximately $5.2 million, due to a significant project recognized in 2013 that was not repeated in 2014. Wellsite services and offshore rentals revenues were also down approximately $0.8 million and $2.8 million, respectively, due to reduced activity. These items were partially offset by an increase to mobile camp revenues of approximately $1.2 million resulting from the addition of two new lodges, which began operating in July and December 2013, respectively.</w:t>
      </w:r>
    </w:p>
    <w:p>
      <w:pPr>
        <w:spacing w:after="0" w:line="173"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Our United States cost of sales decreased $3.7 million, or 9%, in the nine months ended September 30, 2014 compared to the nine months ended September 30, 2013. The decrease was driven by the reduced activity levels noted above.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28% in the nine months ended September 30, 2013 to 25% in the nine months ended September 30, 2014 primarily due to margin decreases in mobile and contract camps.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paying dividends and for general working capital needs. In addition, capital has been used to repay debt and fund strategic business acquisitions. Historically, our primary sources of funds have been cash flow from operations, credit facilities in Australia and Canada and liquidity provided by Oil States. Looking forward, we expect our primary sources of funds to be available cash, cash flow from operations, borrowings under our new credit facility and capital markets transactions.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Canada</w:t>
            </w:r>
          </w:p>
        </w:tc>
        <w:tc>
          <w:tcPr>
            <w:tcW w:w="1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Australia (1)</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Borrowings against revolver capacity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letters of credit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(6,584)</w:t>
            </w:r>
          </w:p>
        </w:tc>
      </w:tr>
      <w:tr>
        <w:trPr>
          <w:trHeight w:val="20"/>
        </w:trPr>
        <w:tc>
          <w:tcPr>
            <w:tcW w:w="4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Unused capacity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449,285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94,131</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643,416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101,706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104,271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241,814</w:t>
            </w:r>
          </w:p>
        </w:tc>
      </w:tr>
      <w:tr>
        <w:trPr>
          <w:trHeight w:val="20"/>
        </w:trPr>
        <w:tc>
          <w:tcPr>
            <w:tcW w:w="4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available liquidity as of September 30, 2014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485,122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195,837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204,271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885,230</w:t>
            </w: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660" w:right="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also have an A$30 million line of credit facility. There were no borrowings or letters of credit outstanding under this facility as of September 30, 2014.</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Cash totaling $208.3 million was provided by operations during the nine months ended September 30, 2014 compared to $263.8 million provided by operations during the nine months ended September 30, 2013. The decrease in operating cash flow in 2014 compared to 2013 was primarily due to lower occupancy levels in lodges and villages, and higher cash used by working capital. During the nine months ended September 30, 2014, $22.8 million was used for working capital, primarily due to increases in receivables in Canada. During the nine months ended September 30, 2013, $10.2 million was used for working capital, primarily due to $21 million in changes in taxes payable, largely in Canada, offset by $17 million in decreases in receivables, largely in Canada.</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p>
      <w:pPr>
        <w:ind w:right="520" w:firstLine="324"/>
        <w:spacing w:after="0" w:line="279" w:lineRule="auto"/>
        <w:rPr>
          <w:sz w:val="20"/>
          <w:szCs w:val="20"/>
          <w:color w:val="auto"/>
        </w:rPr>
      </w:pPr>
      <w:r>
        <w:rPr>
          <w:rFonts w:ascii="Arial" w:cs="Arial" w:eastAsia="Arial" w:hAnsi="Arial"/>
          <w:sz w:val="17"/>
          <w:szCs w:val="17"/>
          <w:color w:val="auto"/>
        </w:rPr>
        <w:t>Cash was used in investing activities during the nine months ended September 30, 2014 in the amount of $206.7 million compared to cash used in investing activities during the nine months ended September 30, 2013 in the amount of $228.4 million. Capital expenditures totaled $208.3 million and $234.8 million during the nine months ended September 30, 2014 and 2013, respectively. Capital expenditures in both years consisted principally of construction and installation of assets for our lodges primarily in support of Canadian oil sands projects.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our capital expenditures for the entire year will total approximately $280 million to $300 million, compared to 2013 capital expenditures of $292 million. The majority of the 2014 capital expenditures amount relates to room expansions in Canada, including the McClelland Lake Lodge in the Athabasca oil sands region. Whether planned expenditures will actually be spent in 2014 depends on industry conditions, project approvals and schedules, customer room commitments and project and construction timing. We expect to fund these capital expenditures with available cash, internally generated funds and borrowings under our new credit facility. The foregoing capital expenditure forecast does not include any funds for strategic acquisitions, which the Company could pursue depending on the economic environment in our industry and the availability of transactions at prices deemed to be attractive to the Company.</w:t>
      </w:r>
    </w:p>
    <w:p>
      <w:pPr>
        <w:spacing w:after="0" w:line="18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At September 30, 2014, we had cash totaling $206.0 million held by foreign subsidiaries, primarily in Canada and Australia, where we have assumed permanent reinvestment of earnings and have not recorded a U.S. tax liability upon the assumed repatriation of foreign earnings. Our intent is to utilize these cash balances for future investment outside the United States.</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Net cash of $29.9 million was provided by financing activities during the nine months ended September 30, 2014, in part due to contributions from Oil States of $28.3 million. Borrowings of $775.0 million under our new term loan facility funded the cash distribution of $750.0 million to Oil States on May 28, 2014. Net cash of $27.0 million was used in financing activities during the nine months ended September 30, 2013, due to $130.7 million in repayments of the Australian revolving credit facility and the Canadian term loan offset by $103.6 million in net contributions from Oil States.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that cash on hand, cash flow from operations and available borrowings under our new credit facility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 In addition, in some cases, we may incur costs to acquire land and/or construct assets prior to finalization of an accommodations contract with a customer. If the contract is delayed or not obtained, the resulting impact could result in an impairment of the related investment.</w:t>
      </w:r>
    </w:p>
    <w:p>
      <w:pPr>
        <w:spacing w:after="0" w:line="22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management team and board of directors are reviewing a number of opportunities for enhancing shareholder value, including the level of dividend payouts, and evaluating our business, operations, cost structure, capital structure, capital return and capital allocation policies. Going forward, we are committed to emphasize yield as the core component of our value proposition, including a high payout ratio to return to shareholders a substantial majority of our after-tax free cash flow (after maintenance capital expenditures), subject to compliance with the covenants in our Credit Agreement and applicable law.</w:t>
      </w:r>
    </w:p>
    <w:p>
      <w:pPr>
        <w:spacing w:after="0" w:line="204"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b w:val="1"/>
          <w:bCs w:val="1"/>
          <w:color w:val="auto"/>
        </w:rPr>
        <w:t xml:space="preserve">Credit Facilities and Long-Term Debt. </w:t>
      </w:r>
      <w:r>
        <w:rPr>
          <w:rFonts w:ascii="Arial" w:cs="Arial" w:eastAsia="Arial" w:hAnsi="Arial"/>
          <w:sz w:val="16"/>
          <w:szCs w:val="16"/>
          <w:color w:val="auto"/>
        </w:rPr>
        <w:t>We historically relied on Oil States for financial support and cash management. Following the Spin-Off, our</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structure and sources of liquidity changed. In conjunction with the Spin-Off, on May 28, 2014, we entered into (i) a $650.0 million, 5-year revolving credit facility which is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favor of Civeo (collectively, the Credit Agreement). U.S. Dollar amounts outstanding under the credit facilities bear interest at a variable rate equal to LIBOR plus a margin of 1.75% to</w:t>
      </w:r>
    </w:p>
    <w:p>
      <w:pPr>
        <w:spacing w:after="0" w:line="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2.75%, or a base rate plus 0.75% to 1.75%, in each case based on a ratio of our total leverage to EBITDA (as defined in the credit facilities). Canadian Dollar amounts outstanding under the credit facilities bear interest at a variable rate equal to CDOR plus a margin of 1.75% to 2.75%, or a base rate plus a margin of 0.75% to 1.75%, in each case based on a ratio of our total leverage to EBITDA (as defined in the credit facilities). Australian Dollar amounts outstanding under the credit facilities bear interest at a variable rate equal to BBSY plus a margin of 1.75% to 2.75%, based on a ratio of our total leverage to EBITDA (as defined in the credit facilities). We paid certain customary fees with respect to the Credit Agreement. We have 15 lenders in our Credit Agreement with commitments ranging from $20 million to $195 million.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ind w:firstLine="324"/>
        <w:spacing w:after="0" w:line="270"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Credit Agreement) to consolidated interest expense. of at least 3.0 to 1.0 and our maximum leverage ratio, defined as the ratio of total debt to consolidated EBITDA, of no greater than 3.5 to 1.0. Each of the factors considered in the calculations of these ratios are defined in the Credit Agreement. EBITDA and consolidated interest, as defined, exclude goodwill impairments, debt discount amortization and other non-cash charges. We expect to be in compliance with our debt covenants during the next 12 months. Borrowings under the Credit Agreement are secured by a pledge of substantially all of our assets and the assets of our subsidiaries. Obligations under the Credit Agreement are also guaranteed by our significant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2014,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contained in the Information Statement included in Amendment No. 5 to the Form 10. As of September 30, 2014, except for the settlement of affiliate debt to Oil States in connection with the Spin-Off and the incurrence of debt under our credit facilities as described above, there were no material changes to this disclosure regarding our contractual obligations made in the Form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the Information Statement included in Amendment No. 5 to the Form 10.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September 30, 2014, we had floating-rate obligations totaling $775.0 million outstanding under our credit facilities. These floating-rate obligations expose us to the risk of increased interest expense in the event of increases in short-term interest rates. If floating interest rates increase by 1%, our consolidated interest expense would increase by a total of approximately $7.75 million annually based on our floating-rate debt obligations as of September 30,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operations are conducted in various countries around the world and we receive revenue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C$1.0 billion and A$983 million, respectively, at September 30, 2014. We use a sensitivity analysis model to measure the impact of a 10% adverse movement of foreign currency exchange rates against the United States dollar. A hypothetical 10% adverse change in the value of the Canadian dollar and Australian dollar relative to the United States dollar as of September 30, 2014 would result in translation adjustments of approximately $104 million and $98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the end of the period covered by this Quarterly Report on Form 10-Q,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2014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During the three months ended September 30, 2014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 the Information Statement included in Amendment No. 5 to the Form 10.</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200" w:type="dxa"/>
            <w:vAlign w:val="bottom"/>
          </w:tcPr>
          <w:p>
            <w:pPr>
              <w:spacing w:after="0"/>
              <w:rPr>
                <w:sz w:val="17"/>
                <w:szCs w:val="17"/>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w w:val="96"/>
              </w:rPr>
              <w:t>—  Form of Indemnification Agreement (as of July 25, 2014) (incorporated herein by reference to Exhibit 10.6 to the Quarterly</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3"/>
          </w:tcPr>
          <w:p>
            <w:pPr>
              <w:ind w:left="100"/>
              <w:spacing w:after="0"/>
              <w:rPr>
                <w:sz w:val="20"/>
                <w:szCs w:val="20"/>
                <w:color w:val="auto"/>
              </w:rPr>
            </w:pPr>
            <w:r>
              <w:rPr>
                <w:rFonts w:ascii="Arial" w:cs="Arial" w:eastAsia="Arial" w:hAnsi="Arial"/>
                <w:sz w:val="18"/>
                <w:szCs w:val="18"/>
                <w:color w:val="auto"/>
              </w:rPr>
              <w:t>Report on Form 10-Q (File No. 001-36246) filed on August 13, 2014).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w w:val="95"/>
              </w:rPr>
              <w:t>—  Certification of Chief Executive Officer of Civeo Corporation. pursuant to Rules 13a-14(a) or 15d-14(a)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w w:val="96"/>
              </w:rPr>
              <w:t>—  Certification of Chief Financial Officer of Civeo Corporation. pursuant to Rules 13a-14(a) or 15d-14(a)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w w:val="95"/>
              </w:rPr>
              <w:t>—  Certification of Chief Executive Officer of Civeo Corporation. pursuant to Rules 13a-14(b) or 15d-14(b)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w w:val="96"/>
              </w:rPr>
              <w:t>—  Certification of Chief Financial Officer of Civeo Corporation. pursuant to Rules 13a-14(b) or 15d-14(b)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4"/>
          </w:tcPr>
          <w:p>
            <w:pPr>
              <w:ind w:left="260"/>
              <w:spacing w:after="0"/>
              <w:rPr>
                <w:sz w:val="20"/>
                <w:szCs w:val="20"/>
                <w:color w:val="auto"/>
              </w:rPr>
            </w:pPr>
            <w:r>
              <w:rPr>
                <w:rFonts w:ascii="Arial" w:cs="Arial" w:eastAsia="Arial" w:hAnsi="Arial"/>
                <w:sz w:val="18"/>
                <w:szCs w:val="18"/>
                <w:color w:val="auto"/>
              </w:rPr>
              <w:t>—  XBRL Taxonomy Extension Label Linkbase Document</w:t>
            </w: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November 6, 2014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Frank C. Steininger</w:t>
      </w:r>
    </w:p>
    <w:p>
      <w:pPr>
        <w:spacing w:after="0" w:line="50" w:lineRule="exact"/>
        <w:rPr>
          <w:sz w:val="20"/>
          <w:szCs w:val="20"/>
          <w:color w:val="auto"/>
        </w:rPr>
      </w:pPr>
    </w:p>
    <w:p>
      <w:pPr>
        <w:sectPr>
          <w:pgSz w:w="11900" w:h="16838" w:orient="portrait"/>
          <w:cols w:equalWidth="0" w:num="4">
            <w:col w:w="2400" w:space="140"/>
            <w:col w:w="2060" w:space="720"/>
            <w:col w:w="560" w:space="720"/>
            <w:col w:w="4820"/>
          </w:cols>
          <w:pgMar w:left="240" w:top="580" w:right="239" w:bottom="1440" w:gutter="0" w:footer="0" w:header="0"/>
          <w:type w:val="continuous"/>
        </w:sectPr>
      </w:pPr>
    </w:p>
    <w:p>
      <w:pPr>
        <w:jc w:val="center"/>
        <w:ind w:left="352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-130810</wp:posOffset>
            </wp:positionV>
            <wp:extent cx="43649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 w:lineRule="exact"/>
        <w:rPr>
          <w:sz w:val="20"/>
          <w:szCs w:val="20"/>
          <w:color w:val="auto"/>
        </w:rPr>
      </w:pPr>
    </w:p>
    <w:p>
      <w:pPr>
        <w:jc w:val="center"/>
        <w:ind w:left="3520"/>
        <w:spacing w:after="0"/>
        <w:rPr>
          <w:sz w:val="20"/>
          <w:szCs w:val="20"/>
          <w:color w:val="auto"/>
        </w:rPr>
      </w:pPr>
      <w:r>
        <w:rPr>
          <w:rFonts w:ascii="Arial" w:cs="Arial" w:eastAsia="Arial" w:hAnsi="Arial"/>
          <w:sz w:val="16"/>
          <w:szCs w:val="16"/>
          <w:b w:val="1"/>
          <w:bCs w:val="1"/>
          <w:color w:val="auto"/>
        </w:rPr>
        <w:t>Senior Vice President, Chief Financial Officer and</w:t>
      </w:r>
    </w:p>
    <w:p>
      <w:pPr>
        <w:spacing w:after="0" w:line="32" w:lineRule="exact"/>
        <w:rPr>
          <w:sz w:val="20"/>
          <w:szCs w:val="20"/>
          <w:color w:val="auto"/>
        </w:rPr>
      </w:pPr>
    </w:p>
    <w:p>
      <w:pPr>
        <w:jc w:val="center"/>
        <w:ind w:left="3520"/>
        <w:spacing w:after="0"/>
        <w:rPr>
          <w:sz w:val="20"/>
          <w:szCs w:val="20"/>
          <w:color w:val="auto"/>
        </w:rPr>
      </w:pPr>
      <w:r>
        <w:rPr>
          <w:rFonts w:ascii="Arial" w:cs="Arial" w:eastAsia="Arial" w:hAnsi="Arial"/>
          <w:sz w:val="18"/>
          <w:szCs w:val="18"/>
          <w:b w:val="1"/>
          <w:bCs w:val="1"/>
          <w:color w:val="auto"/>
        </w:rPr>
        <w:t>Treasurer (Duly Authorized Officer and</w:t>
      </w:r>
    </w:p>
    <w:p>
      <w:pPr>
        <w:spacing w:after="0" w:line="9" w:lineRule="exact"/>
        <w:rPr>
          <w:sz w:val="20"/>
          <w:szCs w:val="20"/>
          <w:color w:val="auto"/>
        </w:rPr>
      </w:pPr>
    </w:p>
    <w:p>
      <w:pPr>
        <w:jc w:val="center"/>
        <w:ind w:left="35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0" w:type="dxa"/>
            <w:vAlign w:val="bottom"/>
            <w:gridSpan w:val="5"/>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3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200" w:type="dxa"/>
            <w:vAlign w:val="bottom"/>
          </w:tcPr>
          <w:p>
            <w:pPr>
              <w:spacing w:after="0"/>
              <w:rPr>
                <w:sz w:val="24"/>
                <w:szCs w:val="24"/>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w w:val="96"/>
              </w:rPr>
              <w:t>—  Form of Indemnification Agreement (as of July 25, 2014) (incorporated herein by reference to Exhibit 10.6 to the Quarterly</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5"/>
          </w:tcPr>
          <w:p>
            <w:pPr>
              <w:ind w:left="100"/>
              <w:spacing w:after="0"/>
              <w:rPr>
                <w:sz w:val="20"/>
                <w:szCs w:val="20"/>
                <w:color w:val="auto"/>
              </w:rPr>
            </w:pPr>
            <w:r>
              <w:rPr>
                <w:rFonts w:ascii="Arial" w:cs="Arial" w:eastAsia="Arial" w:hAnsi="Arial"/>
                <w:sz w:val="18"/>
                <w:szCs w:val="18"/>
                <w:color w:val="auto"/>
              </w:rPr>
              <w:t>Report on Form 10-Q (File No. 001-36246) filed on August 13, 2014).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w w:val="95"/>
              </w:rPr>
              <w:t>—  Certification of Chief Executive Officer of Civeo Corporation. pursuant to Rules 13a-14(a) or 15d-14(a)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5"/>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w w:val="96"/>
              </w:rPr>
              <w:t>—  Certification of Chief Financial Officer of Civeo Corporation. pursuant to Rules 13a-14(a) or 15d-14(a)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5"/>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w w:val="95"/>
              </w:rPr>
              <w:t>—  Certification of Chief Executive Officer of Civeo Corporation. pursuant to Rules 13a-14(b) or 15d-14(b)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5"/>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w w:val="96"/>
              </w:rPr>
              <w:t>—  Certification of Chief Financial Officer of Civeo Corporation. pursuant to Rules 13a-14(b) or 15d-14(b)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gridSpan w:val="5"/>
          </w:tcPr>
          <w:p>
            <w:pPr>
              <w:ind w:left="100"/>
              <w:spacing w:after="0"/>
              <w:rPr>
                <w:sz w:val="20"/>
                <w:szCs w:val="20"/>
                <w:color w:val="auto"/>
              </w:rPr>
            </w:pPr>
            <w:r>
              <w:rPr>
                <w:rFonts w:ascii="Arial" w:cs="Arial" w:eastAsia="Arial" w:hAnsi="Arial"/>
                <w:sz w:val="18"/>
                <w:szCs w:val="18"/>
                <w:color w:val="auto"/>
              </w:rPr>
              <w:t>Exchange Act of 1934.</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0" w:type="dxa"/>
            <w:vAlign w:val="bottom"/>
            <w:gridSpan w:val="5"/>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6"/>
          </w:tcPr>
          <w:p>
            <w:pPr>
              <w:ind w:left="260"/>
              <w:spacing w:after="0"/>
              <w:rPr>
                <w:sz w:val="20"/>
                <w:szCs w:val="20"/>
                <w:color w:val="auto"/>
              </w:rPr>
            </w:pPr>
            <w:r>
              <w:rPr>
                <w:rFonts w:ascii="Arial" w:cs="Arial" w:eastAsia="Arial" w:hAnsi="Arial"/>
                <w:sz w:val="18"/>
                <w:szCs w:val="18"/>
                <w:color w:val="auto"/>
              </w:rPr>
              <w:t>—  XBRL Taxonomy Extension Label Linkbase Document</w:t>
            </w: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0" w:type="dxa"/>
            <w:vAlign w:val="bottom"/>
            <w:gridSpan w:val="5"/>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420"/>
          </w:cols>
          <w:pgMar w:left="240" w:top="56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27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-130810</wp:posOffset>
            </wp:positionV>
            <wp:extent cx="20154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Frank C. Steininger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-130810</wp:posOffset>
            </wp:positionV>
            <wp:extent cx="2667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September 30, 2014 filed with the Securities and Exchange Commission (the “Report”), I, Bradley J. Dodson, President and Chief Executive Officer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J. Dodson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November 6, 2014</w:t>
      </w:r>
    </w:p>
    <w:p>
      <w:pPr>
        <w:sectPr>
          <w:pgSz w:w="11900" w:h="16838" w:orient="portrait"/>
          <w:cols w:equalWidth="0" w:num="1">
            <w:col w:w="11420"/>
          </w:cols>
          <w:pgMar w:left="240" w:top="39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September 30, 2014 filed with the Securities and Exchange Commission (the “Report”), I, Frank C. Steininger, Senior Vice President, Chief Financial Officer and Treasurer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November 6, 2014</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3"/>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4"/>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2019-12-08T08:37:46Z</dcterms:created>
  <dcterms:modified xsi:type="dcterms:W3CDTF">2019-12-08T08:37:46Z</dcterms:modified>
</cp:coreProperties>
</file>