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Scofield Jeffrey</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4400</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9,242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 on the earlier of one year from May 27, 2026 or the next annual shareholders' meeting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9835"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2026-05-27T17:44:39Z</dcterms:created>
  <dcterms:modified xsi:type="dcterms:W3CDTF">2026-05-27T17:44:39Z</dcterms:modified>
</cp:coreProperties>
</file>