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34" w:lineRule="exact"/>
        <w:rPr>
          <w:sz w:val="24"/>
          <w:szCs w:val="24"/>
          <w:color w:val="auto"/>
        </w:rPr>
      </w:pPr>
    </w:p>
    <w:p>
      <w:pPr>
        <w:ind w:left="4660"/>
        <w:spacing w:after="0"/>
        <w:rPr>
          <w:sz w:val="20"/>
          <w:szCs w:val="20"/>
          <w:color w:val="auto"/>
        </w:rPr>
      </w:pPr>
      <w:r>
        <w:rPr>
          <w:rFonts w:ascii="Arial" w:cs="Arial" w:eastAsia="Arial" w:hAnsi="Arial"/>
          <w:sz w:val="22"/>
          <w:szCs w:val="22"/>
          <w:color w:val="auto"/>
        </w:rPr>
        <w:t>__________________</w:t>
      </w:r>
    </w:p>
    <w:p>
      <w:pPr>
        <w:spacing w:after="0" w:line="222"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FORM 8-K</w:t>
      </w:r>
    </w:p>
    <w:p>
      <w:pPr>
        <w:spacing w:after="0" w:line="265"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CURRENT REPORT PURSUANT TO SECTION 13 OR 15(d)</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21"/>
          <w:szCs w:val="21"/>
          <w:b w:val="1"/>
          <w:bCs w:val="1"/>
          <w:color w:val="auto"/>
        </w:rPr>
        <w:t>DATE OF REPORT (DATE OF EARLIEST EVENT REPORTED): July 19, 2021</w:t>
      </w:r>
    </w:p>
    <w:p>
      <w:pPr>
        <w:spacing w:after="0" w:line="39" w:lineRule="exact"/>
        <w:rPr>
          <w:sz w:val="24"/>
          <w:szCs w:val="24"/>
          <w:color w:val="auto"/>
        </w:rPr>
      </w:pPr>
    </w:p>
    <w:p>
      <w:pPr>
        <w:ind w:left="4540"/>
        <w:spacing w:after="0"/>
        <w:rPr>
          <w:sz w:val="20"/>
          <w:szCs w:val="20"/>
          <w:color w:val="auto"/>
        </w:rPr>
      </w:pPr>
      <w:r>
        <w:rPr>
          <w:rFonts w:ascii="Arial" w:cs="Arial" w:eastAsia="Arial" w:hAnsi="Arial"/>
          <w:sz w:val="22"/>
          <w:szCs w:val="22"/>
          <w:u w:val="single" w:color="auto"/>
          <w:color w:val="auto"/>
        </w:rPr>
        <w:t>____________________</w:t>
      </w:r>
    </w:p>
    <w:p>
      <w:pPr>
        <w:spacing w:after="0" w:line="204"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Civeo Corporation</w:t>
      </w:r>
    </w:p>
    <w:p>
      <w:pPr>
        <w:spacing w:after="0" w:line="3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220"/>
          </w:cols>
          <w:pgMar w:left="320" w:top="1390" w:right="359" w:bottom="1440" w:gutter="0" w:footer="0" w:header="0"/>
        </w:sectPr>
      </w:pPr>
    </w:p>
    <w:p>
      <w:pPr>
        <w:spacing w:after="0" w:line="263" w:lineRule="exact"/>
        <w:rPr>
          <w:sz w:val="24"/>
          <w:szCs w:val="24"/>
          <w:color w:val="auto"/>
        </w:rPr>
      </w:pPr>
    </w:p>
    <w:p>
      <w:pPr>
        <w:ind w:left="620"/>
        <w:spacing w:after="0"/>
        <w:rPr>
          <w:sz w:val="20"/>
          <w:szCs w:val="20"/>
          <w:color w:val="auto"/>
        </w:rPr>
      </w:pPr>
      <w:r>
        <w:rPr>
          <w:rFonts w:ascii="Arial" w:cs="Arial" w:eastAsia="Arial" w:hAnsi="Arial"/>
          <w:sz w:val="19"/>
          <w:szCs w:val="19"/>
          <w:b w:val="1"/>
          <w:bCs w:val="1"/>
          <w:color w:val="auto"/>
        </w:rPr>
        <w:t>British Columbia, Canada</w:t>
      </w:r>
    </w:p>
    <w:p>
      <w:pPr>
        <w:spacing w:after="0" w:line="20" w:lineRule="exact"/>
        <w:rPr>
          <w:sz w:val="24"/>
          <w:szCs w:val="24"/>
          <w:color w:val="auto"/>
        </w:rPr>
      </w:pPr>
      <w:r>
        <w:rPr>
          <w:sz w:val="24"/>
          <w:szCs w:val="24"/>
          <w:color w:val="auto"/>
        </w:rPr>
        <w:br w:type="column"/>
      </w:r>
    </w:p>
    <w:p>
      <w:pPr>
        <w:spacing w:after="0" w:line="243"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1-36246</w:t>
      </w:r>
    </w:p>
    <w:p>
      <w:pPr>
        <w:spacing w:after="0" w:line="20" w:lineRule="exact"/>
        <w:rPr>
          <w:sz w:val="24"/>
          <w:szCs w:val="24"/>
          <w:color w:val="auto"/>
        </w:rPr>
      </w:pPr>
      <w:r>
        <w:rPr>
          <w:sz w:val="24"/>
          <w:szCs w:val="24"/>
          <w:color w:val="auto"/>
        </w:rPr>
        <w:br w:type="column"/>
      </w:r>
    </w:p>
    <w:p>
      <w:pPr>
        <w:spacing w:after="0" w:line="243"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98-1253716</w:t>
      </w:r>
    </w:p>
    <w:p>
      <w:pPr>
        <w:spacing w:after="0" w:line="49" w:lineRule="exact"/>
        <w:rPr>
          <w:sz w:val="24"/>
          <w:szCs w:val="24"/>
          <w:color w:val="auto"/>
        </w:rPr>
      </w:pPr>
    </w:p>
    <w:p>
      <w:pPr>
        <w:sectPr>
          <w:pgSz w:w="11900" w:h="16838" w:orient="portrait"/>
          <w:cols w:equalWidth="0" w:num="3">
            <w:col w:w="4440" w:space="720"/>
            <w:col w:w="2620" w:space="720"/>
            <w:col w:w="2720"/>
          </w:cols>
          <w:pgMar w:left="320" w:top="1390" w:right="359" w:bottom="1440" w:gutter="0" w:footer="0" w:header="0"/>
          <w:type w:val="continuous"/>
        </w:sectPr>
      </w:pPr>
    </w:p>
    <w:p>
      <w:pPr>
        <w:jc w:val="center"/>
        <w:ind w:right="40"/>
        <w:spacing w:after="0"/>
        <w:rPr>
          <w:sz w:val="20"/>
          <w:szCs w:val="20"/>
          <w:color w:val="auto"/>
        </w:rPr>
      </w:pPr>
      <w:r>
        <w:rPr>
          <w:rFonts w:ascii="Arial" w:cs="Arial" w:eastAsia="Arial" w:hAnsi="Arial"/>
          <w:sz w:val="18"/>
          <w:szCs w:val="18"/>
          <w:color w:val="auto"/>
        </w:rPr>
        <w:t>(State or other jurisdiction</w:t>
      </w:r>
    </w:p>
    <w:p>
      <w:pPr>
        <w:jc w:val="center"/>
        <w:ind w:right="40"/>
        <w:spacing w:after="0"/>
        <w:rPr>
          <w:sz w:val="20"/>
          <w:szCs w:val="20"/>
          <w:color w:val="auto"/>
        </w:rPr>
      </w:pPr>
      <w:r>
        <w:rPr>
          <w:rFonts w:ascii="Arial" w:cs="Arial" w:eastAsia="Arial" w:hAnsi="Arial"/>
          <w:sz w:val="16"/>
          <w:szCs w:val="16"/>
          <w:color w:val="auto"/>
        </w:rPr>
        <w:t>of incorporation or organization)</w:t>
      </w:r>
    </w:p>
    <w:p>
      <w:pPr>
        <w:spacing w:after="0" w:line="20" w:lineRule="exact"/>
        <w:rPr>
          <w:sz w:val="24"/>
          <w:szCs w:val="24"/>
          <w:color w:val="auto"/>
        </w:rPr>
      </w:pPr>
      <w:r>
        <w:rPr>
          <w:sz w:val="24"/>
          <w:szCs w:val="24"/>
          <w:color w:val="auto"/>
        </w:rPr>
        <w:br w:type="column"/>
      </w:r>
    </w:p>
    <w:p>
      <w:pPr>
        <w:jc w:val="center"/>
        <w:ind w:right="1260"/>
        <w:spacing w:after="0"/>
        <w:rPr>
          <w:sz w:val="20"/>
          <w:szCs w:val="20"/>
          <w:color w:val="auto"/>
        </w:rPr>
      </w:pPr>
      <w:r>
        <w:rPr>
          <w:rFonts w:ascii="Arial" w:cs="Arial" w:eastAsia="Arial" w:hAnsi="Arial"/>
          <w:sz w:val="16"/>
          <w:szCs w:val="16"/>
          <w:color w:val="auto"/>
        </w:rPr>
        <w:t>(Commission File</w:t>
      </w:r>
    </w:p>
    <w:p>
      <w:pPr>
        <w:spacing w:after="0" w:line="8" w:lineRule="exact"/>
        <w:rPr>
          <w:sz w:val="24"/>
          <w:szCs w:val="24"/>
          <w:color w:val="auto"/>
        </w:rPr>
      </w:pPr>
    </w:p>
    <w:p>
      <w:pPr>
        <w:jc w:val="center"/>
        <w:ind w:right="1260"/>
        <w:spacing w:after="0"/>
        <w:rPr>
          <w:sz w:val="20"/>
          <w:szCs w:val="20"/>
          <w:color w:val="auto"/>
        </w:rPr>
      </w:pPr>
      <w:r>
        <w:rPr>
          <w:rFonts w:ascii="Arial" w:cs="Arial" w:eastAsia="Arial" w:hAnsi="Arial"/>
          <w:sz w:val="18"/>
          <w:szCs w:val="18"/>
          <w:color w:val="auto"/>
        </w:rPr>
        <w:t>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7"/>
          <w:szCs w:val="17"/>
          <w:color w:val="auto"/>
        </w:rPr>
        <w:t>(I.R.S. Employer</w:t>
      </w:r>
    </w:p>
    <w:p>
      <w:pPr>
        <w:spacing w:after="0"/>
        <w:rPr>
          <w:sz w:val="20"/>
          <w:szCs w:val="20"/>
          <w:color w:val="auto"/>
        </w:rPr>
      </w:pPr>
      <w:r>
        <w:rPr>
          <w:rFonts w:ascii="Arial" w:cs="Arial" w:eastAsia="Arial" w:hAnsi="Arial"/>
          <w:sz w:val="17"/>
          <w:szCs w:val="17"/>
          <w:color w:val="auto"/>
        </w:rPr>
        <w:t>Identification No.)</w:t>
      </w:r>
    </w:p>
    <w:p>
      <w:pPr>
        <w:spacing w:after="0" w:line="153" w:lineRule="exact"/>
        <w:rPr>
          <w:sz w:val="24"/>
          <w:szCs w:val="24"/>
          <w:color w:val="auto"/>
        </w:rPr>
      </w:pPr>
    </w:p>
    <w:p>
      <w:pPr>
        <w:sectPr>
          <w:pgSz w:w="11900" w:h="16838" w:orient="portrait"/>
          <w:cols w:equalWidth="0" w:num="3">
            <w:col w:w="4160" w:space="720"/>
            <w:col w:w="2560" w:space="720"/>
            <w:col w:w="3060"/>
          </w:cols>
          <w:pgMar w:left="320" w:top="1390" w:right="359" w:bottom="1440" w:gutter="0" w:footer="0" w:header="0"/>
          <w:type w:val="continuous"/>
        </w:sectPr>
      </w:pPr>
    </w:p>
    <w:p>
      <w:pPr>
        <w:ind w:left="4640"/>
        <w:spacing w:after="0"/>
        <w:rPr>
          <w:sz w:val="20"/>
          <w:szCs w:val="20"/>
          <w:color w:val="auto"/>
        </w:rPr>
      </w:pPr>
      <w:r>
        <w:rPr>
          <w:rFonts w:ascii="Arial" w:cs="Arial" w:eastAsia="Arial" w:hAnsi="Arial"/>
          <w:sz w:val="22"/>
          <w:szCs w:val="22"/>
          <w:b w:val="1"/>
          <w:bCs w:val="1"/>
          <w:color w:val="auto"/>
        </w:rPr>
        <w:t>Three Allen Center</w:t>
      </w:r>
    </w:p>
    <w:p>
      <w:pPr>
        <w:spacing w:after="0" w:line="139" w:lineRule="exact"/>
        <w:rPr>
          <w:sz w:val="24"/>
          <w:szCs w:val="24"/>
          <w:color w:val="auto"/>
        </w:rPr>
      </w:pPr>
    </w:p>
    <w:p>
      <w:pPr>
        <w:ind w:left="4340"/>
        <w:spacing w:after="0"/>
        <w:rPr>
          <w:sz w:val="20"/>
          <w:szCs w:val="20"/>
          <w:color w:val="auto"/>
        </w:rPr>
      </w:pPr>
      <w:r>
        <w:rPr>
          <w:rFonts w:ascii="Arial" w:cs="Arial" w:eastAsia="Arial" w:hAnsi="Arial"/>
          <w:sz w:val="19"/>
          <w:szCs w:val="19"/>
          <w:b w:val="1"/>
          <w:bCs w:val="1"/>
          <w:color w:val="auto"/>
        </w:rPr>
        <w:t>333 Clay Street, Suite 4980</w:t>
      </w:r>
    </w:p>
    <w:p>
      <w:pPr>
        <w:sectPr>
          <w:pgSz w:w="11900" w:h="16838" w:orient="portrait"/>
          <w:cols w:equalWidth="0" w:num="1">
            <w:col w:w="11220"/>
          </w:cols>
          <w:pgMar w:left="320" w:top="1390" w:right="359" w:bottom="1440" w:gutter="0" w:footer="0" w:header="0"/>
          <w:type w:val="continuous"/>
        </w:sectPr>
      </w:pPr>
    </w:p>
    <w:p>
      <w:pPr>
        <w:spacing w:after="0" w:line="160" w:lineRule="exact"/>
        <w:rPr>
          <w:sz w:val="24"/>
          <w:szCs w:val="24"/>
          <w:color w:val="auto"/>
        </w:rPr>
      </w:pPr>
    </w:p>
    <w:p>
      <w:pPr>
        <w:ind w:left="4700"/>
        <w:spacing w:after="0"/>
        <w:rPr>
          <w:sz w:val="20"/>
          <w:szCs w:val="20"/>
          <w:color w:val="auto"/>
        </w:rPr>
      </w:pPr>
      <w:r>
        <w:rPr>
          <w:rFonts w:ascii="Arial" w:cs="Arial" w:eastAsia="Arial" w:hAnsi="Arial"/>
          <w:sz w:val="18"/>
          <w:szCs w:val="18"/>
          <w:b w:val="1"/>
          <w:bCs w:val="1"/>
          <w:color w:val="auto"/>
        </w:rPr>
        <w:t>Houston, Texas</w:t>
      </w:r>
    </w:p>
    <w:p>
      <w:pPr>
        <w:spacing w:after="0" w:line="20" w:lineRule="exact"/>
        <w:rPr>
          <w:sz w:val="24"/>
          <w:szCs w:val="24"/>
          <w:color w:val="auto"/>
        </w:rPr>
      </w:pPr>
      <w:r>
        <w:rPr>
          <w:sz w:val="24"/>
          <w:szCs w:val="24"/>
          <w:color w:val="auto"/>
        </w:rPr>
        <w:br w:type="column"/>
      </w:r>
    </w:p>
    <w:p>
      <w:pPr>
        <w:spacing w:after="0" w:line="140"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77002</w:t>
      </w:r>
    </w:p>
    <w:p>
      <w:pPr>
        <w:spacing w:after="0" w:line="65" w:lineRule="exact"/>
        <w:rPr>
          <w:sz w:val="24"/>
          <w:szCs w:val="24"/>
          <w:color w:val="auto"/>
        </w:rPr>
      </w:pPr>
    </w:p>
    <w:p>
      <w:pPr>
        <w:sectPr>
          <w:pgSz w:w="11900" w:h="16838" w:orient="portrait"/>
          <w:cols w:equalWidth="0" w:num="2">
            <w:col w:w="6080" w:space="360"/>
            <w:col w:w="4780"/>
          </w:cols>
          <w:pgMar w:left="320" w:top="1390" w:right="35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(Address and zip code of principal executive offices)</w:t>
      </w:r>
    </w:p>
    <w:p>
      <w:pPr>
        <w:sectPr>
          <w:pgSz w:w="11900" w:h="16838" w:orient="portrait"/>
          <w:cols w:equalWidth="0" w:num="1">
            <w:col w:w="11220"/>
          </w:cols>
          <w:pgMar w:left="320" w:top="1390" w:right="359" w:bottom="1440" w:gutter="0" w:footer="0" w:header="0"/>
          <w:type w:val="continuous"/>
        </w:sectPr>
      </w:pPr>
    </w:p>
    <w:p>
      <w:pPr>
        <w:spacing w:after="0" w:line="36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8"/>
          <w:szCs w:val="18"/>
          <w:color w:val="auto"/>
        </w:rPr>
        <w:t>(713) 510-2400</w:t>
      </w:r>
    </w:p>
    <w:p>
      <w:pPr>
        <w:spacing w:after="0" w:line="200" w:lineRule="exact"/>
        <w:rPr>
          <w:sz w:val="24"/>
          <w:szCs w:val="24"/>
          <w:color w:val="auto"/>
        </w:rPr>
      </w:pPr>
    </w:p>
    <w:p>
      <w:pPr>
        <w:spacing w:after="0" w:line="299" w:lineRule="exact"/>
        <w:rPr>
          <w:sz w:val="24"/>
          <w:szCs w:val="24"/>
          <w:color w:val="auto"/>
        </w:rPr>
      </w:pPr>
    </w:p>
    <w:p>
      <w:pPr>
        <w:ind w:right="6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right="2960" w:firstLine="8"/>
        <w:spacing w:after="0" w:line="415" w:lineRule="auto"/>
        <w:tabs>
          <w:tab w:leader="none" w:pos="207"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24"/>
        </w:trPr>
        <w:tc>
          <w:tcPr>
            <w:tcW w:w="3760" w:type="dxa"/>
            <w:vAlign w:val="bottom"/>
            <w:tcBorders>
              <w:top w:val="single" w:sz="8" w:color="00000A"/>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62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1"/>
              </w:rPr>
              <w:t>Trading Symbol(s)</w:t>
            </w:r>
          </w:p>
        </w:tc>
        <w:tc>
          <w:tcPr>
            <w:tcW w:w="484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0"/>
              </w:rPr>
              <w:t>Name of Each Exchange on Which Registered</w:t>
            </w:r>
          </w:p>
        </w:tc>
      </w:tr>
      <w:tr>
        <w:trPr>
          <w:trHeight w:val="107"/>
        </w:trPr>
        <w:tc>
          <w:tcPr>
            <w:tcW w:w="3760" w:type="dxa"/>
            <w:vAlign w:val="bottom"/>
            <w:tcBorders>
              <w:left w:val="single" w:sz="8" w:color="00000A"/>
              <w:bottom w:val="single" w:sz="8" w:color="00000A"/>
              <w:right w:val="single" w:sz="8" w:color="00000A"/>
            </w:tcBorders>
          </w:tcPr>
          <w:p>
            <w:pPr>
              <w:spacing w:after="0"/>
              <w:rPr>
                <w:sz w:val="9"/>
                <w:szCs w:val="9"/>
                <w:color w:val="auto"/>
              </w:rPr>
            </w:pPr>
          </w:p>
        </w:tc>
        <w:tc>
          <w:tcPr>
            <w:tcW w:w="2620" w:type="dxa"/>
            <w:vAlign w:val="bottom"/>
            <w:tcBorders>
              <w:bottom w:val="single" w:sz="8" w:color="00000A"/>
              <w:right w:val="single" w:sz="8" w:color="00000A"/>
            </w:tcBorders>
          </w:tcPr>
          <w:p>
            <w:pPr>
              <w:spacing w:after="0"/>
              <w:rPr>
                <w:sz w:val="9"/>
                <w:szCs w:val="9"/>
                <w:color w:val="auto"/>
              </w:rPr>
            </w:pPr>
          </w:p>
        </w:tc>
        <w:tc>
          <w:tcPr>
            <w:tcW w:w="4840" w:type="dxa"/>
            <w:vAlign w:val="bottom"/>
            <w:tcBorders>
              <w:bottom w:val="single" w:sz="8" w:color="00000A"/>
              <w:right w:val="single" w:sz="8" w:color="00000A"/>
            </w:tcBorders>
          </w:tcPr>
          <w:p>
            <w:pPr>
              <w:spacing w:after="0"/>
              <w:rPr>
                <w:sz w:val="9"/>
                <w:szCs w:val="9"/>
                <w:color w:val="auto"/>
              </w:rPr>
            </w:pPr>
          </w:p>
        </w:tc>
      </w:tr>
      <w:tr>
        <w:trPr>
          <w:trHeight w:val="224"/>
        </w:trPr>
        <w:tc>
          <w:tcPr>
            <w:tcW w:w="376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88"/>
              </w:rPr>
              <w:t>Common Shares, no par value</w:t>
            </w:r>
          </w:p>
        </w:tc>
        <w:tc>
          <w:tcPr>
            <w:tcW w:w="262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7"/>
              </w:rPr>
              <w:t>CVEO</w:t>
            </w:r>
          </w:p>
        </w:tc>
        <w:tc>
          <w:tcPr>
            <w:tcW w:w="48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107"/>
        </w:trPr>
        <w:tc>
          <w:tcPr>
            <w:tcW w:w="3760" w:type="dxa"/>
            <w:vAlign w:val="bottom"/>
            <w:tcBorders>
              <w:left w:val="single" w:sz="8" w:color="00000A"/>
              <w:bottom w:val="single" w:sz="8" w:color="00000A"/>
              <w:right w:val="single" w:sz="8" w:color="00000A"/>
            </w:tcBorders>
          </w:tcPr>
          <w:p>
            <w:pPr>
              <w:spacing w:after="0"/>
              <w:rPr>
                <w:sz w:val="9"/>
                <w:szCs w:val="9"/>
                <w:color w:val="auto"/>
              </w:rPr>
            </w:pPr>
          </w:p>
        </w:tc>
        <w:tc>
          <w:tcPr>
            <w:tcW w:w="2620" w:type="dxa"/>
            <w:vAlign w:val="bottom"/>
            <w:tcBorders>
              <w:bottom w:val="single" w:sz="8" w:color="00000A"/>
              <w:right w:val="single" w:sz="8" w:color="00000A"/>
            </w:tcBorders>
          </w:tcPr>
          <w:p>
            <w:pPr>
              <w:spacing w:after="0"/>
              <w:rPr>
                <w:sz w:val="9"/>
                <w:szCs w:val="9"/>
                <w:color w:val="auto"/>
              </w:rPr>
            </w:pPr>
          </w:p>
        </w:tc>
        <w:tc>
          <w:tcPr>
            <w:tcW w:w="4840" w:type="dxa"/>
            <w:vAlign w:val="bottom"/>
            <w:tcBorders>
              <w:bottom w:val="single" w:sz="8" w:color="00000A"/>
              <w:right w:val="single" w:sz="8" w:color="00000A"/>
            </w:tcBorders>
          </w:tcPr>
          <w:p>
            <w:pPr>
              <w:spacing w:after="0"/>
              <w:rPr>
                <w:sz w:val="9"/>
                <w:szCs w:val="9"/>
                <w:color w:val="auto"/>
              </w:rPr>
            </w:pPr>
          </w:p>
        </w:tc>
      </w:tr>
    </w:tbl>
    <w:p>
      <w:pPr>
        <w:spacing w:after="0" w:line="202"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781685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90" w:right="359" w:bottom="1440" w:gutter="0" w:footer="0" w:header="0"/>
          <w:type w:val="continuous"/>
        </w:sectPr>
      </w:pPr>
    </w:p>
    <w:bookmarkStart w:id="1" w:name="page2"/>
    <w:bookmarkEnd w:id="1"/>
    <w:p>
      <w:pPr>
        <w:spacing w:after="0" w:line="44"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0"/>
          <w:szCs w:val="20"/>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32" w:lineRule="exact"/>
        <w:rPr>
          <w:sz w:val="20"/>
          <w:szCs w:val="20"/>
          <w:color w:val="auto"/>
        </w:rPr>
      </w:pPr>
    </w:p>
    <w:p>
      <w:pPr>
        <w:ind w:right="280"/>
        <w:spacing w:after="0" w:line="250"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94"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On July 19, 2021, the board of directors (the “Board”) of Civeo Corporation (the “Company”) increased the size of the Board to nine members and appointed Jay Grewal and Michael Montelongo as directors, effective as of August 15, 2021. Ms. Grewal has been appointed as a Class III Director with an initial term expiring at the 2023 annual general meeting of shareholders and will serve on the Board’s Audit Committee and Finance and Investment Committee. Mr. Montelongo has been appointed as a Class I Director with an initial term expiring at the 2024 annual general meeting of shareholders and will serve on the Board’s Compensation Committee and Nominating and Corporate Governance Committee. Prior to August 15, 2021, Ms. Grewal and Mr. Montelongo will serve as observers at meetings of the Board.</w:t>
      </w:r>
    </w:p>
    <w:p>
      <w:pPr>
        <w:spacing w:after="0" w:line="202"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In connection with their appointment, the Board approved Civeo entering into an indemnification agreement with each of Ms. Grewal and Mr. Montelongo. The form of indemnification agreement approved is in the same form as the previously disclosed indemnification agreement entered into with the other members of the Board.</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Consistent with Civeo’s standard arrangement for non-employee directors, each of Ms. Grewal and Mr. Montelongo will receive an annual retainer of</w:t>
      </w:r>
    </w:p>
    <w:p>
      <w:pPr>
        <w:spacing w:after="0" w:line="10" w:lineRule="exact"/>
        <w:rPr>
          <w:sz w:val="20"/>
          <w:szCs w:val="20"/>
          <w:color w:val="auto"/>
        </w:rPr>
      </w:pPr>
    </w:p>
    <w:p>
      <w:pPr>
        <w:jc w:val="both"/>
        <w:ind w:right="60"/>
        <w:spacing w:after="0" w:line="228" w:lineRule="auto"/>
        <w:rPr>
          <w:sz w:val="20"/>
          <w:szCs w:val="20"/>
          <w:color w:val="auto"/>
        </w:rPr>
      </w:pPr>
      <w:r>
        <w:rPr>
          <w:rFonts w:ascii="Arial" w:cs="Arial" w:eastAsia="Arial" w:hAnsi="Arial"/>
          <w:sz w:val="18"/>
          <w:szCs w:val="18"/>
          <w:color w:val="auto"/>
        </w:rPr>
        <w:t>$65,000 for their service on the Board. Ms. Grewal will also receive an annual retainer of $18,000 for her service on the Audit Committee and $13,000 for her service on the Finance and Investment Committee, and Mr. Montelongo will receive an annual retainer of $13,000 for his service on the Compensation Committee and $13,000 for his service on the Nominating and Corporate Governance Committee.</w:t>
      </w:r>
    </w:p>
    <w:p>
      <w:pPr>
        <w:spacing w:after="0" w:line="204"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In addition, upon their appointment, the Board agreed to grant each of Ms. Grewal and Mr. Montelongo restricted share awards valued at $125,000 based on the closing share price of the Civeo’s common shares on August 15, 2021, which shall be the grant date.</w:t>
      </w:r>
    </w:p>
    <w:p>
      <w:pPr>
        <w:spacing w:after="0" w:line="197" w:lineRule="exact"/>
        <w:rPr>
          <w:sz w:val="20"/>
          <w:szCs w:val="20"/>
          <w:color w:val="auto"/>
        </w:rPr>
      </w:pPr>
    </w:p>
    <w:p>
      <w:pPr>
        <w:jc w:val="both"/>
        <w:ind w:right="160"/>
        <w:spacing w:after="0" w:line="235" w:lineRule="auto"/>
        <w:rPr>
          <w:sz w:val="20"/>
          <w:szCs w:val="20"/>
          <w:color w:val="auto"/>
        </w:rPr>
      </w:pPr>
      <w:r>
        <w:rPr>
          <w:rFonts w:ascii="Arial" w:cs="Arial" w:eastAsia="Arial" w:hAnsi="Arial"/>
          <w:sz w:val="18"/>
          <w:szCs w:val="18"/>
          <w:color w:val="auto"/>
        </w:rPr>
        <w:t>There are no material arrangements or understandings between either Ms. Grewal or Mr. Montelongo and any other person pursuant to which Mr. Grewal and Mr. Montelongo, respectively, was appointed to serve as a director that are not described above. Civeo is not aware of any transaction in which either Ms. Grewal or Mr. Montelongo has an interest requiring disclosure under Item 404(a)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1873250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SIGNATURES</w:t>
      </w:r>
    </w:p>
    <w:p>
      <w:pPr>
        <w:spacing w:after="0" w:line="21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Dated: July 21, 2021</w:t>
      </w:r>
    </w:p>
    <w:p>
      <w:pPr>
        <w:spacing w:after="0" w:line="221"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auto"/>
        </w:rPr>
        <w:t>CIVEO CORPORATION</w:t>
      </w:r>
    </w:p>
    <w:p>
      <w:pPr>
        <w:spacing w:after="0" w:line="200" w:lineRule="exact"/>
        <w:rPr>
          <w:sz w:val="20"/>
          <w:szCs w:val="20"/>
          <w:color w:val="auto"/>
        </w:rPr>
      </w:pPr>
    </w:p>
    <w:p>
      <w:pPr>
        <w:spacing w:after="0" w:line="299"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 xml:space="preserve">By: /s/ Carolyn J. Stone </w:t>
      </w:r>
      <w:r>
        <w:rPr>
          <w:rFonts w:ascii="Arial" w:cs="Arial" w:eastAsia="Arial" w:hAnsi="Arial"/>
          <w:sz w:val="18"/>
          <w:szCs w:val="18"/>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1153160</wp:posOffset>
            </wp:positionH>
            <wp:positionV relativeFrom="paragraph">
              <wp:posOffset>-10160</wp:posOffset>
            </wp:positionV>
            <wp:extent cx="9518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51865" cy="8255"/>
                    </a:xfrm>
                    <a:prstGeom prst="rect">
                      <a:avLst/>
                    </a:prstGeom>
                    <a:noFill/>
                  </pic:spPr>
                </pic:pic>
              </a:graphicData>
            </a:graphic>
          </wp:anchor>
        </w:drawing>
      </w:r>
    </w:p>
    <w:p>
      <w:pPr>
        <w:spacing w:after="0" w:line="3" w:lineRule="exact"/>
        <w:rPr>
          <w:sz w:val="20"/>
          <w:szCs w:val="20"/>
          <w:color w:val="auto"/>
        </w:rPr>
      </w:pPr>
    </w:p>
    <w:p>
      <w:pPr>
        <w:ind w:left="1560"/>
        <w:spacing w:after="0"/>
        <w:tabs>
          <w:tab w:leader="none" w:pos="22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Carolyn J. Stone</w:t>
      </w:r>
    </w:p>
    <w:p>
      <w:pPr>
        <w:spacing w:after="0" w:line="9" w:lineRule="exact"/>
        <w:rPr>
          <w:sz w:val="20"/>
          <w:szCs w:val="20"/>
          <w:color w:val="auto"/>
        </w:rPr>
      </w:pPr>
    </w:p>
    <w:p>
      <w:pPr>
        <w:ind w:left="3900"/>
        <w:spacing w:after="0"/>
        <w:tabs>
          <w:tab w:leader="none" w:pos="44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 Chief Financial Officer and Treasurer</w:t>
      </w:r>
    </w:p>
    <w:sectPr>
      <w:pgSz w:w="11900" w:h="16838" w:orient="portrait"/>
      <w:cols w:equalWidth="0" w:num="1">
        <w:col w:w="11240"/>
      </w:cols>
      <w:pgMar w:left="320" w:top="13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2021-07-21T08:08:00Z</dcterms:created>
  <dcterms:modified xsi:type="dcterms:W3CDTF">2021-07-21T08:08:00Z</dcterms:modified>
</cp:coreProperties>
</file>