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3"/>
          <w:szCs w:val="23"/>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SECURITIES AND EXCHANGE COMMISSION</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Washington, D.C. 20549</w:t>
      </w:r>
    </w:p>
    <w:p>
      <w:pPr>
        <w:spacing w:after="0" w:line="187" w:lineRule="exact"/>
        <w:rPr>
          <w:sz w:val="24"/>
          <w:szCs w:val="24"/>
          <w:color w:val="auto"/>
        </w:rPr>
      </w:pPr>
    </w:p>
    <w:p>
      <w:pPr>
        <w:ind w:left="4880"/>
        <w:spacing w:after="0"/>
        <w:rPr>
          <w:sz w:val="20"/>
          <w:szCs w:val="20"/>
          <w:color w:val="auto"/>
        </w:rPr>
      </w:pPr>
      <w:r>
        <w:rPr>
          <w:rFonts w:ascii="Arial" w:cs="Arial" w:eastAsia="Arial" w:hAnsi="Arial"/>
          <w:sz w:val="17"/>
          <w:szCs w:val="17"/>
          <w:color w:val="auto"/>
        </w:rPr>
        <w:t>__________________</w:t>
      </w:r>
    </w:p>
    <w:p>
      <w:pPr>
        <w:spacing w:after="0" w:line="188"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FORM 8-K</w:t>
      </w: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CURRENT REPORT PURSUANT TO SECTION 13 OR 15(d)</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OF THE SECURITIES EXCHANGE ACT OF 1934</w:t>
      </w:r>
    </w:p>
    <w:p>
      <w:pPr>
        <w:spacing w:after="0" w:line="19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DATE OF REPORT (DATE OF EARLIEST EVENT REPORTED): October 5, 2023</w:t>
      </w:r>
    </w:p>
    <w:p>
      <w:pPr>
        <w:spacing w:after="0" w:line="35" w:lineRule="exact"/>
        <w:rPr>
          <w:sz w:val="24"/>
          <w:szCs w:val="24"/>
          <w:color w:val="auto"/>
        </w:rPr>
      </w:pPr>
    </w:p>
    <w:p>
      <w:pPr>
        <w:ind w:left="4800"/>
        <w:spacing w:after="0"/>
        <w:rPr>
          <w:sz w:val="20"/>
          <w:szCs w:val="20"/>
          <w:color w:val="auto"/>
        </w:rPr>
      </w:pPr>
      <w:r>
        <w:rPr>
          <w:rFonts w:ascii="Arial" w:cs="Arial" w:eastAsia="Arial" w:hAnsi="Arial"/>
          <w:sz w:val="17"/>
          <w:szCs w:val="17"/>
          <w:u w:val="single" w:color="auto"/>
          <w:color w:val="auto"/>
        </w:rPr>
        <w:t>____________________</w:t>
      </w:r>
    </w:p>
    <w:p>
      <w:pPr>
        <w:spacing w:after="0" w:line="163"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Civeo Corporation</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260"/>
          </w:cols>
          <w:pgMar w:left="300" w:top="1121" w:right="339" w:bottom="1440" w:gutter="0" w:footer="0" w:header="0"/>
        </w:sectPr>
      </w:pPr>
    </w:p>
    <w:p>
      <w:pPr>
        <w:spacing w:after="0" w:line="217" w:lineRule="exact"/>
        <w:rPr>
          <w:sz w:val="24"/>
          <w:szCs w:val="24"/>
          <w:color w:val="auto"/>
        </w:rPr>
      </w:pPr>
    </w:p>
    <w:p>
      <w:pPr>
        <w:ind w:left="880"/>
        <w:spacing w:after="0"/>
        <w:rPr>
          <w:sz w:val="20"/>
          <w:szCs w:val="20"/>
          <w:color w:val="auto"/>
        </w:rPr>
      </w:pPr>
      <w:r>
        <w:rPr>
          <w:rFonts w:ascii="Arial" w:cs="Arial" w:eastAsia="Arial" w:hAnsi="Arial"/>
          <w:sz w:val="15"/>
          <w:szCs w:val="15"/>
          <w:b w:val="1"/>
          <w:bCs w:val="1"/>
          <w:color w:val="auto"/>
        </w:rPr>
        <w:t>British Columbia, Canada</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1-36246</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98-1253716</w:t>
      </w:r>
    </w:p>
    <w:p>
      <w:pPr>
        <w:spacing w:after="0" w:line="39" w:lineRule="exact"/>
        <w:rPr>
          <w:sz w:val="24"/>
          <w:szCs w:val="24"/>
          <w:color w:val="auto"/>
        </w:rPr>
      </w:pPr>
    </w:p>
    <w:p>
      <w:pPr>
        <w:sectPr>
          <w:pgSz w:w="11900" w:h="16838" w:orient="portrait"/>
          <w:cols w:equalWidth="0" w:num="3">
            <w:col w:w="4520" w:space="720"/>
            <w:col w:w="2700" w:space="720"/>
            <w:col w:w="2600"/>
          </w:cols>
          <w:pgMar w:left="300" w:top="1121" w:right="339" w:bottom="1440" w:gutter="0" w:footer="0" w:header="0"/>
          <w:type w:val="continuous"/>
        </w:sectPr>
      </w:pPr>
    </w:p>
    <w:p>
      <w:pPr>
        <w:jc w:val="center"/>
        <w:ind w:right="180"/>
        <w:spacing w:after="0"/>
        <w:rPr>
          <w:sz w:val="20"/>
          <w:szCs w:val="20"/>
          <w:color w:val="auto"/>
        </w:rPr>
      </w:pPr>
      <w:r>
        <w:rPr>
          <w:rFonts w:ascii="Arial" w:cs="Arial" w:eastAsia="Arial" w:hAnsi="Arial"/>
          <w:sz w:val="14"/>
          <w:szCs w:val="14"/>
          <w:color w:val="auto"/>
        </w:rPr>
        <w:t>(State or other jurisdiction</w:t>
      </w:r>
    </w:p>
    <w:p>
      <w:pPr>
        <w:jc w:val="center"/>
        <w:ind w:right="180"/>
        <w:spacing w:after="0"/>
        <w:rPr>
          <w:sz w:val="20"/>
          <w:szCs w:val="20"/>
          <w:color w:val="auto"/>
        </w:rPr>
      </w:pPr>
      <w:r>
        <w:rPr>
          <w:rFonts w:ascii="Arial" w:cs="Arial" w:eastAsia="Arial" w:hAnsi="Arial"/>
          <w:sz w:val="13"/>
          <w:szCs w:val="13"/>
          <w:color w:val="auto"/>
        </w:rPr>
        <w:t>of incorporation or organization)</w:t>
      </w:r>
    </w:p>
    <w:p>
      <w:pPr>
        <w:spacing w:after="0" w:line="20" w:lineRule="exact"/>
        <w:rPr>
          <w:sz w:val="24"/>
          <w:szCs w:val="24"/>
          <w:color w:val="auto"/>
        </w:rPr>
      </w:pPr>
      <w:r>
        <w:rPr>
          <w:sz w:val="24"/>
          <w:szCs w:val="24"/>
          <w:color w:val="auto"/>
        </w:rPr>
        <w:br w:type="column"/>
      </w:r>
    </w:p>
    <w:p>
      <w:pPr>
        <w:jc w:val="center"/>
        <w:ind w:right="1560"/>
        <w:spacing w:after="0"/>
        <w:rPr>
          <w:sz w:val="20"/>
          <w:szCs w:val="20"/>
          <w:color w:val="auto"/>
        </w:rPr>
      </w:pPr>
      <w:r>
        <w:rPr>
          <w:rFonts w:ascii="Arial" w:cs="Arial" w:eastAsia="Arial" w:hAnsi="Arial"/>
          <w:sz w:val="13"/>
          <w:szCs w:val="13"/>
          <w:color w:val="auto"/>
        </w:rPr>
        <w:t>(Commission File</w:t>
      </w:r>
    </w:p>
    <w:p>
      <w:pPr>
        <w:jc w:val="center"/>
        <w:ind w:right="1560"/>
        <w:spacing w:after="0"/>
        <w:rPr>
          <w:sz w:val="20"/>
          <w:szCs w:val="20"/>
          <w:color w:val="auto"/>
        </w:rPr>
      </w:pPr>
      <w:r>
        <w:rPr>
          <w:rFonts w:ascii="Arial" w:cs="Arial" w:eastAsia="Arial" w:hAnsi="Arial"/>
          <w:sz w:val="14"/>
          <w:szCs w:val="14"/>
          <w:color w:val="auto"/>
        </w:rPr>
        <w:t>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3"/>
          <w:szCs w:val="13"/>
          <w:color w:val="auto"/>
        </w:rPr>
        <w:t>(I.R.S. Employer</w:t>
      </w:r>
    </w:p>
    <w:p>
      <w:pPr>
        <w:spacing w:after="0"/>
        <w:rPr>
          <w:sz w:val="20"/>
          <w:szCs w:val="20"/>
          <w:color w:val="auto"/>
        </w:rPr>
      </w:pPr>
      <w:r>
        <w:rPr>
          <w:rFonts w:ascii="Arial" w:cs="Arial" w:eastAsia="Arial" w:hAnsi="Arial"/>
          <w:sz w:val="13"/>
          <w:szCs w:val="13"/>
          <w:color w:val="auto"/>
        </w:rPr>
        <w:t>Identification No.)</w:t>
      </w:r>
    </w:p>
    <w:p>
      <w:pPr>
        <w:spacing w:after="0" w:line="136" w:lineRule="exact"/>
        <w:rPr>
          <w:sz w:val="24"/>
          <w:szCs w:val="24"/>
          <w:color w:val="auto"/>
        </w:rPr>
      </w:pPr>
    </w:p>
    <w:p>
      <w:pPr>
        <w:sectPr>
          <w:pgSz w:w="11900" w:h="16838" w:orient="portrait"/>
          <w:cols w:equalWidth="0" w:num="3">
            <w:col w:w="4300" w:space="720"/>
            <w:col w:w="2580" w:space="720"/>
            <w:col w:w="2940"/>
          </w:cols>
          <w:pgMar w:left="300" w:top="1121" w:right="339" w:bottom="1440" w:gutter="0" w:footer="0" w:header="0"/>
          <w:type w:val="continuous"/>
        </w:sectPr>
      </w:pPr>
    </w:p>
    <w:p>
      <w:pPr>
        <w:ind w:left="4820"/>
        <w:spacing w:after="0"/>
        <w:rPr>
          <w:sz w:val="20"/>
          <w:szCs w:val="20"/>
          <w:color w:val="auto"/>
        </w:rPr>
      </w:pPr>
      <w:r>
        <w:rPr>
          <w:rFonts w:ascii="Arial" w:cs="Arial" w:eastAsia="Arial" w:hAnsi="Arial"/>
          <w:sz w:val="17"/>
          <w:szCs w:val="17"/>
          <w:b w:val="1"/>
          <w:bCs w:val="1"/>
          <w:color w:val="auto"/>
        </w:rPr>
        <w:t>Three Allen Center</w:t>
      </w:r>
    </w:p>
    <w:p>
      <w:pPr>
        <w:spacing w:after="0" w:line="102" w:lineRule="exact"/>
        <w:rPr>
          <w:sz w:val="24"/>
          <w:szCs w:val="24"/>
          <w:color w:val="auto"/>
        </w:rPr>
      </w:pPr>
    </w:p>
    <w:p>
      <w:pPr>
        <w:ind w:left="4700"/>
        <w:spacing w:after="0"/>
        <w:rPr>
          <w:sz w:val="20"/>
          <w:szCs w:val="20"/>
          <w:color w:val="auto"/>
        </w:rPr>
      </w:pPr>
      <w:r>
        <w:rPr>
          <w:rFonts w:ascii="Arial" w:cs="Arial" w:eastAsia="Arial" w:hAnsi="Arial"/>
          <w:sz w:val="15"/>
          <w:szCs w:val="15"/>
          <w:b w:val="1"/>
          <w:bCs w:val="1"/>
          <w:color w:val="auto"/>
        </w:rPr>
        <w:t>333 Clay Street, Suite 4980</w:t>
      </w:r>
    </w:p>
    <w:p>
      <w:pPr>
        <w:sectPr>
          <w:pgSz w:w="11900" w:h="16838" w:orient="portrait"/>
          <w:cols w:equalWidth="0" w:num="1">
            <w:col w:w="11260"/>
          </w:cols>
          <w:pgMar w:left="300" w:top="1121" w:right="339" w:bottom="1440" w:gutter="0" w:footer="0" w:header="0"/>
          <w:type w:val="continuous"/>
        </w:sectPr>
      </w:pPr>
    </w:p>
    <w:p>
      <w:pPr>
        <w:spacing w:after="0" w:line="135" w:lineRule="exact"/>
        <w:rPr>
          <w:sz w:val="24"/>
          <w:szCs w:val="24"/>
          <w:color w:val="auto"/>
        </w:rPr>
      </w:pPr>
    </w:p>
    <w:p>
      <w:pPr>
        <w:ind w:left="4900"/>
        <w:spacing w:after="0"/>
        <w:rPr>
          <w:sz w:val="20"/>
          <w:szCs w:val="20"/>
          <w:color w:val="auto"/>
        </w:rPr>
      </w:pPr>
      <w:r>
        <w:rPr>
          <w:rFonts w:ascii="Arial" w:cs="Arial" w:eastAsia="Arial" w:hAnsi="Arial"/>
          <w:sz w:val="14"/>
          <w:szCs w:val="14"/>
          <w:b w:val="1"/>
          <w:bCs w:val="1"/>
          <w:color w:val="auto"/>
        </w:rPr>
        <w:t>Houston, Texas</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77002</w:t>
      </w:r>
    </w:p>
    <w:p>
      <w:pPr>
        <w:spacing w:after="0" w:line="50" w:lineRule="exact"/>
        <w:rPr>
          <w:sz w:val="24"/>
          <w:szCs w:val="24"/>
          <w:color w:val="auto"/>
        </w:rPr>
      </w:pPr>
    </w:p>
    <w:p>
      <w:pPr>
        <w:sectPr>
          <w:pgSz w:w="11900" w:h="16838" w:orient="portrait"/>
          <w:cols w:equalWidth="0" w:num="2">
            <w:col w:w="6000" w:space="460"/>
            <w:col w:w="4800"/>
          </w:cols>
          <w:pgMar w:left="300" w:top="1121" w:right="339" w:bottom="1440" w:gutter="0" w:footer="0" w:header="0"/>
          <w:type w:val="continuous"/>
        </w:sectPr>
      </w:pPr>
    </w:p>
    <w:p>
      <w:pPr>
        <w:jc w:val="center"/>
        <w:ind w:right="-19"/>
        <w:spacing w:after="0"/>
        <w:rPr>
          <w:sz w:val="20"/>
          <w:szCs w:val="20"/>
          <w:color w:val="auto"/>
        </w:rPr>
      </w:pPr>
      <w:r>
        <w:rPr>
          <w:rFonts w:ascii="Arial" w:cs="Arial" w:eastAsia="Arial" w:hAnsi="Arial"/>
          <w:sz w:val="13"/>
          <w:szCs w:val="13"/>
          <w:color w:val="auto"/>
        </w:rPr>
        <w:t>(Address and zip code of principal executive offices)</w:t>
      </w:r>
    </w:p>
    <w:p>
      <w:pPr>
        <w:sectPr>
          <w:pgSz w:w="11900" w:h="16838" w:orient="portrait"/>
          <w:cols w:equalWidth="0" w:num="1">
            <w:col w:w="11260"/>
          </w:cols>
          <w:pgMar w:left="300" w:top="1121" w:right="339" w:bottom="1440" w:gutter="0" w:footer="0" w:header="0"/>
          <w:type w:val="continuous"/>
        </w:sectPr>
      </w:pPr>
    </w:p>
    <w:p>
      <w:pPr>
        <w:spacing w:after="0" w:line="27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 xml:space="preserve">Registrant’s telephone number, including area code: </w:t>
      </w:r>
      <w:r>
        <w:rPr>
          <w:rFonts w:ascii="Arial" w:cs="Arial" w:eastAsia="Arial" w:hAnsi="Arial"/>
          <w:sz w:val="14"/>
          <w:szCs w:val="14"/>
          <w:color w:val="auto"/>
        </w:rPr>
        <w:t>(713) 510-2400</w:t>
      </w:r>
    </w:p>
    <w:p>
      <w:pPr>
        <w:spacing w:after="0" w:line="395" w:lineRule="exact"/>
        <w:rPr>
          <w:sz w:val="24"/>
          <w:szCs w:val="24"/>
          <w:color w:val="auto"/>
        </w:rPr>
      </w:pPr>
    </w:p>
    <w:p>
      <w:pPr>
        <w:spacing w:after="0"/>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 (see General Instruction A.2.</w:t>
      </w:r>
    </w:p>
    <w:p>
      <w:pPr>
        <w:spacing w:after="0" w:line="31" w:lineRule="exact"/>
        <w:rPr>
          <w:sz w:val="24"/>
          <w:szCs w:val="24"/>
          <w:color w:val="auto"/>
        </w:rPr>
      </w:pPr>
    </w:p>
    <w:p>
      <w:pPr>
        <w:spacing w:after="0"/>
        <w:rPr>
          <w:sz w:val="20"/>
          <w:szCs w:val="20"/>
          <w:color w:val="auto"/>
        </w:rPr>
      </w:pPr>
      <w:r>
        <w:rPr>
          <w:rFonts w:ascii="Arial" w:cs="Arial" w:eastAsia="Arial" w:hAnsi="Arial"/>
          <w:sz w:val="14"/>
          <w:szCs w:val="14"/>
          <w:color w:val="auto"/>
        </w:rPr>
        <w:t>below):</w:t>
      </w:r>
    </w:p>
    <w:p>
      <w:pPr>
        <w:spacing w:after="0" w:line="189" w:lineRule="exact"/>
        <w:rPr>
          <w:sz w:val="24"/>
          <w:szCs w:val="24"/>
          <w:color w:val="auto"/>
        </w:rPr>
      </w:pPr>
    </w:p>
    <w:p>
      <w:pPr>
        <w:ind w:left="160" w:hanging="155"/>
        <w:spacing w:after="0"/>
        <w:tabs>
          <w:tab w:leader="none" w:pos="1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199" w:lineRule="exact"/>
        <w:rPr>
          <w:rFonts w:ascii="MS PGothic" w:cs="MS PGothic" w:eastAsia="MS PGothic" w:hAnsi="MS PGothic"/>
          <w:sz w:val="14"/>
          <w:szCs w:val="14"/>
          <w:color w:val="auto"/>
        </w:rPr>
      </w:pPr>
    </w:p>
    <w:p>
      <w:pPr>
        <w:ind w:left="160" w:hanging="155"/>
        <w:spacing w:after="0"/>
        <w:tabs>
          <w:tab w:leader="none" w:pos="1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199" w:lineRule="exact"/>
        <w:rPr>
          <w:rFonts w:ascii="MS PGothic" w:cs="MS PGothic" w:eastAsia="MS PGothic" w:hAnsi="MS PGothic"/>
          <w:sz w:val="14"/>
          <w:szCs w:val="14"/>
          <w:color w:val="auto"/>
        </w:rPr>
      </w:pPr>
    </w:p>
    <w:p>
      <w:pPr>
        <w:ind w:left="160" w:hanging="155"/>
        <w:spacing w:after="0"/>
        <w:tabs>
          <w:tab w:leader="none" w:pos="1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199" w:lineRule="exact"/>
        <w:rPr>
          <w:rFonts w:ascii="MS PGothic" w:cs="MS PGothic" w:eastAsia="MS PGothic" w:hAnsi="MS PGothic"/>
          <w:sz w:val="14"/>
          <w:szCs w:val="14"/>
          <w:color w:val="auto"/>
        </w:rPr>
      </w:pPr>
    </w:p>
    <w:p>
      <w:pPr>
        <w:ind w:right="4780" w:firstLine="5"/>
        <w:spacing w:after="0" w:line="419" w:lineRule="auto"/>
        <w:tabs>
          <w:tab w:leader="none" w:pos="163"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171"/>
        </w:trPr>
        <w:tc>
          <w:tcPr>
            <w:tcW w:w="378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w w:val="90"/>
              </w:rPr>
              <w:t>Title of Each Class</w:t>
            </w:r>
          </w:p>
        </w:tc>
        <w:tc>
          <w:tcPr>
            <w:tcW w:w="262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w w:val="94"/>
              </w:rPr>
              <w:t>Trading Symbol(s)</w:t>
            </w:r>
          </w:p>
        </w:tc>
        <w:tc>
          <w:tcPr>
            <w:tcW w:w="486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w w:val="91"/>
              </w:rPr>
              <w:t>Name of Each Exchange on Which Registered</w:t>
            </w:r>
          </w:p>
        </w:tc>
      </w:tr>
      <w:tr>
        <w:trPr>
          <w:trHeight w:val="85"/>
        </w:trPr>
        <w:tc>
          <w:tcPr>
            <w:tcW w:w="3780" w:type="dxa"/>
            <w:vAlign w:val="bottom"/>
            <w:tcBorders>
              <w:left w:val="single" w:sz="8" w:color="00000A"/>
              <w:bottom w:val="single" w:sz="8" w:color="00000A"/>
              <w:right w:val="single" w:sz="8" w:color="00000A"/>
            </w:tcBorders>
          </w:tcPr>
          <w:p>
            <w:pPr>
              <w:spacing w:after="0"/>
              <w:rPr>
                <w:sz w:val="7"/>
                <w:szCs w:val="7"/>
                <w:color w:val="auto"/>
              </w:rPr>
            </w:pPr>
          </w:p>
        </w:tc>
        <w:tc>
          <w:tcPr>
            <w:tcW w:w="2620" w:type="dxa"/>
            <w:vAlign w:val="bottom"/>
            <w:tcBorders>
              <w:bottom w:val="single" w:sz="8" w:color="00000A"/>
              <w:right w:val="single" w:sz="8" w:color="00000A"/>
            </w:tcBorders>
          </w:tcPr>
          <w:p>
            <w:pPr>
              <w:spacing w:after="0"/>
              <w:rPr>
                <w:sz w:val="7"/>
                <w:szCs w:val="7"/>
                <w:color w:val="auto"/>
              </w:rPr>
            </w:pPr>
          </w:p>
        </w:tc>
        <w:tc>
          <w:tcPr>
            <w:tcW w:w="4860" w:type="dxa"/>
            <w:vAlign w:val="bottom"/>
            <w:tcBorders>
              <w:bottom w:val="single" w:sz="8" w:color="00000A"/>
              <w:right w:val="single" w:sz="8" w:color="00000A"/>
            </w:tcBorders>
          </w:tcPr>
          <w:p>
            <w:pPr>
              <w:spacing w:after="0"/>
              <w:rPr>
                <w:sz w:val="7"/>
                <w:szCs w:val="7"/>
                <w:color w:val="auto"/>
              </w:rPr>
            </w:pPr>
          </w:p>
        </w:tc>
      </w:tr>
      <w:tr>
        <w:trPr>
          <w:trHeight w:val="171"/>
        </w:trPr>
        <w:tc>
          <w:tcPr>
            <w:tcW w:w="378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w w:val="89"/>
              </w:rPr>
              <w:t>Common Shares, no par value</w:t>
            </w:r>
          </w:p>
        </w:tc>
        <w:tc>
          <w:tcPr>
            <w:tcW w:w="262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w w:val="95"/>
              </w:rPr>
              <w:t>CVEO</w:t>
            </w:r>
          </w:p>
        </w:tc>
        <w:tc>
          <w:tcPr>
            <w:tcW w:w="486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w w:val="91"/>
              </w:rPr>
              <w:t>New York Stock Exchange</w:t>
            </w:r>
          </w:p>
        </w:tc>
      </w:tr>
      <w:tr>
        <w:trPr>
          <w:trHeight w:val="85"/>
        </w:trPr>
        <w:tc>
          <w:tcPr>
            <w:tcW w:w="3780" w:type="dxa"/>
            <w:vAlign w:val="bottom"/>
            <w:tcBorders>
              <w:left w:val="single" w:sz="8" w:color="00000A"/>
              <w:bottom w:val="single" w:sz="8" w:color="00000A"/>
              <w:right w:val="single" w:sz="8" w:color="00000A"/>
            </w:tcBorders>
          </w:tcPr>
          <w:p>
            <w:pPr>
              <w:spacing w:after="0"/>
              <w:rPr>
                <w:sz w:val="7"/>
                <w:szCs w:val="7"/>
                <w:color w:val="auto"/>
              </w:rPr>
            </w:pPr>
          </w:p>
        </w:tc>
        <w:tc>
          <w:tcPr>
            <w:tcW w:w="2620" w:type="dxa"/>
            <w:vAlign w:val="bottom"/>
            <w:tcBorders>
              <w:bottom w:val="single" w:sz="8" w:color="00000A"/>
              <w:right w:val="single" w:sz="8" w:color="00000A"/>
            </w:tcBorders>
          </w:tcPr>
          <w:p>
            <w:pPr>
              <w:spacing w:after="0"/>
              <w:rPr>
                <w:sz w:val="7"/>
                <w:szCs w:val="7"/>
                <w:color w:val="auto"/>
              </w:rPr>
            </w:pPr>
          </w:p>
        </w:tc>
        <w:tc>
          <w:tcPr>
            <w:tcW w:w="4860" w:type="dxa"/>
            <w:vAlign w:val="bottom"/>
            <w:tcBorders>
              <w:bottom w:val="single" w:sz="8" w:color="00000A"/>
              <w:right w:val="single" w:sz="8" w:color="00000A"/>
            </w:tcBorders>
          </w:tcPr>
          <w:p>
            <w:pPr>
              <w:spacing w:after="0"/>
              <w:rPr>
                <w:sz w:val="7"/>
                <w:szCs w:val="7"/>
                <w:color w:val="auto"/>
              </w:rPr>
            </w:pPr>
          </w:p>
        </w:tc>
      </w:tr>
    </w:tbl>
    <w:p>
      <w:pPr>
        <w:spacing w:after="0" w:line="159" w:lineRule="exact"/>
        <w:rPr>
          <w:sz w:val="24"/>
          <w:szCs w:val="24"/>
          <w:color w:val="auto"/>
        </w:rPr>
      </w:pPr>
    </w:p>
    <w:p>
      <w:pPr>
        <w:ind w:right="80"/>
        <w:spacing w:after="0" w:line="281"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(17 CFR §230.405) or Rule 12b-2 of the Securities Exchange Act of 1934 (17 CFR §240.12b-2).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610235</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21" w:right="339" w:bottom="1440" w:gutter="0" w:footer="0" w:header="0"/>
          <w:type w:val="continuous"/>
        </w:sectPr>
      </w:pPr>
    </w:p>
    <w:bookmarkStart w:id="1" w:name="page2"/>
    <w:bookmarkEnd w:id="1"/>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14" w:lineRule="exact"/>
        <w:rPr>
          <w:sz w:val="20"/>
          <w:szCs w:val="20"/>
          <w:color w:val="auto"/>
        </w:rPr>
      </w:pPr>
    </w:p>
    <w:p>
      <w:pPr>
        <w:spacing w:after="0" w:line="18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842645</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60"/>
          </w:cols>
          <w:pgMar w:left="300" w:top="1186" w:right="539" w:bottom="1440" w:gutter="0" w:footer="0" w:header="0"/>
        </w:sectPr>
      </w:pPr>
    </w:p>
    <w:bookmarkStart w:id="2" w:name="page3"/>
    <w:bookmarkEnd w:id="2"/>
    <w:p>
      <w:pPr>
        <w:ind w:right="380"/>
        <w:spacing w:after="0" w:line="263" w:lineRule="auto"/>
        <w:rPr>
          <w:sz w:val="20"/>
          <w:szCs w:val="20"/>
          <w:color w:val="auto"/>
        </w:rPr>
      </w:pPr>
      <w:r>
        <w:rPr>
          <w:rFonts w:ascii="Arial" w:cs="Arial" w:eastAsia="Arial" w:hAnsi="Arial"/>
          <w:sz w:val="17"/>
          <w:szCs w:val="17"/>
          <w:b w:val="1"/>
          <w:bCs w:val="1"/>
          <w:color w:val="auto"/>
        </w:rPr>
        <w:t>Item 5.02 Departure of Directors or Certain Officers; Election of Directors; Appointment of Certain Officers; Compensatory Arrangements of Certain Officers.</w:t>
      </w:r>
    </w:p>
    <w:p>
      <w:pPr>
        <w:spacing w:after="0" w:line="144" w:lineRule="exact"/>
        <w:rPr>
          <w:sz w:val="20"/>
          <w:szCs w:val="20"/>
          <w:color w:val="auto"/>
        </w:rPr>
      </w:pPr>
    </w:p>
    <w:p>
      <w:pPr>
        <w:ind w:right="40" w:firstLine="509"/>
        <w:spacing w:after="0" w:line="246" w:lineRule="auto"/>
        <w:rPr>
          <w:sz w:val="20"/>
          <w:szCs w:val="20"/>
          <w:color w:val="auto"/>
        </w:rPr>
      </w:pPr>
      <w:r>
        <w:rPr>
          <w:rFonts w:ascii="Arial" w:cs="Arial" w:eastAsia="Arial" w:hAnsi="Arial"/>
          <w:sz w:val="14"/>
          <w:szCs w:val="14"/>
          <w:color w:val="auto"/>
        </w:rPr>
        <w:t>On October 5, 2023, Civeo Corporation (the “Company”) entered into an amendment (the “Amendment”) to the Retention Commitment Agreement, dated July 26, 2022, previously entered into with Allan D. Schoening, the Company’s Senior Vice President, Canada (as so amended, the “Agreement”). The Amendment extends the Retention Date (as defined in the Agreement) from June 30, 2024 to December 31, 2024 and provides that Mr. Schoening will receive his full, non-prorated target bonus for the 2024 bonus period if Mr. Schoening is terminated without Cause prior to the Retention Date.</w:t>
      </w:r>
    </w:p>
    <w:p>
      <w:pPr>
        <w:spacing w:after="0" w:line="167" w:lineRule="exact"/>
        <w:rPr>
          <w:sz w:val="20"/>
          <w:szCs w:val="20"/>
          <w:color w:val="auto"/>
        </w:rPr>
      </w:pPr>
    </w:p>
    <w:p>
      <w:pPr>
        <w:ind w:right="20" w:firstLine="509"/>
        <w:spacing w:after="0" w:line="249" w:lineRule="auto"/>
        <w:rPr>
          <w:sz w:val="20"/>
          <w:szCs w:val="20"/>
          <w:color w:val="auto"/>
        </w:rPr>
      </w:pPr>
      <w:r>
        <w:rPr>
          <w:rFonts w:ascii="Arial" w:cs="Arial" w:eastAsia="Arial" w:hAnsi="Arial"/>
          <w:sz w:val="14"/>
          <w:szCs w:val="14"/>
          <w:color w:val="auto"/>
        </w:rPr>
        <w:t>The foregoing description of the Amendment does not purport to be complete and is qualified in its entirety by reference to the full text of the Amendment, a copy of which is attached hereto as Exhibit 10.1.</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9.01 Financial Statements and Exhibits.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gridSpan w:val="4"/>
          </w:tcPr>
          <w:p>
            <w:pPr>
              <w:spacing w:after="0"/>
              <w:rPr>
                <w:sz w:val="20"/>
                <w:szCs w:val="20"/>
                <w:color w:val="auto"/>
              </w:rPr>
            </w:pPr>
            <w:r>
              <w:rPr>
                <w:rFonts w:ascii="Arial" w:cs="Arial" w:eastAsia="Arial" w:hAnsi="Arial"/>
                <w:sz w:val="14"/>
                <w:szCs w:val="14"/>
                <w:color w:val="auto"/>
              </w:rPr>
              <w:t>(d) Exhibits.</w:t>
            </w:r>
          </w:p>
        </w:tc>
        <w:tc>
          <w:tcPr>
            <w:tcW w:w="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373"/>
        </w:trPr>
        <w:tc>
          <w:tcPr>
            <w:tcW w:w="20" w:type="dxa"/>
            <w:vAlign w:val="bottom"/>
          </w:tcPr>
          <w:p>
            <w:pPr>
              <w:spacing w:after="0"/>
              <w:rPr>
                <w:sz w:val="24"/>
                <w:szCs w:val="2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2"/>
              </w:rPr>
              <w:t>Exhibit Number</w:t>
            </w:r>
          </w:p>
        </w:tc>
        <w:tc>
          <w:tcPr>
            <w:tcW w:w="540" w:type="dxa"/>
            <w:vAlign w:val="bottom"/>
          </w:tcPr>
          <w:p>
            <w:pPr>
              <w:spacing w:after="0"/>
              <w:rPr>
                <w:sz w:val="24"/>
                <w:szCs w:val="24"/>
                <w:color w:val="auto"/>
              </w:rPr>
            </w:pPr>
          </w:p>
        </w:tc>
        <w:tc>
          <w:tcPr>
            <w:tcW w:w="9740" w:type="dxa"/>
            <w:vAlign w:val="bottom"/>
            <w:gridSpan w:val="3"/>
          </w:tcPr>
          <w:p>
            <w:pPr>
              <w:spacing w:after="0"/>
              <w:rPr>
                <w:sz w:val="20"/>
                <w:szCs w:val="20"/>
                <w:color w:val="auto"/>
              </w:rPr>
            </w:pPr>
            <w:r>
              <w:rPr>
                <w:rFonts w:ascii="Arial" w:cs="Arial" w:eastAsia="Arial" w:hAnsi="Arial"/>
                <w:sz w:val="14"/>
                <w:szCs w:val="14"/>
                <w:b w:val="1"/>
                <w:bCs w:val="1"/>
                <w:color w:val="auto"/>
              </w:rPr>
              <w:t>Description of Document</w:t>
            </w:r>
          </w:p>
        </w:tc>
      </w:tr>
      <w:tr>
        <w:trPr>
          <w:trHeight w:val="20"/>
        </w:trPr>
        <w:tc>
          <w:tcPr>
            <w:tcW w:w="2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88"/>
        </w:trPr>
        <w:tc>
          <w:tcPr>
            <w:tcW w:w="680" w:type="dxa"/>
            <w:vAlign w:val="bottom"/>
            <w:gridSpan w:val="3"/>
          </w:tcPr>
          <w:p>
            <w:pPr>
              <w:ind w:left="20"/>
              <w:spacing w:after="0"/>
              <w:rPr>
                <w:sz w:val="20"/>
                <w:szCs w:val="20"/>
                <w:color w:val="auto"/>
              </w:rPr>
            </w:pPr>
            <w:r>
              <w:rPr>
                <w:rFonts w:ascii="Arial" w:cs="Arial" w:eastAsia="Arial" w:hAnsi="Arial"/>
                <w:sz w:val="14"/>
                <w:szCs w:val="14"/>
                <w:color w:val="auto"/>
              </w:rPr>
              <w:t>10.1</w:t>
            </w: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740" w:type="dxa"/>
            <w:vAlign w:val="bottom"/>
            <w:gridSpan w:val="3"/>
          </w:tcPr>
          <w:p>
            <w:pPr>
              <w:spacing w:after="0"/>
              <w:rPr>
                <w:sz w:val="20"/>
                <w:szCs w:val="20"/>
                <w:color w:val="auto"/>
              </w:rPr>
            </w:pPr>
            <w:r>
              <w:rPr>
                <w:rFonts w:ascii="Arial" w:cs="Arial" w:eastAsia="Arial" w:hAnsi="Arial"/>
                <w:sz w:val="14"/>
                <w:szCs w:val="14"/>
                <w:color w:val="auto"/>
              </w:rPr>
              <w:t>Amendment to Retention Commitment Agreement, dated as of October 5, 2023, between Civeo Corporation and Allan D. Schoening.</w:t>
            </w:r>
          </w:p>
        </w:tc>
      </w:tr>
      <w:tr>
        <w:trPr>
          <w:trHeight w:val="308"/>
        </w:trPr>
        <w:tc>
          <w:tcPr>
            <w:tcW w:w="680" w:type="dxa"/>
            <w:vAlign w:val="bottom"/>
            <w:gridSpan w:val="3"/>
          </w:tcPr>
          <w:p>
            <w:pPr>
              <w:ind w:left="20"/>
              <w:spacing w:after="0"/>
              <w:rPr>
                <w:sz w:val="20"/>
                <w:szCs w:val="20"/>
                <w:color w:val="auto"/>
              </w:rPr>
            </w:pPr>
            <w:r>
              <w:rPr>
                <w:rFonts w:ascii="Arial" w:cs="Arial" w:eastAsia="Arial" w:hAnsi="Arial"/>
                <w:sz w:val="14"/>
                <w:szCs w:val="14"/>
                <w:color w:val="auto"/>
              </w:rPr>
              <w:t>104</w:t>
            </w: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56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Cover Page Interactive Data File (formatted as Inline XBRL and contained in Exhibit 101).</w:t>
            </w:r>
          </w:p>
        </w:tc>
        <w:tc>
          <w:tcPr>
            <w:tcW w:w="2180" w:type="dxa"/>
            <w:vAlign w:val="bottom"/>
          </w:tcPr>
          <w:p>
            <w:pPr>
              <w:spacing w:after="0"/>
              <w:rPr>
                <w:sz w:val="24"/>
                <w:szCs w:val="24"/>
                <w:color w:val="auto"/>
              </w:rPr>
            </w:pPr>
          </w:p>
        </w:tc>
      </w:tr>
      <w:tr>
        <w:trPr>
          <w:trHeight w:val="1073"/>
        </w:trPr>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606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42" w:right="319" w:bottom="1440" w:gutter="0" w:footer="0" w:header="0"/>
        </w:sectPr>
      </w:pPr>
    </w:p>
    <w:bookmarkStart w:id="3" w:name="page4"/>
    <w:bookmarkEnd w:id="3"/>
    <w:p>
      <w:pPr>
        <w:jc w:val="center"/>
        <w:ind w:right="-479"/>
        <w:spacing w:after="0"/>
        <w:rPr>
          <w:sz w:val="20"/>
          <w:szCs w:val="20"/>
          <w:color w:val="auto"/>
        </w:rPr>
      </w:pPr>
      <w:r>
        <w:rPr>
          <w:rFonts w:ascii="Arial" w:cs="Arial" w:eastAsia="Arial" w:hAnsi="Arial"/>
          <w:sz w:val="17"/>
          <w:szCs w:val="17"/>
          <w:b w:val="1"/>
          <w:bCs w:val="1"/>
          <w:color w:val="auto"/>
        </w:rPr>
        <w:t>SIGNATURES</w:t>
      </w:r>
    </w:p>
    <w:p>
      <w:pPr>
        <w:spacing w:after="0" w:line="197" w:lineRule="exact"/>
        <w:rPr>
          <w:sz w:val="20"/>
          <w:szCs w:val="20"/>
          <w:color w:val="auto"/>
        </w:rPr>
      </w:pPr>
    </w:p>
    <w:p>
      <w:pPr>
        <w:ind w:left="52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393" w:lineRule="exact"/>
        <w:rPr>
          <w:sz w:val="20"/>
          <w:szCs w:val="20"/>
          <w:color w:val="auto"/>
        </w:rPr>
      </w:pPr>
    </w:p>
    <w:p>
      <w:pPr>
        <w:spacing w:after="0"/>
        <w:rPr>
          <w:sz w:val="20"/>
          <w:szCs w:val="20"/>
          <w:color w:val="auto"/>
        </w:rPr>
      </w:pPr>
      <w:r>
        <w:rPr>
          <w:rFonts w:ascii="Arial" w:cs="Arial" w:eastAsia="Arial" w:hAnsi="Arial"/>
          <w:sz w:val="14"/>
          <w:szCs w:val="14"/>
          <w:color w:val="auto"/>
        </w:rPr>
        <w:t>Dated: October 11, 2023</w:t>
      </w:r>
    </w:p>
    <w:p>
      <w:pPr>
        <w:spacing w:after="0" w:line="175" w:lineRule="exact"/>
        <w:rPr>
          <w:sz w:val="20"/>
          <w:szCs w:val="20"/>
          <w:color w:val="auto"/>
        </w:rPr>
      </w:pPr>
    </w:p>
    <w:p>
      <w:pPr>
        <w:ind w:left="1960"/>
        <w:spacing w:after="0"/>
        <w:rPr>
          <w:sz w:val="20"/>
          <w:szCs w:val="20"/>
          <w:color w:val="auto"/>
        </w:rPr>
      </w:pPr>
      <w:r>
        <w:rPr>
          <w:rFonts w:ascii="Arial" w:cs="Arial" w:eastAsia="Arial" w:hAnsi="Arial"/>
          <w:sz w:val="14"/>
          <w:szCs w:val="14"/>
          <w:b w:val="1"/>
          <w:bCs w:val="1"/>
          <w:color w:val="auto"/>
        </w:rPr>
        <w:t>CIVEO CORPORATION</w:t>
      </w:r>
    </w:p>
    <w:p>
      <w:pPr>
        <w:spacing w:after="0" w:line="395"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 xml:space="preserve">By: /s/ Carolyn J. Stone </w:t>
      </w:r>
      <w:r>
        <w:rPr>
          <w:rFonts w:ascii="Arial" w:cs="Arial" w:eastAsia="Arial" w:hAnsi="Arial"/>
          <w:sz w:val="14"/>
          <w:szCs w:val="14"/>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-6985</wp:posOffset>
            </wp:positionV>
            <wp:extent cx="7480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48030" cy="6985"/>
                    </a:xfrm>
                    <a:prstGeom prst="rect">
                      <a:avLst/>
                    </a:prstGeom>
                    <a:noFill/>
                  </pic:spPr>
                </pic:pic>
              </a:graphicData>
            </a:graphic>
          </wp:anchor>
        </w:drawing>
      </w:r>
    </w:p>
    <w:p>
      <w:pPr>
        <w:ind w:left="1220"/>
        <w:spacing w:after="0"/>
        <w:tabs>
          <w:tab w:leader="none" w:pos="1720" w:val="left"/>
        </w:tabs>
        <w:rPr>
          <w:sz w:val="20"/>
          <w:szCs w:val="20"/>
          <w:color w:val="auto"/>
        </w:rPr>
      </w:pPr>
      <w:r>
        <w:rPr>
          <w:rFonts w:ascii="Arial" w:cs="Arial" w:eastAsia="Arial" w:hAnsi="Arial"/>
          <w:sz w:val="14"/>
          <w:szCs w:val="14"/>
          <w:color w:val="auto"/>
        </w:rPr>
        <w:t>Name:</w:t>
      </w:r>
      <w:r>
        <w:rPr>
          <w:sz w:val="20"/>
          <w:szCs w:val="20"/>
          <w:color w:val="auto"/>
        </w:rPr>
        <w:tab/>
      </w:r>
      <w:r>
        <w:rPr>
          <w:rFonts w:ascii="Arial" w:cs="Arial" w:eastAsia="Arial" w:hAnsi="Arial"/>
          <w:sz w:val="12"/>
          <w:szCs w:val="12"/>
          <w:color w:val="auto"/>
        </w:rPr>
        <w:t>Carolyn J. Stone</w:t>
      </w:r>
    </w:p>
    <w:p>
      <w:pPr>
        <w:spacing w:after="0" w:line="9" w:lineRule="exact"/>
        <w:rPr>
          <w:sz w:val="20"/>
          <w:szCs w:val="20"/>
          <w:color w:val="auto"/>
        </w:rPr>
      </w:pPr>
    </w:p>
    <w:p>
      <w:pPr>
        <w:ind w:left="3060"/>
        <w:spacing w:after="0"/>
        <w:tabs>
          <w:tab w:leader="none" w:pos="348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2"/>
          <w:szCs w:val="12"/>
          <w:color w:val="auto"/>
        </w:rPr>
        <w:t>Senior Vice President, Chief Financial Officer and Treasurer</w:t>
      </w:r>
    </w:p>
    <w:p>
      <w:pPr>
        <w:sectPr>
          <w:pgSz w:w="11900" w:h="16838" w:orient="portrait"/>
          <w:cols w:equalWidth="0" w:num="1">
            <w:col w:w="10800"/>
          </w:cols>
          <w:pgMar w:left="300" w:top="1052" w:right="799" w:bottom="1440" w:gutter="0" w:footer="0" w:header="0"/>
        </w:sectPr>
      </w:pPr>
    </w:p>
    <w:bookmarkStart w:id="4" w:name="page5"/>
    <w:bookmarkEnd w:id="4"/>
    <w:p>
      <w:pPr>
        <w:spacing w:after="0"/>
        <w:tabs>
          <w:tab w:leader="none" w:pos="3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05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2023-10-11T15:16:21Z</dcterms:created>
  <dcterms:modified xsi:type="dcterms:W3CDTF">2023-10-11T15:16:21Z</dcterms:modified>
</cp:coreProperties>
</file>