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LAMBERT MARTIN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06/23/2020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right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116,810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0.62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733,949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183,190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0.63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917,139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-3093720</wp:posOffset>
            </wp:positionV>
            <wp:extent cx="7031355" cy="31394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13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person's original Form 4 filed on 6/23/2020 inadvertently overstated the amount of securities beneficially owned following the reported transactions and this amended report is being filed solely to correct that administrative error.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On June 2, 2020, a total of 403,557 shares held indirectly by Mountain Moon Capital, an entity 100% owned by Mr. Lambert, were transferred to Mr. Lambert and are now held directly by Mr. Lambert.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Bradley J. Dodson,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98824" TargetMode="External"/><Relationship Id="rId14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2020-07-08T16:43:15Z</dcterms:created>
  <dcterms:modified xsi:type="dcterms:W3CDTF">2020-07-08T16:43:15Z</dcterms:modified>
</cp:coreProperties>
</file>