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055123.xml.htm"/>
      <w:bookmarkStart w:id="1" w:name="kswkform4_17720551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McCann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 SUITE 4400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Civeo Corp</w:t>
              </w:r>
            </w:hyperlink>
            <w:r>
              <w:rPr/>
              <w:t xml:space="preserve"> [ </w:t>
            </w:r>
            <w:r>
              <w:rPr>
                <w:rFonts w:ascii="Times;serif" w:hAnsi="Times;serif"/>
                <w:color w:val="0000FF"/>
                <w:sz w:val="24"/>
                <w:shd w:fill="FFFFFF" w:val="clear"/>
              </w:rPr>
              <w:t>CVEO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Australia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98"/>
        <w:gridCol w:w="756"/>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54,081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27.67</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51,981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w:t>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(2)</w:t>
            </w:r>
            <w:r>
              <w:rPr/>
              <w:t xml:space="preserve"> </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54,942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share was the economic equivalent of one Civeo common share and is payable in cash. The phantom shares vest at various times based on the grant date. 2,100 shares vested on February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Settlement of performance share award under the 2014 Equity Participation Plan of Civeo Corporation that cliff vested at 47% on the third anniversary of February 23,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McCann, by Bradley J. Dodson,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7344" TargetMode="External"/><Relationship Id="rId5" Type="http://schemas.openxmlformats.org/officeDocument/2006/relationships/hyperlink" Target="http://www.sec.gov/cgi-bin/browse-edgar?action=getcompany&amp;CIK=0001590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3524</Characters>
  <CharactersWithSpaces>4100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