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16, 2022</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333-233444</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-12065</wp:posOffset>
            </wp:positionV>
            <wp:extent cx="9772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4445</wp:posOffset>
            </wp:positionV>
            <wp:extent cx="977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99" w:lineRule="exact"/>
        <w:rPr>
          <w:sz w:val="24"/>
          <w:szCs w:val="24"/>
          <w:color w:val="auto"/>
        </w:rPr>
      </w:pPr>
    </w:p>
    <w:tbl>
      <w:tblPr>
        <w:tblLayout w:type="fixed"/>
        <w:tblInd w:w="8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54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Three Allen Center</w:t>
            </w:r>
          </w:p>
        </w:tc>
        <w:tc>
          <w:tcPr>
            <w:tcW w:w="1680" w:type="dxa"/>
            <w:vAlign w:val="bottom"/>
          </w:tcPr>
          <w:p>
            <w:pPr>
              <w:spacing w:after="0"/>
              <w:rPr>
                <w:sz w:val="14"/>
                <w:szCs w:val="14"/>
                <w:color w:val="auto"/>
              </w:rPr>
            </w:pPr>
          </w:p>
        </w:tc>
      </w:tr>
      <w:tr>
        <w:trPr>
          <w:trHeight w:val="176"/>
        </w:trPr>
        <w:tc>
          <w:tcPr>
            <w:tcW w:w="2160" w:type="dxa"/>
            <w:vAlign w:val="bottom"/>
          </w:tcPr>
          <w:p>
            <w:pPr>
              <w:spacing w:after="0"/>
              <w:rPr>
                <w:sz w:val="15"/>
                <w:szCs w:val="15"/>
                <w:color w:val="auto"/>
              </w:rPr>
            </w:pPr>
          </w:p>
        </w:tc>
        <w:tc>
          <w:tcPr>
            <w:tcW w:w="54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333 Clay Street, Suite 4980</w:t>
            </w:r>
          </w:p>
        </w:tc>
        <w:tc>
          <w:tcPr>
            <w:tcW w:w="1680" w:type="dxa"/>
            <w:vAlign w:val="bottom"/>
          </w:tcPr>
          <w:p>
            <w:pPr>
              <w:spacing w:after="0"/>
              <w:rPr>
                <w:sz w:val="15"/>
                <w:szCs w:val="15"/>
                <w:color w:val="auto"/>
              </w:rPr>
            </w:pPr>
          </w:p>
        </w:tc>
      </w:tr>
      <w:tr>
        <w:trPr>
          <w:trHeight w:val="162"/>
        </w:trPr>
        <w:tc>
          <w:tcPr>
            <w:tcW w:w="2160" w:type="dxa"/>
            <w:vAlign w:val="bottom"/>
          </w:tcPr>
          <w:p>
            <w:pPr>
              <w:spacing w:after="0"/>
              <w:rPr>
                <w:sz w:val="14"/>
                <w:szCs w:val="14"/>
                <w:color w:val="auto"/>
              </w:rPr>
            </w:pPr>
          </w:p>
        </w:tc>
        <w:tc>
          <w:tcPr>
            <w:tcW w:w="54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Houston, Texas 77002</w:t>
            </w:r>
          </w:p>
        </w:tc>
        <w:tc>
          <w:tcPr>
            <w:tcW w:w="1680" w:type="dxa"/>
            <w:vAlign w:val="bottom"/>
          </w:tcPr>
          <w:p>
            <w:pPr>
              <w:spacing w:after="0"/>
              <w:rPr>
                <w:sz w:val="14"/>
                <w:szCs w:val="14"/>
                <w:color w:val="auto"/>
              </w:rPr>
            </w:pPr>
          </w:p>
        </w:tc>
      </w:tr>
      <w:tr>
        <w:trPr>
          <w:trHeight w:val="164"/>
        </w:trPr>
        <w:tc>
          <w:tcPr>
            <w:tcW w:w="21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54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(713) 510-2400</w:t>
            </w:r>
          </w:p>
        </w:tc>
        <w:tc>
          <w:tcPr>
            <w:tcW w:w="168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98-1253716</w:t>
            </w:r>
          </w:p>
        </w:tc>
      </w:tr>
      <w:tr>
        <w:trPr>
          <w:trHeight w:val="162"/>
        </w:trPr>
        <w:tc>
          <w:tcPr>
            <w:tcW w:w="216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4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w:t>
            </w:r>
          </w:p>
        </w:tc>
        <w:tc>
          <w:tcPr>
            <w:tcW w:w="168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(I.R.S. Employer</w:t>
            </w:r>
          </w:p>
        </w:tc>
      </w:tr>
      <w:tr>
        <w:trPr>
          <w:trHeight w:val="202"/>
        </w:trPr>
        <w:tc>
          <w:tcPr>
            <w:tcW w:w="216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4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registrant’s principal executive offices)</w:t>
            </w:r>
          </w:p>
        </w:tc>
        <w:tc>
          <w:tcPr>
            <w:tcW w:w="168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04"/>
        </w:trPr>
        <w:tc>
          <w:tcPr>
            <w:tcW w:w="2160" w:type="dxa"/>
            <w:vAlign w:val="bottom"/>
          </w:tcPr>
          <w:p>
            <w:pPr>
              <w:spacing w:after="0"/>
              <w:rPr>
                <w:sz w:val="24"/>
                <w:szCs w:val="24"/>
                <w:color w:val="auto"/>
              </w:rPr>
            </w:pPr>
          </w:p>
        </w:tc>
        <w:tc>
          <w:tcPr>
            <w:tcW w:w="5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Bradley J. Dodson</w:t>
            </w:r>
          </w:p>
        </w:tc>
        <w:tc>
          <w:tcPr>
            <w:tcW w:w="1680" w:type="dxa"/>
            <w:vAlign w:val="bottom"/>
          </w:tcPr>
          <w:p>
            <w:pPr>
              <w:spacing w:after="0"/>
              <w:rPr>
                <w:sz w:val="24"/>
                <w:szCs w:val="24"/>
                <w:color w:val="auto"/>
              </w:rPr>
            </w:pPr>
          </w:p>
        </w:tc>
      </w:tr>
      <w:tr>
        <w:trPr>
          <w:trHeight w:val="162"/>
        </w:trPr>
        <w:tc>
          <w:tcPr>
            <w:tcW w:w="2160" w:type="dxa"/>
            <w:vAlign w:val="bottom"/>
          </w:tcPr>
          <w:p>
            <w:pPr>
              <w:spacing w:after="0"/>
              <w:rPr>
                <w:sz w:val="14"/>
                <w:szCs w:val="14"/>
                <w:color w:val="auto"/>
              </w:rPr>
            </w:pPr>
          </w:p>
        </w:tc>
        <w:tc>
          <w:tcPr>
            <w:tcW w:w="5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168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5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Civeo Corporation</w:t>
            </w:r>
          </w:p>
        </w:tc>
        <w:tc>
          <w:tcPr>
            <w:tcW w:w="1680" w:type="dxa"/>
            <w:vAlign w:val="bottom"/>
          </w:tcPr>
          <w:p>
            <w:pPr>
              <w:spacing w:after="0"/>
              <w:rPr>
                <w:sz w:val="14"/>
                <w:szCs w:val="14"/>
                <w:color w:val="auto"/>
              </w:rPr>
            </w:pPr>
          </w:p>
        </w:tc>
      </w:tr>
      <w:tr>
        <w:trPr>
          <w:trHeight w:val="175"/>
        </w:trPr>
        <w:tc>
          <w:tcPr>
            <w:tcW w:w="2160" w:type="dxa"/>
            <w:vAlign w:val="bottom"/>
          </w:tcPr>
          <w:p>
            <w:pPr>
              <w:spacing w:after="0"/>
              <w:rPr>
                <w:sz w:val="15"/>
                <w:szCs w:val="15"/>
                <w:color w:val="auto"/>
              </w:rPr>
            </w:pPr>
          </w:p>
        </w:tc>
        <w:tc>
          <w:tcPr>
            <w:tcW w:w="5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Three Allen Center</w:t>
            </w:r>
          </w:p>
        </w:tc>
        <w:tc>
          <w:tcPr>
            <w:tcW w:w="1680" w:type="dxa"/>
            <w:vAlign w:val="bottom"/>
          </w:tcPr>
          <w:p>
            <w:pPr>
              <w:spacing w:after="0"/>
              <w:rPr>
                <w:sz w:val="15"/>
                <w:szCs w:val="15"/>
                <w:color w:val="auto"/>
              </w:rPr>
            </w:pPr>
          </w:p>
        </w:tc>
      </w:tr>
      <w:tr>
        <w:trPr>
          <w:trHeight w:val="162"/>
        </w:trPr>
        <w:tc>
          <w:tcPr>
            <w:tcW w:w="2160" w:type="dxa"/>
            <w:vAlign w:val="bottom"/>
          </w:tcPr>
          <w:p>
            <w:pPr>
              <w:spacing w:after="0"/>
              <w:rPr>
                <w:sz w:val="14"/>
                <w:szCs w:val="14"/>
                <w:color w:val="auto"/>
              </w:rPr>
            </w:pPr>
          </w:p>
        </w:tc>
        <w:tc>
          <w:tcPr>
            <w:tcW w:w="5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333 Clay Street, Suite 4980</w:t>
            </w:r>
          </w:p>
        </w:tc>
        <w:tc>
          <w:tcPr>
            <w:tcW w:w="168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5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Houston, Texas 77002</w:t>
            </w:r>
          </w:p>
        </w:tc>
        <w:tc>
          <w:tcPr>
            <w:tcW w:w="1680" w:type="dxa"/>
            <w:vAlign w:val="bottom"/>
          </w:tcPr>
          <w:p>
            <w:pPr>
              <w:spacing w:after="0"/>
              <w:rPr>
                <w:sz w:val="14"/>
                <w:szCs w:val="14"/>
                <w:color w:val="auto"/>
              </w:rPr>
            </w:pPr>
          </w:p>
        </w:tc>
      </w:tr>
      <w:tr>
        <w:trPr>
          <w:trHeight w:val="164"/>
        </w:trPr>
        <w:tc>
          <w:tcPr>
            <w:tcW w:w="2160" w:type="dxa"/>
            <w:vAlign w:val="bottom"/>
          </w:tcPr>
          <w:p>
            <w:pPr>
              <w:spacing w:after="0"/>
              <w:rPr>
                <w:sz w:val="14"/>
                <w:szCs w:val="14"/>
                <w:color w:val="auto"/>
              </w:rPr>
            </w:pPr>
          </w:p>
        </w:tc>
        <w:tc>
          <w:tcPr>
            <w:tcW w:w="5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(713) 510-2400</w:t>
            </w:r>
          </w:p>
        </w:tc>
        <w:tc>
          <w:tcPr>
            <w:tcW w:w="1680" w:type="dxa"/>
            <w:vAlign w:val="bottom"/>
          </w:tcPr>
          <w:p>
            <w:pPr>
              <w:spacing w:after="0"/>
              <w:rPr>
                <w:sz w:val="14"/>
                <w:szCs w:val="14"/>
                <w:color w:val="auto"/>
              </w:rPr>
            </w:pPr>
          </w:p>
        </w:tc>
      </w:tr>
      <w:tr>
        <w:trPr>
          <w:trHeight w:val="176"/>
        </w:trPr>
        <w:tc>
          <w:tcPr>
            <w:tcW w:w="2160" w:type="dxa"/>
            <w:vAlign w:val="bottom"/>
          </w:tcPr>
          <w:p>
            <w:pPr>
              <w:spacing w:after="0"/>
              <w:rPr>
                <w:sz w:val="15"/>
                <w:szCs w:val="15"/>
                <w:color w:val="auto"/>
              </w:rPr>
            </w:pPr>
          </w:p>
        </w:tc>
        <w:tc>
          <w:tcPr>
            <w:tcW w:w="54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(Name, address, including zip code, and telephone</w:t>
            </w:r>
          </w:p>
        </w:tc>
        <w:tc>
          <w:tcPr>
            <w:tcW w:w="1680" w:type="dxa"/>
            <w:vAlign w:val="bottom"/>
          </w:tcPr>
          <w:p>
            <w:pPr>
              <w:spacing w:after="0"/>
              <w:rPr>
                <w:sz w:val="15"/>
                <w:szCs w:val="15"/>
                <w:color w:val="auto"/>
              </w:rPr>
            </w:pPr>
          </w:p>
        </w:tc>
      </w:tr>
      <w:tr>
        <w:trPr>
          <w:trHeight w:val="188"/>
        </w:trPr>
        <w:tc>
          <w:tcPr>
            <w:tcW w:w="2160" w:type="dxa"/>
            <w:vAlign w:val="bottom"/>
          </w:tcPr>
          <w:p>
            <w:pPr>
              <w:spacing w:after="0"/>
              <w:rPr>
                <w:sz w:val="16"/>
                <w:szCs w:val="16"/>
                <w:color w:val="auto"/>
              </w:rPr>
            </w:pPr>
          </w:p>
        </w:tc>
        <w:tc>
          <w:tcPr>
            <w:tcW w:w="54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number, including area code, of agent for service)</w:t>
            </w:r>
          </w:p>
        </w:tc>
        <w:tc>
          <w:tcPr>
            <w:tcW w:w="1680" w:type="dxa"/>
            <w:vAlign w:val="bottom"/>
          </w:tcPr>
          <w:p>
            <w:pPr>
              <w:spacing w:after="0"/>
              <w:rPr>
                <w:sz w:val="16"/>
                <w:szCs w:val="16"/>
                <w:color w:val="auto"/>
              </w:rPr>
            </w:pPr>
          </w:p>
        </w:tc>
      </w:tr>
      <w:tr>
        <w:trPr>
          <w:trHeight w:val="350"/>
        </w:trPr>
        <w:tc>
          <w:tcPr>
            <w:tcW w:w="2160" w:type="dxa"/>
            <w:vAlign w:val="bottom"/>
          </w:tcPr>
          <w:p>
            <w:pPr>
              <w:spacing w:after="0"/>
              <w:rPr>
                <w:sz w:val="24"/>
                <w:szCs w:val="24"/>
                <w:color w:val="auto"/>
              </w:rPr>
            </w:pPr>
          </w:p>
        </w:tc>
        <w:tc>
          <w:tcPr>
            <w:tcW w:w="5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Copy to:</w:t>
            </w:r>
          </w:p>
        </w:tc>
        <w:tc>
          <w:tcPr>
            <w:tcW w:w="1680" w:type="dxa"/>
            <w:vAlign w:val="bottom"/>
          </w:tcPr>
          <w:p>
            <w:pPr>
              <w:spacing w:after="0"/>
              <w:rPr>
                <w:sz w:val="24"/>
                <w:szCs w:val="24"/>
                <w:color w:val="auto"/>
              </w:rPr>
            </w:pPr>
          </w:p>
        </w:tc>
      </w:tr>
      <w:tr>
        <w:trPr>
          <w:trHeight w:val="175"/>
        </w:trPr>
        <w:tc>
          <w:tcPr>
            <w:tcW w:w="2160" w:type="dxa"/>
            <w:vAlign w:val="bottom"/>
          </w:tcPr>
          <w:p>
            <w:pPr>
              <w:spacing w:after="0"/>
              <w:rPr>
                <w:sz w:val="15"/>
                <w:szCs w:val="15"/>
                <w:color w:val="auto"/>
              </w:rPr>
            </w:pPr>
          </w:p>
        </w:tc>
        <w:tc>
          <w:tcPr>
            <w:tcW w:w="5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Tull R. Florey</w:t>
            </w:r>
          </w:p>
        </w:tc>
        <w:tc>
          <w:tcPr>
            <w:tcW w:w="1680" w:type="dxa"/>
            <w:vAlign w:val="bottom"/>
          </w:tcPr>
          <w:p>
            <w:pPr>
              <w:spacing w:after="0"/>
              <w:rPr>
                <w:sz w:val="15"/>
                <w:szCs w:val="15"/>
                <w:color w:val="auto"/>
              </w:rPr>
            </w:pPr>
          </w:p>
        </w:tc>
      </w:tr>
      <w:tr>
        <w:trPr>
          <w:trHeight w:val="162"/>
        </w:trPr>
        <w:tc>
          <w:tcPr>
            <w:tcW w:w="2160" w:type="dxa"/>
            <w:vAlign w:val="bottom"/>
          </w:tcPr>
          <w:p>
            <w:pPr>
              <w:spacing w:after="0"/>
              <w:rPr>
                <w:sz w:val="14"/>
                <w:szCs w:val="14"/>
                <w:color w:val="auto"/>
              </w:rPr>
            </w:pPr>
          </w:p>
        </w:tc>
        <w:tc>
          <w:tcPr>
            <w:tcW w:w="5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Gibson, Dunn &amp; Crutcher LLP</w:t>
            </w:r>
          </w:p>
        </w:tc>
        <w:tc>
          <w:tcPr>
            <w:tcW w:w="168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5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811 Main Street, Suite 3000</w:t>
            </w:r>
          </w:p>
        </w:tc>
        <w:tc>
          <w:tcPr>
            <w:tcW w:w="1680" w:type="dxa"/>
            <w:vAlign w:val="bottom"/>
          </w:tcPr>
          <w:p>
            <w:pPr>
              <w:spacing w:after="0"/>
              <w:rPr>
                <w:sz w:val="14"/>
                <w:szCs w:val="14"/>
                <w:color w:val="auto"/>
              </w:rPr>
            </w:pPr>
          </w:p>
        </w:tc>
      </w:tr>
      <w:tr>
        <w:trPr>
          <w:trHeight w:val="176"/>
        </w:trPr>
        <w:tc>
          <w:tcPr>
            <w:tcW w:w="2160" w:type="dxa"/>
            <w:vAlign w:val="bottom"/>
          </w:tcPr>
          <w:p>
            <w:pPr>
              <w:spacing w:after="0"/>
              <w:rPr>
                <w:sz w:val="15"/>
                <w:szCs w:val="15"/>
                <w:color w:val="auto"/>
              </w:rPr>
            </w:pPr>
          </w:p>
        </w:tc>
        <w:tc>
          <w:tcPr>
            <w:tcW w:w="54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Houston, Texas 77002</w:t>
            </w:r>
          </w:p>
        </w:tc>
        <w:tc>
          <w:tcPr>
            <w:tcW w:w="1680" w:type="dxa"/>
            <w:vAlign w:val="bottom"/>
          </w:tcPr>
          <w:p>
            <w:pPr>
              <w:spacing w:after="0"/>
              <w:rPr>
                <w:sz w:val="15"/>
                <w:szCs w:val="15"/>
                <w:color w:val="auto"/>
              </w:rPr>
            </w:pPr>
          </w:p>
        </w:tc>
      </w:tr>
      <w:tr>
        <w:trPr>
          <w:trHeight w:val="190"/>
        </w:trPr>
        <w:tc>
          <w:tcPr>
            <w:tcW w:w="2160" w:type="dxa"/>
            <w:vAlign w:val="bottom"/>
          </w:tcPr>
          <w:p>
            <w:pPr>
              <w:spacing w:after="0"/>
              <w:rPr>
                <w:sz w:val="16"/>
                <w:szCs w:val="16"/>
                <w:color w:val="auto"/>
              </w:rPr>
            </w:pPr>
          </w:p>
        </w:tc>
        <w:tc>
          <w:tcPr>
            <w:tcW w:w="5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Telephone: (346) 718-6600</w:t>
            </w:r>
          </w:p>
        </w:tc>
        <w:tc>
          <w:tcPr>
            <w:tcW w:w="1680" w:type="dxa"/>
            <w:vAlign w:val="bottom"/>
          </w:tcPr>
          <w:p>
            <w:pPr>
              <w:spacing w:after="0"/>
              <w:rPr>
                <w:sz w:val="16"/>
                <w:szCs w:val="16"/>
                <w:color w:val="auto"/>
              </w:rPr>
            </w:pPr>
          </w:p>
        </w:tc>
      </w:tr>
    </w:tbl>
    <w:p>
      <w:pPr>
        <w:spacing w:after="0" w:line="14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Not applicable</w:t>
      </w:r>
    </w:p>
    <w:p>
      <w:pPr>
        <w:spacing w:after="0" w:line="101" w:lineRule="exact"/>
        <w:rPr>
          <w:sz w:val="24"/>
          <w:szCs w:val="24"/>
          <w:color w:val="auto"/>
        </w:rPr>
      </w:pPr>
    </w:p>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46" w:lineRule="exact"/>
        <w:rPr>
          <w:sz w:val="24"/>
          <w:szCs w:val="24"/>
          <w:color w:val="auto"/>
        </w:rPr>
      </w:pPr>
    </w:p>
    <w:p>
      <w:pPr>
        <w:ind w:right="20" w:firstLine="486"/>
        <w:spacing w:after="0" w:line="189"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9" w:lineRule="exact"/>
        <w:rPr>
          <w:sz w:val="24"/>
          <w:szCs w:val="24"/>
          <w:color w:val="auto"/>
        </w:rPr>
      </w:pPr>
    </w:p>
    <w:p>
      <w:pPr>
        <w:ind w:right="60" w:firstLine="486"/>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82" w:lineRule="exact"/>
        <w:rPr>
          <w:sz w:val="24"/>
          <w:szCs w:val="24"/>
          <w:color w:val="auto"/>
        </w:rPr>
      </w:pPr>
    </w:p>
    <w:p>
      <w:pPr>
        <w:ind w:right="80" w:firstLine="486"/>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9" w:lineRule="exact"/>
        <w:rPr>
          <w:sz w:val="24"/>
          <w:szCs w:val="24"/>
          <w:color w:val="auto"/>
        </w:rPr>
      </w:pPr>
    </w:p>
    <w:p>
      <w:pPr>
        <w:ind w:right="40" w:firstLine="486"/>
        <w:spacing w:after="0" w:line="19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9" w:lineRule="exact"/>
        <w:rPr>
          <w:sz w:val="24"/>
          <w:szCs w:val="24"/>
          <w:color w:val="auto"/>
        </w:rPr>
      </w:pPr>
    </w:p>
    <w:p>
      <w:pPr>
        <w:ind w:right="340" w:firstLine="486"/>
        <w:spacing w:after="0" w:line="189"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9" w:lineRule="exact"/>
        <w:rPr>
          <w:sz w:val="24"/>
          <w:szCs w:val="24"/>
          <w:color w:val="auto"/>
        </w:rPr>
      </w:pPr>
    </w:p>
    <w:p>
      <w:pPr>
        <w:ind w:right="160" w:firstLine="486"/>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80" w:type="dxa"/>
        <w:tblCellMar>
          <w:top w:w="0" w:type="dxa"/>
          <w:left w:w="0" w:type="dxa"/>
          <w:bottom w:w="0" w:type="dxa"/>
          <w:right w:w="0" w:type="dxa"/>
        </w:tblCellMar>
      </w:tblP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Accelerated filer</w:t>
            </w:r>
          </w:p>
        </w:tc>
        <w:tc>
          <w:tcPr>
            <w:tcW w:w="1700" w:type="dxa"/>
            <w:vAlign w:val="bottom"/>
          </w:tcPr>
          <w:p>
            <w:pPr>
              <w:ind w:left="1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700" w:type="dxa"/>
            <w:vAlign w:val="bottom"/>
          </w:tcPr>
          <w:p>
            <w:pPr>
              <w:ind w:left="1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9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5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700" w:type="dxa"/>
            <w:vAlign w:val="bottom"/>
          </w:tcPr>
          <w:p>
            <w:pPr>
              <w:ind w:left="15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4" w:lineRule="exact"/>
        <w:rPr>
          <w:sz w:val="24"/>
          <w:szCs w:val="24"/>
          <w:color w:val="auto"/>
        </w:rPr>
      </w:pPr>
    </w:p>
    <w:p>
      <w:pPr>
        <w:ind w:right="580" w:firstLine="648"/>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18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This post-effective amendment will become effective in accordance with the provisions of Section 8(c) of the Securities Act.</w:t>
      </w:r>
    </w:p>
    <w:p>
      <w:pPr>
        <w:sectPr>
          <w:pgSz w:w="11900" w:h="16838" w:orient="portrait"/>
          <w:cols w:equalWidth="0" w:num="1">
            <w:col w:w="11240"/>
          </w:cols>
          <w:pgMar w:left="320" w:top="1060" w:right="3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TERMINATION OF REGISTRATION STATEMENT</w:t>
      </w:r>
    </w:p>
    <w:p>
      <w:pPr>
        <w:spacing w:after="0" w:line="229" w:lineRule="exact"/>
        <w:rPr>
          <w:sz w:val="20"/>
          <w:szCs w:val="20"/>
          <w:color w:val="auto"/>
        </w:rPr>
      </w:pPr>
    </w:p>
    <w:p>
      <w:pPr>
        <w:ind w:right="20" w:firstLine="324"/>
        <w:spacing w:after="0" w:line="216" w:lineRule="auto"/>
        <w:rPr>
          <w:sz w:val="20"/>
          <w:szCs w:val="20"/>
          <w:color w:val="auto"/>
        </w:rPr>
      </w:pPr>
      <w:r>
        <w:rPr>
          <w:rFonts w:ascii="Times New Roman" w:cs="Times New Roman" w:eastAsia="Times New Roman" w:hAnsi="Times New Roman"/>
          <w:sz w:val="18"/>
          <w:szCs w:val="18"/>
          <w:color w:val="auto"/>
        </w:rPr>
        <w:t>This Post-Effective Amendment No. 1 relates to the Registration Statement on Form S-3 (Registration No. 333-233444) filed by Civeo Corporation (the “Company”) with the Securities and Exchange Commission (the “SEC”) on August 23, 2019 (the “Registration Statement”) and declared effective by the SEC on September 5, 2019, registering (i) an indeterminate amount of the Company’s common shares, no par value (“Common Shares”), preferred</w:t>
      </w:r>
    </w:p>
    <w:p>
      <w:pPr>
        <w:spacing w:after="0" w:line="1"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rPr>
        <w:t>shares, no par value, debt securities and warrants with an aggregate initial offering price of up to $300,000,000 in one or more primary offerings (the “Primary Securities”) and (ii) an aggregate of 60,756,375 Common Shares (before giving effect to the 1-for-12 reverse share split that was effected on November 19, 2020) for resale by the selling shareholders named therein (the “Secondary Securities”). The Primary Securities remain unsold and have</w:t>
      </w:r>
    </w:p>
    <w:p>
      <w:pPr>
        <w:spacing w:after="0" w:line="205" w:lineRule="auto"/>
        <w:rPr>
          <w:sz w:val="20"/>
          <w:szCs w:val="20"/>
          <w:color w:val="auto"/>
        </w:rPr>
      </w:pPr>
      <w:r>
        <w:rPr>
          <w:rFonts w:ascii="Times New Roman" w:cs="Times New Roman" w:eastAsia="Times New Roman" w:hAnsi="Times New Roman"/>
          <w:sz w:val="18"/>
          <w:szCs w:val="18"/>
          <w:color w:val="auto"/>
        </w:rPr>
        <w:t>been included, pursuant to Rule 415(a)(6), in a new Registration Statement on Form S-3 (Registration No. 333-267148) filed by the Company with the</w:t>
      </w:r>
    </w:p>
    <w:p>
      <w:pPr>
        <w:spacing w:after="0" w:line="204" w:lineRule="auto"/>
        <w:rPr>
          <w:sz w:val="20"/>
          <w:szCs w:val="20"/>
          <w:color w:val="auto"/>
        </w:rPr>
      </w:pPr>
      <w:r>
        <w:rPr>
          <w:rFonts w:ascii="Times New Roman" w:cs="Times New Roman" w:eastAsia="Times New Roman" w:hAnsi="Times New Roman"/>
          <w:sz w:val="18"/>
          <w:szCs w:val="18"/>
          <w:color w:val="auto"/>
        </w:rPr>
        <w:t>SEC on August 29, 2022 and declared effective by the SEC on September 7, 2022. The Company is filing this Post-Effective Amendment No. 1 to the</w:t>
      </w:r>
    </w:p>
    <w:p>
      <w:pPr>
        <w:spacing w:after="0" w:line="219" w:lineRule="auto"/>
        <w:rPr>
          <w:sz w:val="20"/>
          <w:szCs w:val="20"/>
          <w:color w:val="auto"/>
        </w:rPr>
      </w:pPr>
      <w:r>
        <w:rPr>
          <w:rFonts w:ascii="Times New Roman" w:cs="Times New Roman" w:eastAsia="Times New Roman" w:hAnsi="Times New Roman"/>
          <w:sz w:val="18"/>
          <w:szCs w:val="18"/>
          <w:color w:val="auto"/>
        </w:rPr>
        <w:t>Registration Statement to terminate the offering and remove from registration the 2,897,458 Common Shares (after giving effect to the 1-for-12 reverse</w:t>
      </w:r>
    </w:p>
    <w:p>
      <w:pPr>
        <w:spacing w:after="0" w:line="226" w:lineRule="auto"/>
        <w:rPr>
          <w:sz w:val="20"/>
          <w:szCs w:val="20"/>
          <w:color w:val="auto"/>
        </w:rPr>
      </w:pPr>
      <w:r>
        <w:rPr>
          <w:rFonts w:ascii="Times New Roman" w:cs="Times New Roman" w:eastAsia="Times New Roman" w:hAnsi="Times New Roman"/>
          <w:sz w:val="18"/>
          <w:szCs w:val="18"/>
          <w:color w:val="auto"/>
        </w:rPr>
        <w:t>share split that was effected on November 19, 2020) (the “Unsold Securities”) that comprised a portion of the Secondary Securities and have not been sold pursuant to the prospectus contained in the Registration Statement.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an undertaking in the Registration Statement to remove from registration by means of a post-effective amendment any of the</w:t>
      </w:r>
    </w:p>
    <w:p>
      <w:pPr>
        <w:spacing w:after="0" w:line="2" w:lineRule="exact"/>
        <w:rPr>
          <w:sz w:val="20"/>
          <w:szCs w:val="20"/>
          <w:color w:val="auto"/>
        </w:rPr>
      </w:pPr>
    </w:p>
    <w:p>
      <w:pPr>
        <w:ind w:right="300"/>
        <w:spacing w:after="0" w:line="218" w:lineRule="auto"/>
        <w:rPr>
          <w:sz w:val="20"/>
          <w:szCs w:val="20"/>
          <w:color w:val="auto"/>
        </w:rPr>
      </w:pPr>
      <w:r>
        <w:rPr>
          <w:rFonts w:ascii="Times New Roman" w:cs="Times New Roman" w:eastAsia="Times New Roman" w:hAnsi="Times New Roman"/>
          <w:sz w:val="18"/>
          <w:szCs w:val="18"/>
          <w:color w:val="auto"/>
        </w:rPr>
        <w:t>securities which had been registered but remain unsold at the termination of the offering, the Company hereby removes from registration the Unsold Securities which have been registered for resale under the Registration Statement but remain unsold. The Registration Statement is hereby amended to reflect the termination of the offering and the removal from registration of the Unsold Securities.</w:t>
      </w:r>
    </w:p>
    <w:p>
      <w:pPr>
        <w:sectPr>
          <w:pgSz w:w="11900" w:h="16838" w:orient="portrait"/>
          <w:cols w:equalWidth="0" w:num="1">
            <w:col w:w="11140"/>
          </w:cols>
          <w:pgMar w:left="320" w:top="1400"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w:t>
      </w:r>
    </w:p>
    <w:p>
      <w:pPr>
        <w:spacing w:after="0" w:line="14"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of the requirements for filing on Form S-3 and has duly caused this registration statement to be signed on its behalf by the undersigned, thereunto duly authorized, in the City of Houston, State of Texas, on September 16, 2022.</w:t>
      </w:r>
    </w:p>
    <w:p>
      <w:pPr>
        <w:spacing w:after="0" w:line="1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295"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tab/>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-635</wp:posOffset>
            </wp:positionV>
            <wp:extent cx="1009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ind w:left="4080"/>
        <w:spacing w:after="0" w:line="203" w:lineRule="auto"/>
        <w:rPr>
          <w:sz w:val="20"/>
          <w:szCs w:val="20"/>
          <w:color w:val="auto"/>
        </w:rPr>
      </w:pPr>
      <w:r>
        <w:rPr>
          <w:rFonts w:ascii="Times New Roman" w:cs="Times New Roman" w:eastAsia="Times New Roman" w:hAnsi="Times New Roman"/>
          <w:sz w:val="18"/>
          <w:szCs w:val="18"/>
          <w:color w:val="auto"/>
        </w:rPr>
        <w:t>Carolyn J. Stone</w:t>
      </w:r>
    </w:p>
    <w:p>
      <w:pPr>
        <w:ind w:left="454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124" w:lineRule="exact"/>
        <w:rPr>
          <w:sz w:val="20"/>
          <w:szCs w:val="20"/>
          <w:color w:val="auto"/>
        </w:rPr>
      </w:pPr>
    </w:p>
    <w:p>
      <w:pPr>
        <w:ind w:right="520" w:firstLine="324"/>
        <w:spacing w:after="0" w:line="329" w:lineRule="auto"/>
        <w:rPr>
          <w:sz w:val="20"/>
          <w:szCs w:val="20"/>
          <w:color w:val="auto"/>
        </w:rPr>
      </w:pPr>
      <w:r>
        <w:rPr>
          <w:rFonts w:ascii="Times New Roman" w:cs="Times New Roman" w:eastAsia="Times New Roman" w:hAnsi="Times New Roman"/>
          <w:sz w:val="18"/>
          <w:szCs w:val="18"/>
          <w:color w:val="auto"/>
        </w:rPr>
        <w:t>Pursuant to Rule 478 of the Securities Act of 1933, as amended, no other person is required to sign this Post-Effective Amendment No. 1 to the Registration Statement.</w:t>
      </w:r>
    </w:p>
    <w:sectPr>
      <w:pgSz w:w="11900" w:h="16838" w:orient="portrait"/>
      <w:cols w:equalWidth="0" w:num="1">
        <w:col w:w="11180"/>
      </w:cols>
      <w:pgMar w:left="320" w:top="14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2022-09-16T14:46:02Z</dcterms:created>
  <dcterms:modified xsi:type="dcterms:W3CDTF">2022-09-16T14:46:02Z</dcterms:modified>
</cp:coreProperties>
</file>