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20"/>
        <w:spacing w:after="0"/>
        <w:rPr>
          <w:sz w:val="20"/>
          <w:szCs w:val="20"/>
          <w:color w:val="auto"/>
        </w:rPr>
      </w:pPr>
      <w:r>
        <w:rPr>
          <w:rFonts w:ascii="Arial" w:cs="Arial" w:eastAsia="Arial" w:hAnsi="Arial"/>
          <w:sz w:val="25"/>
          <w:szCs w:val="25"/>
          <w:color w:val="auto"/>
        </w:rPr>
        <w:t>______________________</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20"/>
        <w:spacing w:after="0"/>
        <w:rPr>
          <w:sz w:val="20"/>
          <w:szCs w:val="20"/>
          <w:color w:val="auto"/>
        </w:rPr>
      </w:pPr>
      <w:r>
        <w:rPr>
          <w:rFonts w:ascii="Arial" w:cs="Arial" w:eastAsia="Arial" w:hAnsi="Arial"/>
          <w:sz w:val="25"/>
          <w:szCs w:val="25"/>
          <w:color w:val="auto"/>
        </w:rPr>
        <w:t>______________________</w:t>
      </w:r>
    </w:p>
    <w:p>
      <w:pPr>
        <w:spacing w:after="0" w:line="23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248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7" w:lineRule="exact"/>
        <w:rPr>
          <w:sz w:val="24"/>
          <w:szCs w:val="24"/>
          <w:color w:val="auto"/>
        </w:rPr>
      </w:pPr>
    </w:p>
    <w:p>
      <w:pPr>
        <w:ind w:left="2880"/>
        <w:spacing w:after="0"/>
        <w:rPr>
          <w:sz w:val="20"/>
          <w:szCs w:val="20"/>
          <w:color w:val="auto"/>
        </w:rPr>
      </w:pPr>
      <w:r>
        <w:rPr>
          <w:rFonts w:ascii="Arial" w:cs="Arial" w:eastAsia="Arial" w:hAnsi="Arial"/>
          <w:sz w:val="21"/>
          <w:szCs w:val="21"/>
          <w:color w:val="auto"/>
        </w:rPr>
        <w:t>Date of Report (Date of earliest event Reported): April 27, 2016</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Civeo Corporation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Charter)</w:t>
      </w:r>
    </w:p>
    <w:p>
      <w:pPr>
        <w:sectPr>
          <w:pgSz w:w="11900" w:h="16838" w:orient="portrait"/>
          <w:cols w:equalWidth="0" w:num="1">
            <w:col w:w="11300"/>
          </w:cols>
          <w:pgMar w:left="240" w:top="549" w:right="359" w:bottom="1440" w:gutter="0" w:footer="0" w:header="0"/>
        </w:sectPr>
      </w:pP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British Columbia Canada</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1-36246</w:t>
      </w:r>
    </w:p>
    <w:p>
      <w:pPr>
        <w:spacing w:after="0" w:line="14" w:lineRule="exact"/>
        <w:rPr>
          <w:sz w:val="24"/>
          <w:szCs w:val="24"/>
          <w:color w:val="auto"/>
        </w:rPr>
      </w:pPr>
    </w:p>
    <w:p>
      <w:pPr>
        <w:jc w:val="center"/>
        <w:ind w:right="14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98-1253716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(I.R.S. Employer Identification Number)</w:t>
      </w:r>
    </w:p>
    <w:p>
      <w:pPr>
        <w:spacing w:after="0" w:line="38" w:lineRule="exact"/>
        <w:rPr>
          <w:sz w:val="24"/>
          <w:szCs w:val="24"/>
          <w:color w:val="auto"/>
        </w:rPr>
      </w:pPr>
    </w:p>
    <w:p>
      <w:pPr>
        <w:sectPr>
          <w:pgSz w:w="11900" w:h="16838" w:orient="portrait"/>
          <w:cols w:equalWidth="0" w:num="3">
            <w:col w:w="3800" w:space="720"/>
            <w:col w:w="2540" w:space="720"/>
            <w:col w:w="3520"/>
          </w:cols>
          <w:pgMar w:left="240" w:top="549" w:right="359" w:bottom="1440" w:gutter="0" w:footer="0" w:header="0"/>
          <w:type w:val="continuous"/>
        </w:sectPr>
      </w:pPr>
    </w:p>
    <w:p>
      <w:pPr>
        <w:ind w:left="1260"/>
        <w:spacing w:after="0"/>
        <w:rPr>
          <w:sz w:val="20"/>
          <w:szCs w:val="20"/>
          <w:color w:val="auto"/>
        </w:rPr>
      </w:pPr>
      <w:r>
        <w:rPr>
          <w:rFonts w:ascii="Arial" w:cs="Arial" w:eastAsia="Arial" w:hAnsi="Arial"/>
          <w:sz w:val="19"/>
          <w:szCs w:val="19"/>
          <w:color w:val="auto"/>
        </w:rPr>
        <w:t>Incorporation)</w:t>
      </w:r>
    </w:p>
    <w:p>
      <w:pPr>
        <w:sectPr>
          <w:pgSz w:w="11900" w:h="16838" w:orient="portrait"/>
          <w:cols w:equalWidth="0" w:num="1">
            <w:col w:w="11300"/>
          </w:cols>
          <w:pgMar w:left="240" w:top="549"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 Clay Street, Suite 4980, Houston, Texas 77002</w:t>
      </w:r>
    </w:p>
    <w:p>
      <w:pPr>
        <w:jc w:val="center"/>
        <w:ind w:right="-119"/>
        <w:spacing w:after="0"/>
        <w:rPr>
          <w:sz w:val="20"/>
          <w:szCs w:val="20"/>
          <w:color w:val="auto"/>
        </w:rPr>
      </w:pPr>
      <w:r>
        <w:rPr>
          <w:rFonts w:ascii="Arial" w:cs="Arial" w:eastAsia="Arial" w:hAnsi="Arial"/>
          <w:sz w:val="22"/>
          <w:szCs w:val="22"/>
          <w:color w:val="auto"/>
        </w:rPr>
        <w:t>(Address of Principal Executive Offices) (Zip Code)</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(713) 510-2400</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(Registrant's telephone number, including area code)</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188" w:lineRule="exact"/>
        <w:rPr>
          <w:sz w:val="24"/>
          <w:szCs w:val="24"/>
          <w:color w:val="auto"/>
        </w:rPr>
      </w:pPr>
    </w:p>
    <w:p>
      <w:pPr>
        <w:ind w:right="1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420" w:hanging="128"/>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Written communications pursuant to Rule 425 under the Securities Act (17 CFR 230.425)</w:t>
      </w:r>
    </w:p>
    <w:p>
      <w:pPr>
        <w:spacing w:after="0" w:line="8" w:lineRule="exact"/>
        <w:rPr>
          <w:rFonts w:ascii="Arial" w:cs="Arial" w:eastAsia="Arial" w:hAnsi="Arial"/>
          <w:sz w:val="22"/>
          <w:szCs w:val="22"/>
          <w:color w:val="auto"/>
        </w:rPr>
      </w:pPr>
    </w:p>
    <w:p>
      <w:pPr>
        <w:ind w:left="420" w:hanging="128"/>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Soliciting material pursuant to Rule 14a-12 under the Exchange Act (17 CFR 240.14a-12)</w:t>
      </w:r>
    </w:p>
    <w:p>
      <w:pPr>
        <w:ind w:left="420" w:hanging="128"/>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Pre-commencement communications pursuant to Rule 14d-2(b) under the Exchange Act (17 CFR 240.14d-2(b))</w:t>
      </w:r>
    </w:p>
    <w:p>
      <w:pPr>
        <w:ind w:left="420" w:hanging="128"/>
        <w:spacing w:after="0"/>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4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On April 27, 2016, Civeo Corporation (the “Company”) issued a press release announcing its financial condition and results of operations for the quarter ended March 31, 2016. A copy of the press release is furnished as Exhibit 99.1 to this report on Form 8-K, and is incorporated herein by reference.</w:t>
      </w:r>
    </w:p>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ind w:left="1280" w:hanging="624"/>
        <w:spacing w:after="0"/>
        <w:tabs>
          <w:tab w:leader="none" w:pos="128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2"/>
              </w:rPr>
              <w:t>Exhibit Number</w:t>
            </w:r>
          </w:p>
        </w:tc>
        <w:tc>
          <w:tcPr>
            <w:tcW w:w="280" w:type="dxa"/>
            <w:vAlign w:val="bottom"/>
          </w:tcPr>
          <w:p>
            <w:pPr>
              <w:spacing w:after="0"/>
              <w:rPr>
                <w:sz w:val="21"/>
                <w:szCs w:val="21"/>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Description of Document</w:t>
            </w:r>
          </w:p>
        </w:tc>
        <w:tc>
          <w:tcPr>
            <w:tcW w:w="7320" w:type="dxa"/>
            <w:vAlign w:val="bottom"/>
          </w:tcPr>
          <w:p>
            <w:pPr>
              <w:spacing w:after="0"/>
              <w:rPr>
                <w:sz w:val="21"/>
                <w:szCs w:val="21"/>
                <w:color w:val="auto"/>
              </w:rPr>
            </w:pPr>
          </w:p>
        </w:tc>
      </w:tr>
      <w:tr>
        <w:trPr>
          <w:trHeight w:val="517"/>
        </w:trPr>
        <w:tc>
          <w:tcPr>
            <w:tcW w:w="152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Arial" w:cs="Arial" w:eastAsia="Arial" w:hAnsi="Arial"/>
                <w:sz w:val="22"/>
                <w:szCs w:val="22"/>
                <w:color w:val="auto"/>
              </w:rPr>
              <w:t>Press Release dated April 27, 2016</w:t>
            </w:r>
          </w:p>
        </w:tc>
      </w:tr>
      <w:tr>
        <w:trPr>
          <w:trHeight w:val="676"/>
        </w:trPr>
        <w:tc>
          <w:tcPr>
            <w:tcW w:w="15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7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60" w:type="dxa"/>
            <w:vAlign w:val="bottom"/>
          </w:tcPr>
          <w:p>
            <w:pPr>
              <w:spacing w:after="0"/>
              <w:rPr>
                <w:sz w:val="24"/>
                <w:szCs w:val="24"/>
                <w:color w:val="auto"/>
              </w:rPr>
            </w:pPr>
          </w:p>
        </w:tc>
        <w:tc>
          <w:tcPr>
            <w:tcW w:w="7760" w:type="dxa"/>
            <w:vAlign w:val="bottom"/>
            <w:gridSpan w:val="3"/>
          </w:tcPr>
          <w:p>
            <w:pPr>
              <w:ind w:left="1860"/>
              <w:spacing w:after="0"/>
              <w:rPr>
                <w:sz w:val="20"/>
                <w:szCs w:val="20"/>
                <w:color w:val="auto"/>
              </w:rPr>
            </w:pPr>
            <w:r>
              <w:rPr>
                <w:rFonts w:ascii="Arial" w:cs="Arial" w:eastAsia="Arial" w:hAnsi="Arial"/>
                <w:sz w:val="22"/>
                <w:szCs w:val="22"/>
                <w:b w:val="1"/>
                <w:bCs w:val="1"/>
                <w:color w:val="auto"/>
              </w:rPr>
              <w:t>Civeo Corporation</w:t>
            </w:r>
          </w:p>
        </w:tc>
      </w:tr>
      <w:tr>
        <w:trPr>
          <w:trHeight w:val="679"/>
        </w:trPr>
        <w:tc>
          <w:tcPr>
            <w:tcW w:w="3660" w:type="dxa"/>
            <w:vAlign w:val="bottom"/>
          </w:tcPr>
          <w:p>
            <w:pPr>
              <w:spacing w:after="0"/>
              <w:rPr>
                <w:sz w:val="20"/>
                <w:szCs w:val="20"/>
                <w:color w:val="auto"/>
              </w:rPr>
            </w:pPr>
            <w:r>
              <w:rPr>
                <w:rFonts w:ascii="Arial" w:cs="Arial" w:eastAsia="Arial" w:hAnsi="Arial"/>
                <w:sz w:val="22"/>
                <w:szCs w:val="22"/>
                <w:color w:val="auto"/>
              </w:rPr>
              <w:t>Date: April 28, 2016</w:t>
            </w:r>
          </w:p>
        </w:tc>
        <w:tc>
          <w:tcPr>
            <w:tcW w:w="7760" w:type="dxa"/>
            <w:vAlign w:val="bottom"/>
            <w:gridSpan w:val="3"/>
          </w:tcPr>
          <w:p>
            <w:pPr>
              <w:ind w:left="1860"/>
              <w:spacing w:after="0"/>
              <w:rPr>
                <w:sz w:val="20"/>
                <w:szCs w:val="20"/>
                <w:color w:val="auto"/>
              </w:rPr>
            </w:pPr>
            <w:r>
              <w:rPr>
                <w:rFonts w:ascii="Arial" w:cs="Arial" w:eastAsia="Arial" w:hAnsi="Arial"/>
                <w:sz w:val="22"/>
                <w:szCs w:val="22"/>
                <w:color w:val="auto"/>
              </w:rPr>
              <w:t>By: /s/ Frank C. Steininger</w:t>
            </w:r>
          </w:p>
        </w:tc>
      </w:tr>
      <w:tr>
        <w:trPr>
          <w:trHeight w:val="242"/>
        </w:trPr>
        <w:tc>
          <w:tcPr>
            <w:tcW w:w="36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44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2"/>
              </w:rPr>
              <w:t>Name: Frank C. Steininger</w:t>
            </w:r>
          </w:p>
        </w:tc>
        <w:tc>
          <w:tcPr>
            <w:tcW w:w="3080" w:type="dxa"/>
            <w:vAlign w:val="bottom"/>
          </w:tcPr>
          <w:p>
            <w:pPr>
              <w:spacing w:after="0"/>
              <w:rPr>
                <w:sz w:val="21"/>
                <w:szCs w:val="21"/>
                <w:color w:val="auto"/>
              </w:rPr>
            </w:pPr>
          </w:p>
        </w:tc>
      </w:tr>
      <w:tr>
        <w:trPr>
          <w:trHeight w:val="243"/>
        </w:trPr>
        <w:tc>
          <w:tcPr>
            <w:tcW w:w="36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520" w:type="dxa"/>
            <w:vAlign w:val="bottom"/>
            <w:gridSpan w:val="2"/>
          </w:tcPr>
          <w:p>
            <w:pPr>
              <w:spacing w:after="0" w:line="243" w:lineRule="exact"/>
              <w:rPr>
                <w:sz w:val="20"/>
                <w:szCs w:val="20"/>
                <w:color w:val="auto"/>
              </w:rPr>
            </w:pPr>
            <w:r>
              <w:rPr>
                <w:rFonts w:ascii="Arial" w:cs="Arial" w:eastAsia="Arial" w:hAnsi="Arial"/>
                <w:sz w:val="22"/>
                <w:szCs w:val="22"/>
                <w:color w:val="auto"/>
              </w:rPr>
              <w:t>Title: Senior Vice President, Chief Financial</w:t>
            </w:r>
          </w:p>
        </w:tc>
      </w:tr>
      <w:tr>
        <w:trPr>
          <w:trHeight w:val="275"/>
        </w:trPr>
        <w:tc>
          <w:tcPr>
            <w:tcW w:w="36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520" w:type="dxa"/>
            <w:vAlign w:val="bottom"/>
            <w:gridSpan w:val="2"/>
          </w:tcPr>
          <w:p>
            <w:pPr>
              <w:spacing w:after="0"/>
              <w:rPr>
                <w:sz w:val="20"/>
                <w:szCs w:val="20"/>
                <w:color w:val="auto"/>
              </w:rPr>
            </w:pPr>
            <w:r>
              <w:rPr>
                <w:rFonts w:ascii="Arial" w:cs="Arial" w:eastAsia="Arial" w:hAnsi="Arial"/>
                <w:sz w:val="22"/>
                <w:szCs w:val="22"/>
                <w:color w:val="auto"/>
              </w:rPr>
              <w:t>Officer and Treasurer</w:t>
            </w:r>
          </w:p>
        </w:tc>
      </w:tr>
      <w:tr>
        <w:trPr>
          <w:trHeight w:val="459"/>
        </w:trPr>
        <w:tc>
          <w:tcPr>
            <w:tcW w:w="366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2"/>
              </w:rPr>
              <w:t>Exhibit Number</w:t>
            </w:r>
          </w:p>
        </w:tc>
        <w:tc>
          <w:tcPr>
            <w:tcW w:w="280" w:type="dxa"/>
            <w:vAlign w:val="bottom"/>
          </w:tcPr>
          <w:p>
            <w:pPr>
              <w:spacing w:after="0"/>
              <w:rPr>
                <w:sz w:val="21"/>
                <w:szCs w:val="21"/>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Description of Document</w:t>
            </w:r>
          </w:p>
        </w:tc>
        <w:tc>
          <w:tcPr>
            <w:tcW w:w="720" w:type="dxa"/>
            <w:vAlign w:val="bottom"/>
          </w:tcPr>
          <w:p>
            <w:pPr>
              <w:spacing w:after="0"/>
              <w:rPr>
                <w:sz w:val="21"/>
                <w:szCs w:val="21"/>
                <w:color w:val="auto"/>
              </w:rPr>
            </w:pPr>
          </w:p>
        </w:tc>
      </w:tr>
      <w:tr>
        <w:trPr>
          <w:trHeight w:val="517"/>
        </w:trPr>
        <w:tc>
          <w:tcPr>
            <w:tcW w:w="152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22"/>
                <w:szCs w:val="22"/>
                <w:color w:val="auto"/>
                <w:w w:val="86"/>
              </w:rPr>
              <w:t>Press Release dated April 27, 2016</w:t>
            </w:r>
          </w:p>
        </w:tc>
      </w:tr>
    </w:tbl>
    <w:p>
      <w:pPr>
        <w:sectPr>
          <w:pgSz w:w="11900" w:h="16838" w:orient="portrait"/>
          <w:cols w:equalWidth="0" w:num="1">
            <w:col w:w="10219"/>
          </w:cols>
          <w:pgMar w:left="240" w:top="328" w:right="1440" w:bottom="1440" w:gutter="0" w:footer="0" w:header="0"/>
        </w:sectPr>
      </w:pPr>
    </w:p>
    <w:bookmarkStart w:id="4" w:name="page5"/>
    <w:bookmarkEnd w:id="4"/>
    <w:p>
      <w:pPr>
        <w:spacing w:after="0" w:line="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Reports First Quarter 2016 Results</w:t>
      </w:r>
    </w:p>
    <w:p>
      <w:pPr>
        <w:spacing w:after="0" w:line="212" w:lineRule="exact"/>
        <w:rPr>
          <w:sz w:val="20"/>
          <w:szCs w:val="20"/>
          <w:color w:val="auto"/>
        </w:rPr>
      </w:pPr>
    </w:p>
    <w:p>
      <w:pPr>
        <w:ind w:right="240"/>
        <w:spacing w:after="0" w:line="274" w:lineRule="auto"/>
        <w:rPr>
          <w:sz w:val="20"/>
          <w:szCs w:val="20"/>
          <w:color w:val="auto"/>
        </w:rPr>
      </w:pPr>
      <w:r>
        <w:rPr>
          <w:rFonts w:ascii="Arial" w:cs="Arial" w:eastAsia="Arial" w:hAnsi="Arial"/>
          <w:sz w:val="21"/>
          <w:szCs w:val="21"/>
          <w:color w:val="auto"/>
        </w:rPr>
        <w:t>HOUSTON, April 27, 2016 (GLOBE NEWSWIRE) -- Civeo Corporation (NYSE:CVEO) today reported financial and operating results for the first quarter ended March 31, 2016 as well as subsequent operational and financial updates.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Delivered revenues of $95 million -- at the high end of management’s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0"/>
        <w:spacing w:after="0" w:line="256" w:lineRule="auto"/>
        <w:rPr>
          <w:sz w:val="20"/>
          <w:szCs w:val="20"/>
          <w:color w:val="auto"/>
        </w:rPr>
      </w:pPr>
      <w:r>
        <w:rPr>
          <w:rFonts w:ascii="Arial" w:cs="Arial" w:eastAsia="Arial" w:hAnsi="Arial"/>
          <w:sz w:val="21"/>
          <w:szCs w:val="21"/>
          <w:color w:val="auto"/>
        </w:rPr>
        <w:t>Generated $8.1 million in free cash flow through ongoing cost containment and made $11 million of net debt repayments As previously announced, amended revolving bank credit facility to increase leverage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-276860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-122555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“Energy markets have continued to soften in 2016, and our first quarter results reflect lower activity levels in both Canada and the U.S. and continued weakness in the Australian mining sector. Despite the challenging conditions, we continued to manage costs aggressively, generate positive free cash flow and tightly managed our liquidity,” said Bradley J. Dodson, President and Chief Executive Officer. “As a result, during the first quarter of 2016, we delivered revenues in the upper end of our guidance and Adjusted EBITDA in line with our expectations. We also generated more than $8 million of free cash flow.</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actively pursuing new business opportunities in Western Canada, both in the oil sands region of Alberta and longer-term LNG-related opportunities in British Columbia. We are also continuing to drive additional operating efficiencies and properly align the size of our business with market demand. In the U.S. Bakken Shale region, we further reduced capacity and operating expenses to reduce costs later this year.</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we look across our global portfolio, our operational performance and outlook for the balance of 2016 is largely consistent with our prior guidance. The one exception is our U.S. segment, where market conditions continue to deteriorate with U.S. drilling activity. We believe that we are well-positioned to manage through a prolonged cyclical downturn, with a strong competitive position and an improving financial foundation. We will continue to pursue our current three-pronged strategy to drive free cash flow, reduce leverage and capture organic growth opportunities,” Mr. Dodson said.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QUARTER 2016 RESULTS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the first quarter of 2016, the Company generated revenues of $95.0 million and Adjusted EBITDA of $16.8 million. Reported net loss was $26.8 million, or a loss of $0.25 per share, which included the impact of $8.4 million of pre-tax charges, or $0.05 per share after-tax, related to the impairment of our assets in the U.S. Bakken Shale region, and a $1.0 million pre-tax expense, or $0.01 per share, related to our redomiciliation to Canada in 2015. Excluding these charges, adjusted net loss was $20.7 million, or a loss of $0.19 per share.</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(EBITDA is a non-GAAP financial measure that is defined as net income plus interest, taxes, depreciation and amortization, and Adjusted EBITDA is defined as EBITDA adjusted to exclude impairment charges and certain other costs. Free cash flow is a non-GAAP financial measure that is defined as net cash flows provided by operating activities less capital expenditures plus proceeds from asset sales. Please see a reconciliation to GAAP measures at the end of this news release.)</w:t>
      </w:r>
    </w:p>
    <w:p>
      <w:pPr>
        <w:spacing w:after="0" w:line="14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By comparison, in the first quarter of 2015, the Company generated revenues of $171.0 million and Adjusted EBITDA of $53.0 million. Net loss for the prior-year quarter included a $3.8 million pre-tax charge, or $0.02 per share, related to impairment of certain fixed assets and a $1.2 million pre-tax expense, or $0.01 per share, in connection with the Company’s migration to Canada.</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year-over-year decline in revenues and Adjusted EBITDA was primarily due to lower occupancy levels caused by decreased customer activity in both the Canadian oil sands and Australian mining industries. Lower revenue was also compounded by the impact of a strengthening U.S. dollar during the first quarter, which appreciated 10% against the Canadian dollar and 8% against the Australian dollar.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(Unless otherwise noted, the following discussion compares the quarterly results for the first quarter of 2016 to the first quarter of 2015. The results discussed below exclude the fixed asset impairment expense and migration charges noted above.)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Canadian segment generated revenues of $65.5 million and Adjusted EBITDA of $14.2 million in the first quarter of 2016 compared to revenues of $116.9 million and Adjusted EBITDA of $37.5 million in the first quarter of 2015. Results included the impact of a weaker Canadian dollar relative to the U.S. dollar when compared to the first quarter of 2015, which reduced revenues by $7.0 million and Adjusted EBITDA by $1.5 million. Excluding the year-over-year impact of exchange rate changes, revenues would have decreased $44.4 million and Adjusted EBITDA would have decreased $21.8 million.</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a constant currency basis, lodge revenues declined 31% due to reduced occupancy and lower room rates. These items were partially offset by incremental contributions from the ramping up of the Company’s Mariana Lake Lodge in the third quarter and the Sitka Lodge in fourth quarter of 2015.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ectPr>
          <w:pgSz w:w="11900" w:h="16859" w:orient="portrait"/>
          <w:cols w:equalWidth="0" w:num="1">
            <w:col w:w="11420"/>
          </w:cols>
          <w:pgMar w:left="240" w:top="112" w:right="239" w:bottom="0" w:gutter="0" w:footer="0" w:header="0"/>
        </w:sectPr>
      </w:pPr>
    </w:p>
    <w:bookmarkStart w:id="5" w:name="page6"/>
    <w:bookmarkEnd w:id="5"/>
    <w:p>
      <w:pPr>
        <w:jc w:val="both"/>
        <w:spacing w:after="0" w:line="234" w:lineRule="auto"/>
        <w:rPr>
          <w:sz w:val="20"/>
          <w:szCs w:val="20"/>
          <w:color w:val="auto"/>
        </w:rPr>
      </w:pPr>
      <w:r>
        <w:rPr>
          <w:rFonts w:ascii="Arial" w:cs="Arial" w:eastAsia="Arial" w:hAnsi="Arial"/>
          <w:sz w:val="22"/>
          <w:szCs w:val="22"/>
          <w:color w:val="auto"/>
        </w:rPr>
        <w:t>The Australian segment generated revenues of $25.5 million and Adjusted EBITDA of $10.8 million in the first quarter of 2016, compared to revenues of $41.9 million and Adjusted EBITDA of $20.7 million in the first quarter of 2015. Results were impacted by a weaker Australian dollar relative to the U.S. dollar when compared to the first quarter of 2015, which decreased revenues by $2.3 million and Adjusted EBITDA by $0.9 million. Excluding the year-over-year impact of exchange rate changes, revenues would have decreased $14.1 million and Adjusted EBITDA would have decreased $9.0 million. On a constant currency basis, segment revenues declined 34% due to lower occupancy related to the continuing customer activity slowdown in the Australian mining industry, primarily in the Bowen Basin.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U.S. segment generated revenues of $4.0 million and negative Adjusted EBITDA of $3.1 million in the first quarter of 2016, compared to revenues of $12.2 million and Adjusted EBITDA of $0.1 million in the first quarter of 2015. Results reflected lower U.S. drilling activity in the Bakken, Rockies and Texas markets along with decreased sales from Civeo’s offshore business.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recognized an income tax benefit of $4.6 million, which reflected an effective tax rate of 14.6% in the first quarter of 2016. By comparison, during the first quarter 2015, the Company recognized income tax expense of $1.2 million, which resulted in an effective tax rate of 83.4%.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of March 31, 2016, the Company had total available liquidity of approximately $69 million, comprising $66 million available under its amended credit facility and $3.0 million of cash on hand. While the Company made net repayments of debt totaling $11.0 million, total debt, exclusive of debt issuance costs, increased to $415.3 million at March 31, 2016 from $401.6 million at the end of 2015 due to the impact of the strengthening Canadian dollar at the end of the quarter.</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previously reported in the 2015 fourth quarter earnings release, Civeo completed an amendment to its revolving bank credit facility in February 2016 that provided additional flexibility to manage through the current cyclical downturn in oil and mining activity. Under the amended credit facility, Civeo’s leverage ratio (Adjusted EBITDA/debt) may reach a maximum of 5.5x in the third and fourth quarters of 2016 before decreasing by 25 basis points every six months thereafter to 4.75x by the first quarter of 2018. In conjunction with this amendment, Civeo repaid $25 million of its U.S. Term Loan and reduced its Canadian revolver commitments by $25 million, thereby reducing total borrowing capacity going forward to $700 million from $750 million.</w:t>
      </w:r>
    </w:p>
    <w:p>
      <w:pPr>
        <w:spacing w:after="0" w:line="151" w:lineRule="exact"/>
        <w:rPr>
          <w:sz w:val="20"/>
          <w:szCs w:val="20"/>
          <w:color w:val="auto"/>
        </w:rPr>
      </w:pPr>
    </w:p>
    <w:p>
      <w:pPr>
        <w:ind w:right="940"/>
        <w:spacing w:after="0" w:line="435" w:lineRule="auto"/>
        <w:rPr>
          <w:sz w:val="20"/>
          <w:szCs w:val="20"/>
          <w:color w:val="auto"/>
        </w:rPr>
      </w:pPr>
      <w:r>
        <w:rPr>
          <w:rFonts w:ascii="Arial" w:cs="Arial" w:eastAsia="Arial" w:hAnsi="Arial"/>
          <w:sz w:val="22"/>
          <w:szCs w:val="22"/>
          <w:color w:val="auto"/>
        </w:rPr>
        <w:t xml:space="preserve">Capital expenditures totaled $4.8 million in the first quarter compared to $10.7 million spent in the same period last year. </w:t>
      </w:r>
      <w:r>
        <w:rPr>
          <w:rFonts w:ascii="Arial" w:cs="Arial" w:eastAsia="Arial" w:hAnsi="Arial"/>
          <w:sz w:val="22"/>
          <w:szCs w:val="22"/>
          <w:u w:val="single" w:color="auto"/>
          <w:color w:val="auto"/>
        </w:rPr>
        <w:t>SECOND QUARTER AND FULL YEAR 2016 GUIDANCE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second quarter of 2016, the Company expects revenues of $97 million to $101 million and Adjusted EBITDA of $17 million to $20 million. For the full year of 2016, the Company continues to expect revenues of $385 million to $415 million and EBITDA of $72 million to $82 million.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Civeo will host a conference call to discuss its first quarter 2016 financial results tomorrow at 11:00 a.m. Eastern time. This call will be webcast and can be accessed at Civeo’s website at www.civeo.com. Participants may also join the conference call by dialing</w:t>
      </w:r>
    </w:p>
    <w:p>
      <w:pPr>
        <w:spacing w:after="0" w:line="2" w:lineRule="exact"/>
        <w:rPr>
          <w:sz w:val="20"/>
          <w:szCs w:val="20"/>
          <w:color w:val="auto"/>
        </w:rPr>
      </w:pPr>
    </w:p>
    <w:p>
      <w:pPr>
        <w:ind w:firstLine="8"/>
        <w:spacing w:after="0" w:line="308" w:lineRule="auto"/>
        <w:tabs>
          <w:tab w:leader="none" w:pos="523" w:val="left"/>
        </w:tabs>
        <w:numPr>
          <w:ilvl w:val="0"/>
          <w:numId w:val="3"/>
        </w:numPr>
        <w:rPr>
          <w:rFonts w:ascii="Arial" w:cs="Arial" w:eastAsia="Arial" w:hAnsi="Arial"/>
          <w:sz w:val="19"/>
          <w:szCs w:val="19"/>
          <w:color w:val="auto"/>
        </w:rPr>
      </w:pPr>
      <w:r>
        <w:rPr>
          <w:rFonts w:ascii="Arial" w:cs="Arial" w:eastAsia="Arial" w:hAnsi="Arial"/>
          <w:sz w:val="19"/>
          <w:szCs w:val="19"/>
          <w:color w:val="auto"/>
        </w:rPr>
        <w:t>407-0672 in the United States or (412) 902-0003 internationally and asking for the Civeo call. A replay will be available after the call by dialing (877) 660-6853 in the United States or (201) 612-7415 internationally and entering the passcode 13635241#.</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the Company’s migration to Canada, including, among other things,</w:t>
      </w:r>
    </w:p>
    <w:p>
      <w:pPr>
        <w:sectPr>
          <w:pgSz w:w="11900" w:h="16838" w:orient="portrait"/>
          <w:cols w:equalWidth="0" w:num="1">
            <w:col w:w="11420"/>
          </w:cols>
          <w:pgMar w:left="240" w:top="118" w:right="239" w:bottom="0" w:gutter="0" w:footer="0" w:header="0"/>
        </w:sectPr>
      </w:pPr>
    </w:p>
    <w:bookmarkStart w:id="6" w:name="page7"/>
    <w:bookmarkEnd w:id="6"/>
    <w:p>
      <w:pPr>
        <w:spacing w:after="0" w:line="5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risks associated with changes in tax laws or their interpretations, and other factors discussed in the Company’s annual report on Form 10-K for the year ended December 31, 2015, and other reports the Company may file from time to time with the U.S. Securities and Exchange Commission. Each forward-looking statement contained in this news release speaks only as of the date of this release. Except as required by law, the Company expressly disclaims any intention or obligation to revise or update any forward-looking statements whether as a result of new information, future events or otherwise.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Financial Schedules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56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3560"/>
        <w:spacing w:after="0"/>
        <w:rPr>
          <w:sz w:val="20"/>
          <w:szCs w:val="20"/>
          <w:color w:val="auto"/>
        </w:rPr>
      </w:pPr>
      <w:r>
        <w:rPr>
          <w:rFonts w:ascii="Arial" w:cs="Arial" w:eastAsia="Arial" w:hAnsi="Arial"/>
          <w:sz w:val="21"/>
          <w:szCs w:val="21"/>
          <w:b w:val="1"/>
          <w:bCs w:val="1"/>
          <w:color w:val="auto"/>
        </w:rPr>
        <w:t>UNAUDITED CONDENSED CONSOLIDATED STATEMENTS OF OPERATIONS</w:t>
      </w:r>
    </w:p>
    <w:p>
      <w:pPr>
        <w:spacing w:after="0" w:line="2" w:lineRule="exact"/>
        <w:rPr>
          <w:sz w:val="20"/>
          <w:szCs w:val="20"/>
          <w:color w:val="auto"/>
        </w:rPr>
      </w:pPr>
    </w:p>
    <w:p>
      <w:pPr>
        <w:jc w:val="center"/>
        <w:ind w:right="356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63" w:lineRule="exact"/>
        <w:rPr>
          <w:sz w:val="20"/>
          <w:szCs w:val="20"/>
          <w:color w:val="auto"/>
        </w:rPr>
      </w:pPr>
    </w:p>
    <w:p>
      <w:pPr>
        <w:jc w:val="center"/>
        <w:ind w:left="16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168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2015</w:t>
            </w:r>
          </w:p>
        </w:tc>
        <w:tc>
          <w:tcPr>
            <w:tcW w:w="0" w:type="dxa"/>
            <w:vAlign w:val="bottom"/>
          </w:tcPr>
          <w:p>
            <w:pPr>
              <w:spacing w:after="0"/>
              <w:rPr>
                <w:sz w:val="1"/>
                <w:szCs w:val="1"/>
                <w:color w:val="auto"/>
              </w:rPr>
            </w:pPr>
          </w:p>
        </w:tc>
      </w:tr>
      <w:tr>
        <w:trPr>
          <w:trHeight w:val="530"/>
        </w:trPr>
        <w:tc>
          <w:tcPr>
            <w:tcW w:w="5200" w:type="dxa"/>
            <w:vAlign w:val="bottom"/>
          </w:tcPr>
          <w:p>
            <w:pPr>
              <w:spacing w:after="0"/>
              <w:rPr>
                <w:sz w:val="20"/>
                <w:szCs w:val="20"/>
                <w:color w:val="auto"/>
              </w:rPr>
            </w:pPr>
            <w:r>
              <w:rPr>
                <w:rFonts w:ascii="Arial" w:cs="Arial" w:eastAsia="Arial" w:hAnsi="Arial"/>
                <w:sz w:val="22"/>
                <w:szCs w:val="22"/>
                <w:color w:val="auto"/>
              </w:rPr>
              <w:t>Revenues</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95,036</w:t>
            </w:r>
          </w:p>
        </w:tc>
        <w:tc>
          <w:tcPr>
            <w:tcW w:w="10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170,987</w:t>
            </w:r>
          </w:p>
        </w:tc>
        <w:tc>
          <w:tcPr>
            <w:tcW w:w="0" w:type="dxa"/>
            <w:vAlign w:val="bottom"/>
          </w:tcPr>
          <w:p>
            <w:pPr>
              <w:spacing w:after="0"/>
              <w:rPr>
                <w:sz w:val="1"/>
                <w:szCs w:val="1"/>
                <w:color w:val="auto"/>
              </w:rPr>
            </w:pPr>
          </w:p>
        </w:tc>
      </w:tr>
      <w:tr>
        <w:trPr>
          <w:trHeight w:val="536"/>
        </w:trPr>
        <w:tc>
          <w:tcPr>
            <w:tcW w:w="5200" w:type="dxa"/>
            <w:vAlign w:val="bottom"/>
          </w:tcPr>
          <w:p>
            <w:pPr>
              <w:spacing w:after="0"/>
              <w:rPr>
                <w:sz w:val="20"/>
                <w:szCs w:val="20"/>
                <w:color w:val="auto"/>
              </w:rPr>
            </w:pPr>
            <w:r>
              <w:rPr>
                <w:rFonts w:ascii="Arial" w:cs="Arial" w:eastAsia="Arial" w:hAnsi="Arial"/>
                <w:sz w:val="22"/>
                <w:szCs w:val="22"/>
                <w:color w:val="auto"/>
              </w:rPr>
              <w:t>Costs and 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100"/>
              <w:spacing w:after="0"/>
              <w:rPr>
                <w:sz w:val="20"/>
                <w:szCs w:val="20"/>
                <w:color w:val="auto"/>
              </w:rPr>
            </w:pPr>
            <w:r>
              <w:rPr>
                <w:rFonts w:ascii="Arial" w:cs="Arial" w:eastAsia="Arial" w:hAnsi="Arial"/>
                <w:sz w:val="22"/>
                <w:szCs w:val="22"/>
                <w:color w:val="auto"/>
              </w:rPr>
              <w:t>Cost of sales and services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65,943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102,911</w:t>
            </w:r>
          </w:p>
        </w:tc>
        <w:tc>
          <w:tcPr>
            <w:tcW w:w="0" w:type="dxa"/>
            <w:vAlign w:val="bottom"/>
          </w:tcPr>
          <w:p>
            <w:pPr>
              <w:spacing w:after="0"/>
              <w:rPr>
                <w:sz w:val="1"/>
                <w:szCs w:val="1"/>
                <w:color w:val="auto"/>
              </w:rPr>
            </w:pPr>
          </w:p>
        </w:tc>
      </w:tr>
      <w:tr>
        <w:trPr>
          <w:trHeight w:val="270"/>
        </w:trPr>
        <w:tc>
          <w:tcPr>
            <w:tcW w:w="5200" w:type="dxa"/>
            <w:vAlign w:val="bottom"/>
          </w:tcPr>
          <w:p>
            <w:pPr>
              <w:ind w:left="100"/>
              <w:spacing w:after="0"/>
              <w:rPr>
                <w:sz w:val="20"/>
                <w:szCs w:val="20"/>
                <w:color w:val="auto"/>
              </w:rPr>
            </w:pPr>
            <w:r>
              <w:rPr>
                <w:rFonts w:ascii="Arial" w:cs="Arial" w:eastAsia="Arial" w:hAnsi="Arial"/>
                <w:sz w:val="22"/>
                <w:szCs w:val="22"/>
                <w:color w:val="auto"/>
              </w:rPr>
              <w:t>Selling, general and administrative expenses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13,117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16,686</w:t>
            </w:r>
          </w:p>
        </w:tc>
        <w:tc>
          <w:tcPr>
            <w:tcW w:w="0" w:type="dxa"/>
            <w:vAlign w:val="bottom"/>
          </w:tcPr>
          <w:p>
            <w:pPr>
              <w:spacing w:after="0"/>
              <w:rPr>
                <w:sz w:val="1"/>
                <w:szCs w:val="1"/>
                <w:color w:val="auto"/>
              </w:rPr>
            </w:pPr>
          </w:p>
        </w:tc>
      </w:tr>
      <w:tr>
        <w:trPr>
          <w:trHeight w:val="270"/>
        </w:trPr>
        <w:tc>
          <w:tcPr>
            <w:tcW w:w="5200" w:type="dxa"/>
            <w:vAlign w:val="bottom"/>
          </w:tcPr>
          <w:p>
            <w:pPr>
              <w:ind w:left="100"/>
              <w:spacing w:after="0"/>
              <w:rPr>
                <w:sz w:val="20"/>
                <w:szCs w:val="20"/>
                <w:color w:val="auto"/>
              </w:rPr>
            </w:pPr>
            <w:r>
              <w:rPr>
                <w:rFonts w:ascii="Arial" w:cs="Arial" w:eastAsia="Arial" w:hAnsi="Arial"/>
                <w:sz w:val="22"/>
                <w:szCs w:val="22"/>
                <w:color w:val="auto"/>
              </w:rPr>
              <w:t>Depreciation and amortization expense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33,555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42,446</w:t>
            </w:r>
          </w:p>
        </w:tc>
        <w:tc>
          <w:tcPr>
            <w:tcW w:w="0" w:type="dxa"/>
            <w:vAlign w:val="bottom"/>
          </w:tcPr>
          <w:p>
            <w:pPr>
              <w:spacing w:after="0"/>
              <w:rPr>
                <w:sz w:val="1"/>
                <w:szCs w:val="1"/>
                <w:color w:val="auto"/>
              </w:rPr>
            </w:pPr>
          </w:p>
        </w:tc>
      </w:tr>
      <w:tr>
        <w:trPr>
          <w:trHeight w:val="270"/>
        </w:trPr>
        <w:tc>
          <w:tcPr>
            <w:tcW w:w="5200" w:type="dxa"/>
            <w:vAlign w:val="bottom"/>
          </w:tcPr>
          <w:p>
            <w:pPr>
              <w:ind w:left="100"/>
              <w:spacing w:after="0"/>
              <w:rPr>
                <w:sz w:val="20"/>
                <w:szCs w:val="20"/>
                <w:color w:val="auto"/>
              </w:rPr>
            </w:pPr>
            <w:r>
              <w:rPr>
                <w:rFonts w:ascii="Arial" w:cs="Arial" w:eastAsia="Arial" w:hAnsi="Arial"/>
                <w:sz w:val="22"/>
                <w:szCs w:val="22"/>
                <w:color w:val="auto"/>
              </w:rPr>
              <w:t>Impairment expense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8,400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2,738</w:t>
            </w:r>
          </w:p>
        </w:tc>
        <w:tc>
          <w:tcPr>
            <w:tcW w:w="0" w:type="dxa"/>
            <w:vAlign w:val="bottom"/>
          </w:tcPr>
          <w:p>
            <w:pPr>
              <w:spacing w:after="0"/>
              <w:rPr>
                <w:sz w:val="1"/>
                <w:szCs w:val="1"/>
                <w:color w:val="auto"/>
              </w:rPr>
            </w:pPr>
          </w:p>
        </w:tc>
      </w:tr>
      <w:tr>
        <w:trPr>
          <w:trHeight w:val="276"/>
        </w:trPr>
        <w:tc>
          <w:tcPr>
            <w:tcW w:w="5200" w:type="dxa"/>
            <w:vAlign w:val="bottom"/>
          </w:tcPr>
          <w:p>
            <w:pPr>
              <w:ind w:left="100"/>
              <w:spacing w:after="0"/>
              <w:rPr>
                <w:sz w:val="20"/>
                <w:szCs w:val="20"/>
                <w:color w:val="auto"/>
              </w:rPr>
            </w:pPr>
            <w:r>
              <w:rPr>
                <w:rFonts w:ascii="Arial" w:cs="Arial" w:eastAsia="Arial" w:hAnsi="Arial"/>
                <w:sz w:val="22"/>
                <w:szCs w:val="22"/>
                <w:color w:val="auto"/>
              </w:rPr>
              <w:t>Other operating expense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1,330</w:t>
            </w:r>
          </w:p>
        </w:tc>
        <w:tc>
          <w:tcPr>
            <w:tcW w:w="0" w:type="dxa"/>
            <w:vAlign w:val="bottom"/>
          </w:tcPr>
          <w:p>
            <w:pPr>
              <w:spacing w:after="0"/>
              <w:rPr>
                <w:sz w:val="1"/>
                <w:szCs w:val="1"/>
                <w:color w:val="auto"/>
              </w:rPr>
            </w:pPr>
          </w:p>
        </w:tc>
      </w:tr>
      <w:tr>
        <w:trPr>
          <w:trHeight w:val="265"/>
        </w:trPr>
        <w:tc>
          <w:tcPr>
            <w:tcW w:w="520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121,233</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166,111</w:t>
            </w:r>
          </w:p>
        </w:tc>
        <w:tc>
          <w:tcPr>
            <w:tcW w:w="0" w:type="dxa"/>
            <w:vAlign w:val="bottom"/>
          </w:tcPr>
          <w:p>
            <w:pPr>
              <w:spacing w:after="0"/>
              <w:rPr>
                <w:sz w:val="1"/>
                <w:szCs w:val="1"/>
                <w:color w:val="auto"/>
              </w:rPr>
            </w:pPr>
          </w:p>
        </w:tc>
      </w:tr>
      <w:tr>
        <w:trPr>
          <w:trHeight w:val="268"/>
        </w:trPr>
        <w:tc>
          <w:tcPr>
            <w:tcW w:w="52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(26,197)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4,876</w:t>
            </w:r>
          </w:p>
        </w:tc>
        <w:tc>
          <w:tcPr>
            <w:tcW w:w="0" w:type="dxa"/>
            <w:vAlign w:val="bottom"/>
          </w:tcPr>
          <w:p>
            <w:pPr>
              <w:spacing w:after="0"/>
              <w:rPr>
                <w:sz w:val="1"/>
                <w:szCs w:val="1"/>
                <w:color w:val="auto"/>
              </w:rPr>
            </w:pPr>
          </w:p>
        </w:tc>
      </w:tr>
      <w:tr>
        <w:trPr>
          <w:trHeight w:val="528"/>
        </w:trPr>
        <w:tc>
          <w:tcPr>
            <w:tcW w:w="5200" w:type="dxa"/>
            <w:vAlign w:val="bottom"/>
          </w:tcPr>
          <w:p>
            <w:pPr>
              <w:spacing w:after="0"/>
              <w:rPr>
                <w:sz w:val="20"/>
                <w:szCs w:val="20"/>
                <w:color w:val="auto"/>
              </w:rPr>
            </w:pPr>
            <w:r>
              <w:rPr>
                <w:rFonts w:ascii="Arial" w:cs="Arial" w:eastAsia="Arial" w:hAnsi="Arial"/>
                <w:sz w:val="22"/>
                <w:szCs w:val="22"/>
                <w:color w:val="auto"/>
                <w:w w:val="91"/>
              </w:rPr>
              <w:t>Interest expense to third-parties, net of capitalized interest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(4,944)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(5,609)</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22"/>
                <w:szCs w:val="22"/>
                <w:color w:val="auto"/>
              </w:rPr>
              <w:t>Interest income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1,122</w:t>
            </w:r>
          </w:p>
        </w:tc>
        <w:tc>
          <w:tcPr>
            <w:tcW w:w="0" w:type="dxa"/>
            <w:vAlign w:val="bottom"/>
          </w:tcPr>
          <w:p>
            <w:pPr>
              <w:spacing w:after="0"/>
              <w:rPr>
                <w:sz w:val="1"/>
                <w:szCs w:val="1"/>
                <w:color w:val="auto"/>
              </w:rPr>
            </w:pPr>
          </w:p>
        </w:tc>
      </w:tr>
      <w:tr>
        <w:trPr>
          <w:trHeight w:val="275"/>
        </w:trPr>
        <w:tc>
          <w:tcPr>
            <w:tcW w:w="5200" w:type="dxa"/>
            <w:vAlign w:val="bottom"/>
          </w:tcPr>
          <w:p>
            <w:pPr>
              <w:spacing w:after="0"/>
              <w:rPr>
                <w:sz w:val="20"/>
                <w:szCs w:val="20"/>
                <w:color w:val="auto"/>
              </w:rPr>
            </w:pPr>
            <w:r>
              <w:rPr>
                <w:rFonts w:ascii="Arial" w:cs="Arial" w:eastAsia="Arial" w:hAnsi="Arial"/>
                <w:sz w:val="22"/>
                <w:szCs w:val="22"/>
                <w:color w:val="auto"/>
              </w:rPr>
              <w:t>Other income</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998</w:t>
            </w:r>
          </w:p>
        </w:tc>
        <w:tc>
          <w:tcPr>
            <w:tcW w:w="0" w:type="dxa"/>
            <w:vAlign w:val="bottom"/>
          </w:tcPr>
          <w:p>
            <w:pPr>
              <w:spacing w:after="0"/>
              <w:rPr>
                <w:sz w:val="1"/>
                <w:szCs w:val="1"/>
                <w:color w:val="auto"/>
              </w:rPr>
            </w:pPr>
          </w:p>
        </w:tc>
      </w:tr>
      <w:tr>
        <w:trPr>
          <w:trHeight w:val="259"/>
        </w:trPr>
        <w:tc>
          <w:tcPr>
            <w:tcW w:w="5200" w:type="dxa"/>
            <w:vAlign w:val="bottom"/>
          </w:tcPr>
          <w:p>
            <w:pPr>
              <w:ind w:left="100"/>
              <w:spacing w:after="0"/>
              <w:rPr>
                <w:sz w:val="20"/>
                <w:szCs w:val="20"/>
                <w:color w:val="auto"/>
              </w:rPr>
            </w:pPr>
            <w:r>
              <w:rPr>
                <w:rFonts w:ascii="Arial" w:cs="Arial" w:eastAsia="Arial" w:hAnsi="Arial"/>
                <w:sz w:val="22"/>
                <w:szCs w:val="22"/>
                <w:color w:val="auto"/>
              </w:rPr>
              <w:t>Income (loss) before income taxes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(31,245)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1,387</w:t>
            </w:r>
          </w:p>
        </w:tc>
        <w:tc>
          <w:tcPr>
            <w:tcW w:w="0" w:type="dxa"/>
            <w:vAlign w:val="bottom"/>
          </w:tcPr>
          <w:p>
            <w:pPr>
              <w:spacing w:after="0"/>
              <w:rPr>
                <w:sz w:val="1"/>
                <w:szCs w:val="1"/>
                <w:color w:val="auto"/>
              </w:rPr>
            </w:pPr>
          </w:p>
        </w:tc>
      </w:tr>
      <w:tr>
        <w:trPr>
          <w:trHeight w:val="275"/>
        </w:trPr>
        <w:tc>
          <w:tcPr>
            <w:tcW w:w="5200" w:type="dxa"/>
            <w:vAlign w:val="bottom"/>
          </w:tcPr>
          <w:p>
            <w:pPr>
              <w:spacing w:after="0"/>
              <w:rPr>
                <w:sz w:val="20"/>
                <w:szCs w:val="20"/>
                <w:color w:val="auto"/>
              </w:rPr>
            </w:pPr>
            <w:r>
              <w:rPr>
                <w:rFonts w:ascii="Arial" w:cs="Arial" w:eastAsia="Arial" w:hAnsi="Arial"/>
                <w:sz w:val="22"/>
                <w:szCs w:val="22"/>
                <w:color w:val="auto"/>
              </w:rPr>
              <w:t>Income tax benefit (provision)</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4,571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(1,157)</w:t>
            </w:r>
          </w:p>
        </w:tc>
        <w:tc>
          <w:tcPr>
            <w:tcW w:w="0" w:type="dxa"/>
            <w:vAlign w:val="bottom"/>
          </w:tcPr>
          <w:p>
            <w:pPr>
              <w:spacing w:after="0"/>
              <w:rPr>
                <w:sz w:val="1"/>
                <w:szCs w:val="1"/>
                <w:color w:val="auto"/>
              </w:rPr>
            </w:pPr>
          </w:p>
        </w:tc>
      </w:tr>
      <w:tr>
        <w:trPr>
          <w:trHeight w:val="259"/>
        </w:trPr>
        <w:tc>
          <w:tcPr>
            <w:tcW w:w="5200" w:type="dxa"/>
            <w:vAlign w:val="bottom"/>
          </w:tcPr>
          <w:p>
            <w:pPr>
              <w:spacing w:after="0"/>
              <w:rPr>
                <w:sz w:val="20"/>
                <w:szCs w:val="20"/>
                <w:color w:val="auto"/>
              </w:rPr>
            </w:pPr>
            <w:r>
              <w:rPr>
                <w:rFonts w:ascii="Arial" w:cs="Arial" w:eastAsia="Arial" w:hAnsi="Arial"/>
                <w:sz w:val="22"/>
                <w:szCs w:val="22"/>
                <w:color w:val="auto"/>
              </w:rPr>
              <w:t>Net income (loss)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(26,674)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230</w:t>
            </w:r>
          </w:p>
        </w:tc>
        <w:tc>
          <w:tcPr>
            <w:tcW w:w="0" w:type="dxa"/>
            <w:vAlign w:val="bottom"/>
          </w:tcPr>
          <w:p>
            <w:pPr>
              <w:spacing w:after="0"/>
              <w:rPr>
                <w:sz w:val="1"/>
                <w:szCs w:val="1"/>
                <w:color w:val="auto"/>
              </w:rPr>
            </w:pPr>
          </w:p>
        </w:tc>
      </w:tr>
      <w:tr>
        <w:trPr>
          <w:trHeight w:val="275"/>
        </w:trPr>
        <w:tc>
          <w:tcPr>
            <w:tcW w:w="5200" w:type="dxa"/>
            <w:vAlign w:val="bottom"/>
          </w:tcPr>
          <w:p>
            <w:pPr>
              <w:ind w:left="100"/>
              <w:spacing w:after="0"/>
              <w:rPr>
                <w:sz w:val="20"/>
                <w:szCs w:val="20"/>
                <w:color w:val="auto"/>
              </w:rPr>
            </w:pPr>
            <w:r>
              <w:rPr>
                <w:rFonts w:ascii="Arial" w:cs="Arial" w:eastAsia="Arial" w:hAnsi="Arial"/>
                <w:sz w:val="22"/>
                <w:szCs w:val="22"/>
                <w:color w:val="auto"/>
                <w:w w:val="95"/>
              </w:rPr>
              <w:t>Less: Net income attributable to noncontrolling interest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246</w:t>
            </w:r>
          </w:p>
        </w:tc>
        <w:tc>
          <w:tcPr>
            <w:tcW w:w="0" w:type="dxa"/>
            <w:vAlign w:val="bottom"/>
          </w:tcPr>
          <w:p>
            <w:pPr>
              <w:spacing w:after="0"/>
              <w:rPr>
                <w:sz w:val="1"/>
                <w:szCs w:val="1"/>
                <w:color w:val="auto"/>
              </w:rPr>
            </w:pPr>
          </w:p>
        </w:tc>
      </w:tr>
      <w:tr>
        <w:trPr>
          <w:trHeight w:val="267"/>
        </w:trPr>
        <w:tc>
          <w:tcPr>
            <w:tcW w:w="5200" w:type="dxa"/>
            <w:vAlign w:val="bottom"/>
          </w:tcPr>
          <w:p>
            <w:pPr>
              <w:spacing w:after="0"/>
              <w:rPr>
                <w:sz w:val="20"/>
                <w:szCs w:val="20"/>
                <w:color w:val="auto"/>
              </w:rPr>
            </w:pPr>
            <w:r>
              <w:rPr>
                <w:rFonts w:ascii="Arial" w:cs="Arial" w:eastAsia="Arial" w:hAnsi="Arial"/>
                <w:sz w:val="22"/>
                <w:szCs w:val="22"/>
                <w:color w:val="auto"/>
              </w:rPr>
              <w:t>Net income (loss) attributable to Civeo Corporation</w:t>
            </w: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(26,822)</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840" w:type="dxa"/>
            <w:vAlign w:val="bottom"/>
            <w:gridSpan w:val="6"/>
          </w:tcPr>
          <w:p>
            <w:pPr>
              <w:spacing w:after="0"/>
              <w:rPr>
                <w:sz w:val="20"/>
                <w:szCs w:val="20"/>
                <w:color w:val="auto"/>
              </w:rPr>
            </w:pPr>
            <w:r>
              <w:rPr>
                <w:rFonts w:ascii="Arial" w:cs="Arial" w:eastAsia="Arial" w:hAnsi="Arial"/>
                <w:sz w:val="22"/>
                <w:szCs w:val="22"/>
                <w:color w:val="auto"/>
                <w:w w:val="95"/>
              </w:rPr>
              <w:t>Net income (loss) per share attributable to Civeo Corporation common stockholders:</w:t>
            </w:r>
          </w:p>
        </w:tc>
        <w:tc>
          <w:tcPr>
            <w:tcW w:w="0" w:type="dxa"/>
            <w:vAlign w:val="bottom"/>
          </w:tcPr>
          <w:p>
            <w:pPr>
              <w:spacing w:after="0"/>
              <w:rPr>
                <w:sz w:val="1"/>
                <w:szCs w:val="1"/>
                <w:color w:val="auto"/>
              </w:rPr>
            </w:pPr>
          </w:p>
        </w:tc>
      </w:tr>
      <w:tr>
        <w:trPr>
          <w:trHeight w:val="270"/>
        </w:trPr>
        <w:tc>
          <w:tcPr>
            <w:tcW w:w="5200" w:type="dxa"/>
            <w:vAlign w:val="bottom"/>
          </w:tcPr>
          <w:p>
            <w:pPr>
              <w:ind w:left="100"/>
              <w:spacing w:after="0"/>
              <w:rPr>
                <w:sz w:val="20"/>
                <w:szCs w:val="20"/>
                <w:color w:val="auto"/>
              </w:rPr>
            </w:pPr>
            <w:r>
              <w:rPr>
                <w:rFonts w:ascii="Arial" w:cs="Arial" w:eastAsia="Arial" w:hAnsi="Arial"/>
                <w:sz w:val="22"/>
                <w:szCs w:val="22"/>
                <w:color w:val="auto"/>
              </w:rPr>
              <w:t>Basic</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(0.25)</w:t>
            </w:r>
          </w:p>
        </w:tc>
        <w:tc>
          <w:tcPr>
            <w:tcW w:w="1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5200" w:type="dxa"/>
            <w:vAlign w:val="bottom"/>
          </w:tcPr>
          <w:p>
            <w:pPr>
              <w:ind w:left="100"/>
              <w:spacing w:after="0"/>
              <w:rPr>
                <w:sz w:val="20"/>
                <w:szCs w:val="20"/>
                <w:color w:val="auto"/>
              </w:rPr>
            </w:pPr>
            <w:r>
              <w:rPr>
                <w:rFonts w:ascii="Arial" w:cs="Arial" w:eastAsia="Arial" w:hAnsi="Arial"/>
                <w:sz w:val="22"/>
                <w:szCs w:val="22"/>
                <w:color w:val="auto"/>
              </w:rPr>
              <w:t>Diluted</w:t>
            </w: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(0.25)</w:t>
            </w:r>
          </w:p>
        </w:tc>
        <w:tc>
          <w:tcPr>
            <w:tcW w:w="1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536"/>
        </w:trPr>
        <w:tc>
          <w:tcPr>
            <w:tcW w:w="5200" w:type="dxa"/>
            <w:vAlign w:val="bottom"/>
          </w:tcPr>
          <w:p>
            <w:pPr>
              <w:spacing w:after="0"/>
              <w:rPr>
                <w:sz w:val="20"/>
                <w:szCs w:val="20"/>
                <w:color w:val="auto"/>
              </w:rPr>
            </w:pPr>
            <w:r>
              <w:rPr>
                <w:rFonts w:ascii="Arial" w:cs="Arial" w:eastAsia="Arial" w:hAnsi="Arial"/>
                <w:sz w:val="22"/>
                <w:szCs w:val="22"/>
                <w:color w:val="auto"/>
                <w:w w:val="90"/>
              </w:rPr>
              <w:t>Weighted average number of common shares outstanding: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100"/>
              <w:spacing w:after="0"/>
              <w:rPr>
                <w:sz w:val="20"/>
                <w:szCs w:val="20"/>
                <w:color w:val="auto"/>
              </w:rPr>
            </w:pPr>
            <w:r>
              <w:rPr>
                <w:rFonts w:ascii="Arial" w:cs="Arial" w:eastAsia="Arial" w:hAnsi="Arial"/>
                <w:sz w:val="22"/>
                <w:szCs w:val="22"/>
                <w:color w:val="auto"/>
              </w:rPr>
              <w:t>Basic</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106,814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106,460</w:t>
            </w:r>
          </w:p>
        </w:tc>
        <w:tc>
          <w:tcPr>
            <w:tcW w:w="0" w:type="dxa"/>
            <w:vAlign w:val="bottom"/>
          </w:tcPr>
          <w:p>
            <w:pPr>
              <w:spacing w:after="0"/>
              <w:rPr>
                <w:sz w:val="1"/>
                <w:szCs w:val="1"/>
                <w:color w:val="auto"/>
              </w:rPr>
            </w:pPr>
          </w:p>
        </w:tc>
      </w:tr>
      <w:tr>
        <w:trPr>
          <w:trHeight w:val="275"/>
        </w:trPr>
        <w:tc>
          <w:tcPr>
            <w:tcW w:w="5200" w:type="dxa"/>
            <w:vAlign w:val="bottom"/>
          </w:tcPr>
          <w:p>
            <w:pPr>
              <w:ind w:left="100"/>
              <w:spacing w:after="0"/>
              <w:rPr>
                <w:sz w:val="20"/>
                <w:szCs w:val="20"/>
                <w:color w:val="auto"/>
              </w:rPr>
            </w:pPr>
            <w:r>
              <w:rPr>
                <w:rFonts w:ascii="Arial" w:cs="Arial" w:eastAsia="Arial" w:hAnsi="Arial"/>
                <w:sz w:val="22"/>
                <w:szCs w:val="22"/>
                <w:color w:val="auto"/>
              </w:rPr>
              <w:t>Diluted</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106,814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106,460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UNAUDITED CIVEO CORPORATION</w:t>
      </w:r>
    </w:p>
    <w:p>
      <w:pPr>
        <w:spacing w:after="0" w:line="14"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(in thousands)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97"/>
              </w:rPr>
              <w:t>MARCH 31,</w:t>
            </w:r>
          </w:p>
        </w:tc>
        <w:tc>
          <w:tcPr>
            <w:tcW w:w="1600" w:type="dxa"/>
            <w:vAlign w:val="bottom"/>
            <w:gridSpan w:val="2"/>
          </w:tcPr>
          <w:p>
            <w:pPr>
              <w:jc w:val="right"/>
              <w:spacing w:after="0"/>
              <w:rPr>
                <w:sz w:val="20"/>
                <w:szCs w:val="20"/>
                <w:color w:val="auto"/>
              </w:rPr>
            </w:pPr>
            <w:r>
              <w:rPr>
                <w:rFonts w:ascii="Arial" w:cs="Arial" w:eastAsia="Arial" w:hAnsi="Arial"/>
                <w:sz w:val="22"/>
                <w:szCs w:val="22"/>
                <w:b w:val="1"/>
                <w:bCs w:val="1"/>
                <w:color w:val="auto"/>
                <w:w w:val="95"/>
              </w:rPr>
              <w:t>DECEMBER 31,</w:t>
            </w:r>
          </w:p>
        </w:tc>
        <w:tc>
          <w:tcPr>
            <w:tcW w:w="0" w:type="dxa"/>
            <w:vAlign w:val="bottom"/>
          </w:tcPr>
          <w:p>
            <w:pPr>
              <w:spacing w:after="0"/>
              <w:rPr>
                <w:sz w:val="1"/>
                <w:szCs w:val="1"/>
                <w:color w:val="auto"/>
              </w:rPr>
            </w:pPr>
          </w:p>
        </w:tc>
      </w:tr>
      <w:tr>
        <w:trPr>
          <w:trHeight w:val="281"/>
        </w:trPr>
        <w:tc>
          <w:tcPr>
            <w:tcW w:w="4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2016</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2015</w:t>
            </w:r>
          </w:p>
        </w:tc>
        <w:tc>
          <w:tcPr>
            <w:tcW w:w="0" w:type="dxa"/>
            <w:vAlign w:val="bottom"/>
          </w:tcPr>
          <w:p>
            <w:pPr>
              <w:spacing w:after="0"/>
              <w:rPr>
                <w:sz w:val="1"/>
                <w:szCs w:val="1"/>
                <w:color w:val="auto"/>
              </w:rPr>
            </w:pPr>
          </w:p>
        </w:tc>
      </w:tr>
      <w:tr>
        <w:trPr>
          <w:trHeight w:val="278"/>
        </w:trPr>
        <w:tc>
          <w:tcPr>
            <w:tcW w:w="430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1500" w:type="dxa"/>
            <w:vAlign w:val="bottom"/>
            <w:gridSpan w:val="2"/>
          </w:tcPr>
          <w:p>
            <w:pPr>
              <w:jc w:val="center"/>
              <w:spacing w:after="0"/>
              <w:rPr>
                <w:sz w:val="20"/>
                <w:szCs w:val="20"/>
                <w:color w:val="auto"/>
              </w:rPr>
            </w:pPr>
            <w:r>
              <w:rPr>
                <w:rFonts w:ascii="Arial" w:cs="Arial" w:eastAsia="Arial" w:hAnsi="Arial"/>
                <w:sz w:val="22"/>
                <w:szCs w:val="22"/>
                <w:b w:val="1"/>
                <w:bCs w:val="1"/>
                <w:color w:val="auto"/>
              </w:rPr>
              <w:t>(UNAUDITED)</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3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2,968</w:t>
            </w:r>
          </w:p>
        </w:tc>
        <w:tc>
          <w:tcPr>
            <w:tcW w:w="8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7,837</w:t>
            </w:r>
          </w:p>
        </w:tc>
        <w:tc>
          <w:tcPr>
            <w:tcW w:w="0" w:type="dxa"/>
            <w:vAlign w:val="bottom"/>
          </w:tcPr>
          <w:p>
            <w:pPr>
              <w:spacing w:after="0"/>
              <w:rPr>
                <w:sz w:val="1"/>
                <w:szCs w:val="1"/>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16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63,315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61,467</w:t>
            </w:r>
          </w:p>
        </w:tc>
        <w:tc>
          <w:tcPr>
            <w:tcW w:w="0" w:type="dxa"/>
            <w:vAlign w:val="bottom"/>
          </w:tcPr>
          <w:p>
            <w:pPr>
              <w:spacing w:after="0"/>
              <w:rPr>
                <w:sz w:val="1"/>
                <w:szCs w:val="1"/>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16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5,163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5,631</w:t>
            </w:r>
          </w:p>
        </w:tc>
        <w:tc>
          <w:tcPr>
            <w:tcW w:w="0" w:type="dxa"/>
            <w:vAlign w:val="bottom"/>
          </w:tcPr>
          <w:p>
            <w:pPr>
              <w:spacing w:after="0"/>
              <w:rPr>
                <w:sz w:val="1"/>
                <w:szCs w:val="1"/>
                <w:color w:val="auto"/>
              </w:rPr>
            </w:pPr>
          </w:p>
        </w:tc>
      </w:tr>
      <w:tr>
        <w:trPr>
          <w:trHeight w:val="276"/>
        </w:trPr>
        <w:tc>
          <w:tcPr>
            <w:tcW w:w="4300" w:type="dxa"/>
            <w:vAlign w:val="bottom"/>
          </w:tcPr>
          <w:p>
            <w:pPr>
              <w:ind w:left="100"/>
              <w:spacing w:after="0"/>
              <w:rPr>
                <w:sz w:val="20"/>
                <w:szCs w:val="20"/>
                <w:color w:val="auto"/>
              </w:rPr>
            </w:pPr>
            <w:r>
              <w:rPr>
                <w:rFonts w:ascii="Arial" w:cs="Arial" w:eastAsia="Arial" w:hAnsi="Arial"/>
                <w:sz w:val="22"/>
                <w:szCs w:val="22"/>
                <w:color w:val="auto"/>
                <w:w w:val="99"/>
              </w:rPr>
              <w:t>Prepaid expenses and other current assets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20,679</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15,024</w:t>
            </w:r>
          </w:p>
        </w:tc>
        <w:tc>
          <w:tcPr>
            <w:tcW w:w="0" w:type="dxa"/>
            <w:vAlign w:val="bottom"/>
          </w:tcPr>
          <w:p>
            <w:pPr>
              <w:spacing w:after="0"/>
              <w:rPr>
                <w:sz w:val="1"/>
                <w:szCs w:val="1"/>
                <w:color w:val="auto"/>
              </w:rPr>
            </w:pPr>
          </w:p>
        </w:tc>
      </w:tr>
    </w:tbl>
    <w:p>
      <w:pPr>
        <w:sectPr>
          <w:pgSz w:w="11900" w:h="16897" w:orient="portrait"/>
          <w:cols w:equalWidth="0" w:num="1">
            <w:col w:w="11420"/>
          </w:cols>
          <w:pgMar w:left="240" w:top="118" w:right="239" w:bottom="0" w:gutter="0" w:footer="0" w:header="0"/>
        </w:sectPr>
      </w:pPr>
    </w:p>
    <w:bookmarkStart w:id="7" w:name="page8"/>
    <w:bookmarkEnd w:id="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00" w:type="dxa"/>
            <w:vAlign w:val="bottom"/>
          </w:tcPr>
          <w:p>
            <w:pPr>
              <w:ind w:left="220"/>
              <w:spacing w:after="0"/>
              <w:rPr>
                <w:sz w:val="20"/>
                <w:szCs w:val="20"/>
                <w:color w:val="auto"/>
              </w:rPr>
            </w:pPr>
            <w:r>
              <w:rPr>
                <w:rFonts w:ascii="Arial" w:cs="Arial" w:eastAsia="Arial" w:hAnsi="Arial"/>
                <w:sz w:val="22"/>
                <w:szCs w:val="22"/>
                <w:color w:val="auto"/>
              </w:rPr>
              <w:t>Total current assets</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92,125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89,959</w:t>
            </w:r>
          </w:p>
        </w:tc>
        <w:tc>
          <w:tcPr>
            <w:tcW w:w="0" w:type="dxa"/>
            <w:vAlign w:val="bottom"/>
          </w:tcPr>
          <w:p>
            <w:pPr>
              <w:spacing w:after="0"/>
              <w:rPr>
                <w:sz w:val="1"/>
                <w:szCs w:val="1"/>
                <w:color w:val="auto"/>
              </w:rPr>
            </w:pPr>
          </w:p>
        </w:tc>
      </w:tr>
      <w:tr>
        <w:trPr>
          <w:trHeight w:val="536"/>
        </w:trPr>
        <w:tc>
          <w:tcPr>
            <w:tcW w:w="430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3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946,056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931,914</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35,219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35,309</w:t>
            </w:r>
          </w:p>
        </w:tc>
        <w:tc>
          <w:tcPr>
            <w:tcW w:w="0" w:type="dxa"/>
            <w:vAlign w:val="bottom"/>
          </w:tcPr>
          <w:p>
            <w:pPr>
              <w:spacing w:after="0"/>
              <w:rPr>
                <w:sz w:val="1"/>
                <w:szCs w:val="1"/>
                <w:color w:val="auto"/>
              </w:rPr>
            </w:pPr>
          </w:p>
        </w:tc>
      </w:tr>
      <w:tr>
        <w:trPr>
          <w:trHeight w:val="276"/>
        </w:trPr>
        <w:tc>
          <w:tcPr>
            <w:tcW w:w="430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9,879</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9,347</w:t>
            </w:r>
          </w:p>
        </w:tc>
        <w:tc>
          <w:tcPr>
            <w:tcW w:w="0" w:type="dxa"/>
            <w:vAlign w:val="bottom"/>
          </w:tcPr>
          <w:p>
            <w:pPr>
              <w:spacing w:after="0"/>
              <w:rPr>
                <w:sz w:val="1"/>
                <w:szCs w:val="1"/>
                <w:color w:val="auto"/>
              </w:rPr>
            </w:pPr>
          </w:p>
        </w:tc>
      </w:tr>
      <w:tr>
        <w:trPr>
          <w:trHeight w:val="265"/>
        </w:trPr>
        <w:tc>
          <w:tcPr>
            <w:tcW w:w="4300" w:type="dxa"/>
            <w:vAlign w:val="bottom"/>
          </w:tcPr>
          <w:p>
            <w:pPr>
              <w:ind w:left="220"/>
              <w:spacing w:after="0"/>
              <w:rPr>
                <w:sz w:val="20"/>
                <w:szCs w:val="20"/>
                <w:color w:val="auto"/>
              </w:rPr>
            </w:pPr>
            <w:r>
              <w:rPr>
                <w:rFonts w:ascii="Arial" w:cs="Arial" w:eastAsia="Arial" w:hAnsi="Arial"/>
                <w:sz w:val="22"/>
                <w:szCs w:val="22"/>
                <w:color w:val="auto"/>
              </w:rPr>
              <w:t>Total assets</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1,083,279</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1,066,529</w:t>
            </w:r>
          </w:p>
        </w:tc>
        <w:tc>
          <w:tcPr>
            <w:tcW w:w="0" w:type="dxa"/>
            <w:vAlign w:val="bottom"/>
          </w:tcPr>
          <w:p>
            <w:pPr>
              <w:spacing w:after="0"/>
              <w:rPr>
                <w:sz w:val="1"/>
                <w:szCs w:val="1"/>
                <w:color w:val="auto"/>
              </w:rPr>
            </w:pPr>
          </w:p>
        </w:tc>
      </w:tr>
      <w:tr>
        <w:trPr>
          <w:trHeight w:val="21"/>
        </w:trPr>
        <w:tc>
          <w:tcPr>
            <w:tcW w:w="430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28,476</w:t>
            </w:r>
          </w:p>
        </w:tc>
        <w:tc>
          <w:tcPr>
            <w:tcW w:w="80" w:type="dxa"/>
            <w:vAlign w:val="bottom"/>
          </w:tcPr>
          <w:p>
            <w:pPr>
              <w:spacing w:after="0"/>
              <w:rPr>
                <w:sz w:val="23"/>
                <w:szCs w:val="23"/>
                <w:color w:val="auto"/>
              </w:rPr>
            </w:pPr>
          </w:p>
        </w:tc>
        <w:tc>
          <w:tcPr>
            <w:tcW w:w="38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24,609</w:t>
            </w:r>
          </w:p>
        </w:tc>
        <w:tc>
          <w:tcPr>
            <w:tcW w:w="0" w:type="dxa"/>
            <w:vAlign w:val="bottom"/>
          </w:tcPr>
          <w:p>
            <w:pPr>
              <w:spacing w:after="0"/>
              <w:rPr>
                <w:sz w:val="1"/>
                <w:szCs w:val="1"/>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22"/>
                <w:szCs w:val="22"/>
                <w:color w:val="auto"/>
              </w:rPr>
              <w:t>Accrued liabilities</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12,568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14,834</w:t>
            </w:r>
          </w:p>
        </w:tc>
        <w:tc>
          <w:tcPr>
            <w:tcW w:w="0" w:type="dxa"/>
            <w:vAlign w:val="bottom"/>
          </w:tcPr>
          <w:p>
            <w:pPr>
              <w:spacing w:after="0"/>
              <w:rPr>
                <w:sz w:val="1"/>
                <w:szCs w:val="1"/>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22"/>
                <w:szCs w:val="22"/>
                <w:color w:val="auto"/>
              </w:rPr>
              <w:t>Income taxes</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1,102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1,104</w:t>
            </w:r>
          </w:p>
        </w:tc>
        <w:tc>
          <w:tcPr>
            <w:tcW w:w="0" w:type="dxa"/>
            <w:vAlign w:val="bottom"/>
          </w:tcPr>
          <w:p>
            <w:pPr>
              <w:spacing w:after="0"/>
              <w:rPr>
                <w:sz w:val="1"/>
                <w:szCs w:val="1"/>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22"/>
                <w:szCs w:val="22"/>
                <w:color w:val="auto"/>
              </w:rPr>
              <w:t>Current portion of long-term debt</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15,964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17,461</w:t>
            </w:r>
          </w:p>
        </w:tc>
        <w:tc>
          <w:tcPr>
            <w:tcW w:w="0" w:type="dxa"/>
            <w:vAlign w:val="bottom"/>
          </w:tcPr>
          <w:p>
            <w:pPr>
              <w:spacing w:after="0"/>
              <w:rPr>
                <w:sz w:val="1"/>
                <w:szCs w:val="1"/>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22"/>
                <w:szCs w:val="22"/>
                <w:color w:val="auto"/>
              </w:rPr>
              <w:t>Deferred revenue</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7,124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7,747</w:t>
            </w:r>
          </w:p>
        </w:tc>
        <w:tc>
          <w:tcPr>
            <w:tcW w:w="0" w:type="dxa"/>
            <w:vAlign w:val="bottom"/>
          </w:tcPr>
          <w:p>
            <w:pPr>
              <w:spacing w:after="0"/>
              <w:rPr>
                <w:sz w:val="1"/>
                <w:szCs w:val="1"/>
                <w:color w:val="auto"/>
              </w:rPr>
            </w:pPr>
          </w:p>
        </w:tc>
      </w:tr>
      <w:tr>
        <w:trPr>
          <w:trHeight w:val="275"/>
        </w:trPr>
        <w:tc>
          <w:tcPr>
            <w:tcW w:w="4300" w:type="dxa"/>
            <w:vAlign w:val="bottom"/>
          </w:tcPr>
          <w:p>
            <w:pPr>
              <w:ind w:left="100"/>
              <w:spacing w:after="0"/>
              <w:rPr>
                <w:sz w:val="20"/>
                <w:szCs w:val="20"/>
                <w:color w:val="auto"/>
              </w:rPr>
            </w:pPr>
            <w:r>
              <w:rPr>
                <w:rFonts w:ascii="Arial" w:cs="Arial" w:eastAsia="Arial" w:hAnsi="Arial"/>
                <w:sz w:val="22"/>
                <w:szCs w:val="22"/>
                <w:color w:val="auto"/>
              </w:rPr>
              <w:t>Other current liabilities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671</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493</w:t>
            </w:r>
          </w:p>
        </w:tc>
        <w:tc>
          <w:tcPr>
            <w:tcW w:w="0" w:type="dxa"/>
            <w:vAlign w:val="bottom"/>
          </w:tcPr>
          <w:p>
            <w:pPr>
              <w:spacing w:after="0"/>
              <w:rPr>
                <w:sz w:val="1"/>
                <w:szCs w:val="1"/>
                <w:color w:val="auto"/>
              </w:rPr>
            </w:pPr>
          </w:p>
        </w:tc>
      </w:tr>
      <w:tr>
        <w:trPr>
          <w:trHeight w:val="272"/>
        </w:trPr>
        <w:tc>
          <w:tcPr>
            <w:tcW w:w="4300" w:type="dxa"/>
            <w:vAlign w:val="bottom"/>
          </w:tcPr>
          <w:p>
            <w:pPr>
              <w:ind w:left="220"/>
              <w:spacing w:after="0"/>
              <w:rPr>
                <w:sz w:val="20"/>
                <w:szCs w:val="20"/>
                <w:color w:val="auto"/>
              </w:rPr>
            </w:pPr>
            <w:r>
              <w:rPr>
                <w:rFonts w:ascii="Arial" w:cs="Arial" w:eastAsia="Arial" w:hAnsi="Arial"/>
                <w:sz w:val="22"/>
                <w:szCs w:val="22"/>
                <w:color w:val="auto"/>
              </w:rPr>
              <w:t>Total current liabilities</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65,905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66,248</w:t>
            </w:r>
          </w:p>
        </w:tc>
        <w:tc>
          <w:tcPr>
            <w:tcW w:w="0" w:type="dxa"/>
            <w:vAlign w:val="bottom"/>
          </w:tcPr>
          <w:p>
            <w:pPr>
              <w:spacing w:after="0"/>
              <w:rPr>
                <w:sz w:val="1"/>
                <w:szCs w:val="1"/>
                <w:color w:val="auto"/>
              </w:rPr>
            </w:pPr>
          </w:p>
        </w:tc>
      </w:tr>
      <w:tr>
        <w:trPr>
          <w:trHeight w:val="528"/>
        </w:trPr>
        <w:tc>
          <w:tcPr>
            <w:tcW w:w="4300" w:type="dxa"/>
            <w:vAlign w:val="bottom"/>
          </w:tcPr>
          <w:p>
            <w:pPr>
              <w:spacing w:after="0"/>
              <w:rPr>
                <w:sz w:val="20"/>
                <w:szCs w:val="20"/>
                <w:color w:val="auto"/>
              </w:rPr>
            </w:pPr>
            <w:r>
              <w:rPr>
                <w:rFonts w:ascii="Arial" w:cs="Arial" w:eastAsia="Arial" w:hAnsi="Arial"/>
                <w:sz w:val="22"/>
                <w:szCs w:val="22"/>
                <w:color w:val="auto"/>
              </w:rPr>
              <w:t>Long-term debt to third-parties</w:t>
            </w:r>
          </w:p>
        </w:tc>
        <w:tc>
          <w:tcPr>
            <w:tcW w:w="3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393,998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379,416</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22"/>
                <w:szCs w:val="22"/>
                <w:color w:val="auto"/>
              </w:rPr>
              <w:t>Deferred income taxes</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23,031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25,391</w:t>
            </w:r>
          </w:p>
        </w:tc>
        <w:tc>
          <w:tcPr>
            <w:tcW w:w="0" w:type="dxa"/>
            <w:vAlign w:val="bottom"/>
          </w:tcPr>
          <w:p>
            <w:pPr>
              <w:spacing w:after="0"/>
              <w:rPr>
                <w:sz w:val="1"/>
                <w:szCs w:val="1"/>
                <w:color w:val="auto"/>
              </w:rPr>
            </w:pPr>
          </w:p>
        </w:tc>
      </w:tr>
      <w:tr>
        <w:trPr>
          <w:trHeight w:val="275"/>
        </w:trPr>
        <w:tc>
          <w:tcPr>
            <w:tcW w:w="430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32,787</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31,704</w:t>
            </w:r>
          </w:p>
        </w:tc>
        <w:tc>
          <w:tcPr>
            <w:tcW w:w="0" w:type="dxa"/>
            <w:vAlign w:val="bottom"/>
          </w:tcPr>
          <w:p>
            <w:pPr>
              <w:spacing w:after="0"/>
              <w:rPr>
                <w:sz w:val="1"/>
                <w:szCs w:val="1"/>
                <w:color w:val="auto"/>
              </w:rPr>
            </w:pPr>
          </w:p>
        </w:tc>
      </w:tr>
      <w:tr>
        <w:trPr>
          <w:trHeight w:val="272"/>
        </w:trPr>
        <w:tc>
          <w:tcPr>
            <w:tcW w:w="4300" w:type="dxa"/>
            <w:vAlign w:val="bottom"/>
          </w:tcPr>
          <w:p>
            <w:pPr>
              <w:ind w:left="220"/>
              <w:spacing w:after="0"/>
              <w:rPr>
                <w:sz w:val="20"/>
                <w:szCs w:val="20"/>
                <w:color w:val="auto"/>
              </w:rPr>
            </w:pPr>
            <w:r>
              <w:rPr>
                <w:rFonts w:ascii="Arial" w:cs="Arial" w:eastAsia="Arial" w:hAnsi="Arial"/>
                <w:sz w:val="22"/>
                <w:szCs w:val="22"/>
                <w:color w:val="auto"/>
              </w:rPr>
              <w:t>Total liabilities</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515,721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502,759</w:t>
            </w:r>
          </w:p>
        </w:tc>
        <w:tc>
          <w:tcPr>
            <w:tcW w:w="0" w:type="dxa"/>
            <w:vAlign w:val="bottom"/>
          </w:tcPr>
          <w:p>
            <w:pPr>
              <w:spacing w:after="0"/>
              <w:rPr>
                <w:sz w:val="1"/>
                <w:szCs w:val="1"/>
                <w:color w:val="auto"/>
              </w:rPr>
            </w:pPr>
          </w:p>
        </w:tc>
      </w:tr>
      <w:tr>
        <w:trPr>
          <w:trHeight w:val="528"/>
        </w:trPr>
        <w:tc>
          <w:tcPr>
            <w:tcW w:w="4300" w:type="dxa"/>
            <w:vAlign w:val="bottom"/>
          </w:tcPr>
          <w:p>
            <w:pPr>
              <w:spacing w:after="0"/>
              <w:rPr>
                <w:sz w:val="20"/>
                <w:szCs w:val="20"/>
                <w:color w:val="auto"/>
              </w:rPr>
            </w:pPr>
            <w:r>
              <w:rPr>
                <w:rFonts w:ascii="Arial" w:cs="Arial" w:eastAsia="Arial" w:hAnsi="Arial"/>
                <w:sz w:val="22"/>
                <w:szCs w:val="22"/>
                <w:color w:val="auto"/>
              </w:rPr>
              <w:t>Shareholders' equity:</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20"/>
              <w:spacing w:after="0"/>
              <w:rPr>
                <w:sz w:val="20"/>
                <w:szCs w:val="20"/>
                <w:color w:val="auto"/>
              </w:rPr>
            </w:pPr>
            <w:r>
              <w:rPr>
                <w:rFonts w:ascii="Arial" w:cs="Arial" w:eastAsia="Arial" w:hAnsi="Arial"/>
                <w:sz w:val="22"/>
                <w:szCs w:val="22"/>
                <w:color w:val="auto"/>
              </w:rPr>
              <w:t>Common shares</w:t>
            </w:r>
          </w:p>
        </w:tc>
        <w:tc>
          <w:tcPr>
            <w:tcW w:w="34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4300" w:type="dxa"/>
            <w:vAlign w:val="bottom"/>
          </w:tcPr>
          <w:p>
            <w:pPr>
              <w:ind w:left="220"/>
              <w:spacing w:after="0"/>
              <w:rPr>
                <w:sz w:val="20"/>
                <w:szCs w:val="20"/>
                <w:color w:val="auto"/>
              </w:rPr>
            </w:pPr>
            <w:r>
              <w:rPr>
                <w:rFonts w:ascii="Arial" w:cs="Arial" w:eastAsia="Arial" w:hAnsi="Arial"/>
                <w:sz w:val="22"/>
                <w:szCs w:val="22"/>
                <w:color w:val="auto"/>
              </w:rPr>
              <w:t>Additional paid-in capital</w:t>
            </w:r>
          </w:p>
        </w:tc>
        <w:tc>
          <w:tcPr>
            <w:tcW w:w="3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22"/>
                <w:szCs w:val="22"/>
                <w:color w:val="auto"/>
              </w:rPr>
              <w:t>1,307,045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22"/>
                <w:szCs w:val="22"/>
                <w:color w:val="auto"/>
              </w:rPr>
              <w:t>1,305,930</w:t>
            </w:r>
          </w:p>
        </w:tc>
        <w:tc>
          <w:tcPr>
            <w:tcW w:w="0" w:type="dxa"/>
            <w:vAlign w:val="bottom"/>
          </w:tcPr>
          <w:p>
            <w:pPr>
              <w:spacing w:after="0"/>
              <w:rPr>
                <w:sz w:val="1"/>
                <w:szCs w:val="1"/>
                <w:color w:val="auto"/>
              </w:rPr>
            </w:pPr>
          </w:p>
        </w:tc>
      </w:tr>
      <w:tr>
        <w:trPr>
          <w:trHeight w:val="270"/>
        </w:trPr>
        <w:tc>
          <w:tcPr>
            <w:tcW w:w="4300" w:type="dxa"/>
            <w:vAlign w:val="bottom"/>
          </w:tcPr>
          <w:p>
            <w:pPr>
              <w:ind w:left="220"/>
              <w:spacing w:after="0"/>
              <w:rPr>
                <w:sz w:val="20"/>
                <w:szCs w:val="20"/>
                <w:color w:val="auto"/>
              </w:rPr>
            </w:pPr>
            <w:r>
              <w:rPr>
                <w:rFonts w:ascii="Arial" w:cs="Arial" w:eastAsia="Arial" w:hAnsi="Arial"/>
                <w:sz w:val="22"/>
                <w:szCs w:val="22"/>
                <w:color w:val="auto"/>
              </w:rPr>
              <w:t>Accumulated deficit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(403,198)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(376,376)</w:t>
            </w:r>
          </w:p>
        </w:tc>
        <w:tc>
          <w:tcPr>
            <w:tcW w:w="0" w:type="dxa"/>
            <w:vAlign w:val="bottom"/>
          </w:tcPr>
          <w:p>
            <w:pPr>
              <w:spacing w:after="0"/>
              <w:rPr>
                <w:sz w:val="1"/>
                <w:szCs w:val="1"/>
                <w:color w:val="auto"/>
              </w:rPr>
            </w:pPr>
          </w:p>
        </w:tc>
      </w:tr>
      <w:tr>
        <w:trPr>
          <w:trHeight w:val="270"/>
        </w:trPr>
        <w:tc>
          <w:tcPr>
            <w:tcW w:w="4300" w:type="dxa"/>
            <w:vAlign w:val="bottom"/>
          </w:tcPr>
          <w:p>
            <w:pPr>
              <w:ind w:left="220"/>
              <w:spacing w:after="0"/>
              <w:rPr>
                <w:sz w:val="20"/>
                <w:szCs w:val="20"/>
                <w:color w:val="auto"/>
              </w:rPr>
            </w:pPr>
            <w:r>
              <w:rPr>
                <w:rFonts w:ascii="Arial" w:cs="Arial" w:eastAsia="Arial" w:hAnsi="Arial"/>
                <w:sz w:val="22"/>
                <w:szCs w:val="22"/>
                <w:color w:val="auto"/>
              </w:rPr>
              <w:t>Treasury stock</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4300" w:type="dxa"/>
            <w:vAlign w:val="bottom"/>
          </w:tcPr>
          <w:p>
            <w:pPr>
              <w:ind w:left="220"/>
              <w:spacing w:after="0"/>
              <w:rPr>
                <w:sz w:val="20"/>
                <w:szCs w:val="20"/>
                <w:color w:val="auto"/>
              </w:rPr>
            </w:pPr>
            <w:r>
              <w:rPr>
                <w:rFonts w:ascii="Arial" w:cs="Arial" w:eastAsia="Arial" w:hAnsi="Arial"/>
                <w:sz w:val="22"/>
                <w:szCs w:val="22"/>
                <w:color w:val="auto"/>
              </w:rPr>
              <w:t>Accumulated other comprehensive loss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(336,953)</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(366,309)</w:t>
            </w:r>
          </w:p>
        </w:tc>
        <w:tc>
          <w:tcPr>
            <w:tcW w:w="0" w:type="dxa"/>
            <w:vAlign w:val="bottom"/>
          </w:tcPr>
          <w:p>
            <w:pPr>
              <w:spacing w:after="0"/>
              <w:rPr>
                <w:sz w:val="1"/>
                <w:szCs w:val="1"/>
                <w:color w:val="auto"/>
              </w:rPr>
            </w:pPr>
          </w:p>
        </w:tc>
      </w:tr>
      <w:tr>
        <w:trPr>
          <w:trHeight w:val="267"/>
        </w:trPr>
        <w:tc>
          <w:tcPr>
            <w:tcW w:w="4300" w:type="dxa"/>
            <w:vAlign w:val="bottom"/>
          </w:tcPr>
          <w:p>
            <w:pPr>
              <w:ind w:left="320"/>
              <w:spacing w:after="0"/>
              <w:rPr>
                <w:sz w:val="20"/>
                <w:szCs w:val="20"/>
                <w:color w:val="auto"/>
              </w:rPr>
            </w:pPr>
            <w:r>
              <w:rPr>
                <w:rFonts w:ascii="Arial" w:cs="Arial" w:eastAsia="Arial" w:hAnsi="Arial"/>
                <w:sz w:val="22"/>
                <w:szCs w:val="22"/>
                <w:color w:val="auto"/>
                <w:w w:val="91"/>
              </w:rPr>
              <w:t>Total Civeo Corporation shareholders' equity</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566,842</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563,245</w:t>
            </w:r>
          </w:p>
        </w:tc>
        <w:tc>
          <w:tcPr>
            <w:tcW w:w="0" w:type="dxa"/>
            <w:vAlign w:val="bottom"/>
          </w:tcPr>
          <w:p>
            <w:pPr>
              <w:spacing w:after="0"/>
              <w:rPr>
                <w:sz w:val="1"/>
                <w:szCs w:val="1"/>
                <w:color w:val="auto"/>
              </w:rPr>
            </w:pPr>
          </w:p>
        </w:tc>
      </w:tr>
      <w:tr>
        <w:trPr>
          <w:trHeight w:val="264"/>
        </w:trPr>
        <w:tc>
          <w:tcPr>
            <w:tcW w:w="430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716</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525</w:t>
            </w:r>
          </w:p>
        </w:tc>
        <w:tc>
          <w:tcPr>
            <w:tcW w:w="0" w:type="dxa"/>
            <w:vAlign w:val="bottom"/>
          </w:tcPr>
          <w:p>
            <w:pPr>
              <w:spacing w:after="0"/>
              <w:rPr>
                <w:sz w:val="1"/>
                <w:szCs w:val="1"/>
                <w:color w:val="auto"/>
              </w:rPr>
            </w:pPr>
          </w:p>
        </w:tc>
      </w:tr>
      <w:tr>
        <w:trPr>
          <w:trHeight w:val="264"/>
        </w:trPr>
        <w:tc>
          <w:tcPr>
            <w:tcW w:w="4300" w:type="dxa"/>
            <w:vAlign w:val="bottom"/>
          </w:tcPr>
          <w:p>
            <w:pPr>
              <w:ind w:left="100"/>
              <w:spacing w:after="0"/>
              <w:rPr>
                <w:sz w:val="20"/>
                <w:szCs w:val="20"/>
                <w:color w:val="auto"/>
              </w:rPr>
            </w:pPr>
            <w:r>
              <w:rPr>
                <w:rFonts w:ascii="Arial" w:cs="Arial" w:eastAsia="Arial" w:hAnsi="Arial"/>
                <w:sz w:val="22"/>
                <w:szCs w:val="22"/>
                <w:color w:val="auto"/>
              </w:rPr>
              <w:t>Total shareholders' equity</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567,558</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563,770</w:t>
            </w:r>
          </w:p>
        </w:tc>
        <w:tc>
          <w:tcPr>
            <w:tcW w:w="0" w:type="dxa"/>
            <w:vAlign w:val="bottom"/>
          </w:tcPr>
          <w:p>
            <w:pPr>
              <w:spacing w:after="0"/>
              <w:rPr>
                <w:sz w:val="1"/>
                <w:szCs w:val="1"/>
                <w:color w:val="auto"/>
              </w:rPr>
            </w:pPr>
          </w:p>
        </w:tc>
      </w:tr>
      <w:tr>
        <w:trPr>
          <w:trHeight w:val="264"/>
        </w:trPr>
        <w:tc>
          <w:tcPr>
            <w:tcW w:w="4300" w:type="dxa"/>
            <w:vAlign w:val="bottom"/>
          </w:tcPr>
          <w:p>
            <w:pPr>
              <w:ind w:left="220"/>
              <w:spacing w:after="0"/>
              <w:rPr>
                <w:sz w:val="20"/>
                <w:szCs w:val="20"/>
                <w:color w:val="auto"/>
              </w:rPr>
            </w:pPr>
            <w:r>
              <w:rPr>
                <w:rFonts w:ascii="Arial" w:cs="Arial" w:eastAsia="Arial" w:hAnsi="Arial"/>
                <w:sz w:val="22"/>
                <w:szCs w:val="22"/>
                <w:color w:val="auto"/>
              </w:rPr>
              <w:t>Total liabilities and shareholders' equity</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1,083,279</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1,066,529</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654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654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640" w:type="dxa"/>
            <w:vAlign w:val="bottom"/>
          </w:tcPr>
          <w:p>
            <w:pPr>
              <w:spacing w:after="0"/>
              <w:rPr>
                <w:sz w:val="23"/>
                <w:szCs w:val="23"/>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2015</w:t>
            </w:r>
          </w:p>
        </w:tc>
      </w:tr>
      <w:tr>
        <w:trPr>
          <w:trHeight w:val="526"/>
        </w:trPr>
        <w:tc>
          <w:tcPr>
            <w:tcW w:w="764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640" w:type="dxa"/>
            <w:vAlign w:val="bottom"/>
          </w:tcPr>
          <w:p>
            <w:pPr>
              <w:spacing w:after="0"/>
              <w:rPr>
                <w:sz w:val="20"/>
                <w:szCs w:val="20"/>
                <w:color w:val="auto"/>
              </w:rPr>
            </w:pPr>
            <w:r>
              <w:rPr>
                <w:rFonts w:ascii="Arial" w:cs="Arial" w:eastAsia="Arial" w:hAnsi="Arial"/>
                <w:sz w:val="22"/>
                <w:szCs w:val="22"/>
                <w:color w:val="auto"/>
              </w:rPr>
              <w:t>Net income (loss)</w:t>
            </w:r>
          </w:p>
        </w:tc>
        <w:tc>
          <w:tcPr>
            <w:tcW w:w="1240" w:type="dxa"/>
            <w:vAlign w:val="bottom"/>
          </w:tcPr>
          <w:p>
            <w:pPr>
              <w:jc w:val="right"/>
              <w:spacing w:after="0"/>
              <w:rPr>
                <w:sz w:val="20"/>
                <w:szCs w:val="20"/>
                <w:color w:val="auto"/>
              </w:rPr>
            </w:pPr>
            <w:r>
              <w:rPr>
                <w:rFonts w:ascii="Arial" w:cs="Arial" w:eastAsia="Arial" w:hAnsi="Arial"/>
                <w:sz w:val="22"/>
                <w:szCs w:val="22"/>
                <w:color w:val="auto"/>
              </w:rPr>
              <w:t>$   (26,674)</w:t>
            </w:r>
          </w:p>
        </w:tc>
        <w:tc>
          <w:tcPr>
            <w:tcW w:w="8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230</w:t>
            </w:r>
          </w:p>
        </w:tc>
      </w:tr>
      <w:tr>
        <w:trPr>
          <w:trHeight w:val="270"/>
        </w:trPr>
        <w:tc>
          <w:tcPr>
            <w:tcW w:w="7640" w:type="dxa"/>
            <w:vAlign w:val="bottom"/>
          </w:tcPr>
          <w:p>
            <w:pPr>
              <w:spacing w:after="0"/>
              <w:rPr>
                <w:sz w:val="20"/>
                <w:szCs w:val="20"/>
                <w:color w:val="auto"/>
              </w:rPr>
            </w:pPr>
            <w:r>
              <w:rPr>
                <w:rFonts w:ascii="Arial" w:cs="Arial" w:eastAsia="Arial" w:hAnsi="Arial"/>
                <w:sz w:val="22"/>
                <w:szCs w:val="22"/>
                <w:color w:val="auto"/>
                <w:w w:val="90"/>
              </w:rPr>
              <w:t>Adjustments to reconcile net income (loss) to net cash provided by operating activities:</w:t>
            </w: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Depreciation and amortization</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33,555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42,446</w:t>
            </w: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Impairment charges</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8,400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3,753</w:t>
            </w: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Loss on extinguishment of debt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302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w:t>
            </w: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Deferred income tax benefit</w:t>
            </w:r>
          </w:p>
        </w:tc>
        <w:tc>
          <w:tcPr>
            <w:tcW w:w="1240" w:type="dxa"/>
            <w:vAlign w:val="bottom"/>
          </w:tcPr>
          <w:p>
            <w:pPr>
              <w:jc w:val="right"/>
              <w:spacing w:after="0"/>
              <w:rPr>
                <w:sz w:val="20"/>
                <w:szCs w:val="20"/>
                <w:color w:val="auto"/>
              </w:rPr>
            </w:pPr>
            <w:r>
              <w:rPr>
                <w:rFonts w:ascii="Arial" w:cs="Arial" w:eastAsia="Arial" w:hAnsi="Arial"/>
                <w:sz w:val="22"/>
                <w:szCs w:val="22"/>
                <w:color w:val="auto"/>
              </w:rPr>
              <w:t>(7,592)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(801)</w:t>
            </w: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Non-cash compensation charge</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1,115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1,223</w:t>
            </w: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Gains on disposals of assets</w:t>
            </w:r>
          </w:p>
        </w:tc>
        <w:tc>
          <w:tcPr>
            <w:tcW w:w="1240" w:type="dxa"/>
            <w:vAlign w:val="bottom"/>
          </w:tcPr>
          <w:p>
            <w:pPr>
              <w:jc w:val="right"/>
              <w:spacing w:after="0"/>
              <w:rPr>
                <w:sz w:val="20"/>
                <w:szCs w:val="20"/>
                <w:color w:val="auto"/>
              </w:rPr>
            </w:pPr>
            <w:r>
              <w:rPr>
                <w:rFonts w:ascii="Arial" w:cs="Arial" w:eastAsia="Arial" w:hAnsi="Arial"/>
                <w:sz w:val="22"/>
                <w:szCs w:val="22"/>
                <w:color w:val="auto"/>
              </w:rPr>
              <w:t>(39)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(341)</w:t>
            </w: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Provision for loss on receivables</w:t>
            </w:r>
          </w:p>
        </w:tc>
        <w:tc>
          <w:tcPr>
            <w:tcW w:w="1240" w:type="dxa"/>
            <w:vAlign w:val="bottom"/>
          </w:tcPr>
          <w:p>
            <w:pPr>
              <w:jc w:val="right"/>
              <w:spacing w:after="0"/>
              <w:rPr>
                <w:sz w:val="20"/>
                <w:szCs w:val="20"/>
                <w:color w:val="auto"/>
              </w:rPr>
            </w:pPr>
            <w:r>
              <w:rPr>
                <w:rFonts w:ascii="Arial" w:cs="Arial" w:eastAsia="Arial" w:hAnsi="Arial"/>
                <w:sz w:val="22"/>
                <w:szCs w:val="22"/>
                <w:color w:val="auto"/>
              </w:rPr>
              <w:t>(135)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730</w:t>
            </w: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1,082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845</w:t>
            </w: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Changes in operating assets and liabilities:</w:t>
            </w: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7640" w:type="dxa"/>
            <w:vAlign w:val="bottom"/>
          </w:tcPr>
          <w:p>
            <w:pPr>
              <w:ind w:left="220"/>
              <w:spacing w:after="0"/>
              <w:rPr>
                <w:sz w:val="20"/>
                <w:szCs w:val="20"/>
                <w:color w:val="auto"/>
              </w:rPr>
            </w:pPr>
            <w:r>
              <w:rPr>
                <w:rFonts w:ascii="Arial" w:cs="Arial" w:eastAsia="Arial" w:hAnsi="Arial"/>
                <w:sz w:val="22"/>
                <w:szCs w:val="22"/>
                <w:color w:val="auto"/>
              </w:rPr>
              <w:t>Accounts receivable</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4,353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19,835</w:t>
            </w:r>
          </w:p>
        </w:tc>
      </w:tr>
      <w:tr>
        <w:trPr>
          <w:trHeight w:val="270"/>
        </w:trPr>
        <w:tc>
          <w:tcPr>
            <w:tcW w:w="7640" w:type="dxa"/>
            <w:vAlign w:val="bottom"/>
          </w:tcPr>
          <w:p>
            <w:pPr>
              <w:ind w:left="220"/>
              <w:spacing w:after="0"/>
              <w:rPr>
                <w:sz w:val="20"/>
                <w:szCs w:val="20"/>
                <w:color w:val="auto"/>
              </w:rPr>
            </w:pPr>
            <w:r>
              <w:rPr>
                <w:rFonts w:ascii="Arial" w:cs="Arial" w:eastAsia="Arial" w:hAnsi="Arial"/>
                <w:sz w:val="22"/>
                <w:szCs w:val="22"/>
                <w:color w:val="auto"/>
              </w:rPr>
              <w:t>Inventories</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792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1,256</w:t>
            </w:r>
          </w:p>
        </w:tc>
      </w:tr>
      <w:tr>
        <w:trPr>
          <w:trHeight w:val="270"/>
        </w:trPr>
        <w:tc>
          <w:tcPr>
            <w:tcW w:w="7640" w:type="dxa"/>
            <w:vAlign w:val="bottom"/>
          </w:tcPr>
          <w:p>
            <w:pPr>
              <w:ind w:left="220"/>
              <w:spacing w:after="0"/>
              <w:rPr>
                <w:sz w:val="20"/>
                <w:szCs w:val="20"/>
                <w:color w:val="auto"/>
              </w:rPr>
            </w:pPr>
            <w:r>
              <w:rPr>
                <w:rFonts w:ascii="Arial" w:cs="Arial" w:eastAsia="Arial" w:hAnsi="Arial"/>
                <w:sz w:val="22"/>
                <w:szCs w:val="22"/>
                <w:color w:val="auto"/>
              </w:rPr>
              <w:t>Accounts payable and accrued liabilities</w:t>
            </w:r>
          </w:p>
        </w:tc>
        <w:tc>
          <w:tcPr>
            <w:tcW w:w="1240" w:type="dxa"/>
            <w:vAlign w:val="bottom"/>
          </w:tcPr>
          <w:p>
            <w:pPr>
              <w:jc w:val="right"/>
              <w:spacing w:after="0"/>
              <w:rPr>
                <w:sz w:val="20"/>
                <w:szCs w:val="20"/>
                <w:color w:val="auto"/>
              </w:rPr>
            </w:pPr>
            <w:r>
              <w:rPr>
                <w:rFonts w:ascii="Arial" w:cs="Arial" w:eastAsia="Arial" w:hAnsi="Arial"/>
                <w:sz w:val="22"/>
                <w:szCs w:val="22"/>
                <w:color w:val="auto"/>
              </w:rPr>
              <w:t>(302)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(10,680)</w:t>
            </w:r>
          </w:p>
        </w:tc>
      </w:tr>
      <w:tr>
        <w:trPr>
          <w:trHeight w:val="270"/>
        </w:trPr>
        <w:tc>
          <w:tcPr>
            <w:tcW w:w="7640" w:type="dxa"/>
            <w:vAlign w:val="bottom"/>
          </w:tcPr>
          <w:p>
            <w:pPr>
              <w:ind w:left="220"/>
              <w:spacing w:after="0"/>
              <w:rPr>
                <w:sz w:val="20"/>
                <w:szCs w:val="20"/>
                <w:color w:val="auto"/>
              </w:rPr>
            </w:pPr>
            <w:r>
              <w:rPr>
                <w:rFonts w:ascii="Arial" w:cs="Arial" w:eastAsia="Arial" w:hAnsi="Arial"/>
                <w:sz w:val="22"/>
                <w:szCs w:val="22"/>
                <w:color w:val="auto"/>
              </w:rPr>
              <w:t>Taxes payable</w:t>
            </w:r>
          </w:p>
        </w:tc>
        <w:tc>
          <w:tcPr>
            <w:tcW w:w="1240" w:type="dxa"/>
            <w:vAlign w:val="bottom"/>
          </w:tcPr>
          <w:p>
            <w:pPr>
              <w:jc w:val="right"/>
              <w:spacing w:after="0"/>
              <w:rPr>
                <w:sz w:val="20"/>
                <w:szCs w:val="20"/>
                <w:color w:val="auto"/>
              </w:rPr>
            </w:pPr>
            <w:r>
              <w:rPr>
                <w:rFonts w:ascii="Arial" w:cs="Arial" w:eastAsia="Arial" w:hAnsi="Arial"/>
                <w:sz w:val="22"/>
                <w:szCs w:val="22"/>
                <w:color w:val="auto"/>
              </w:rPr>
              <w:t>(2,395)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(6,483)</w:t>
            </w:r>
          </w:p>
        </w:tc>
      </w:tr>
      <w:tr>
        <w:trPr>
          <w:trHeight w:val="275"/>
        </w:trPr>
        <w:tc>
          <w:tcPr>
            <w:tcW w:w="7640" w:type="dxa"/>
            <w:vAlign w:val="bottom"/>
          </w:tcPr>
          <w:p>
            <w:pPr>
              <w:ind w:left="220"/>
              <w:spacing w:after="0"/>
              <w:rPr>
                <w:sz w:val="20"/>
                <w:szCs w:val="20"/>
                <w:color w:val="auto"/>
              </w:rPr>
            </w:pPr>
            <w:r>
              <w:rPr>
                <w:rFonts w:ascii="Arial" w:cs="Arial" w:eastAsia="Arial" w:hAnsi="Arial"/>
                <w:sz w:val="22"/>
                <w:szCs w:val="22"/>
                <w:color w:val="auto"/>
              </w:rPr>
              <w:t>Other current assets and liabilities, net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(3,111)</w:t>
            </w:r>
          </w:p>
        </w:tc>
      </w:tr>
      <w:tr>
        <w:trPr>
          <w:trHeight w:val="272"/>
        </w:trPr>
        <w:tc>
          <w:tcPr>
            <w:tcW w:w="764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1240" w:type="dxa"/>
            <w:vAlign w:val="bottom"/>
          </w:tcPr>
          <w:p>
            <w:pPr>
              <w:jc w:val="right"/>
              <w:ind w:right="12"/>
              <w:spacing w:after="0"/>
              <w:rPr>
                <w:sz w:val="20"/>
                <w:szCs w:val="20"/>
                <w:color w:val="auto"/>
              </w:rPr>
            </w:pPr>
            <w:r>
              <w:rPr>
                <w:rFonts w:ascii="Arial" w:cs="Arial" w:eastAsia="Arial" w:hAnsi="Arial"/>
                <w:sz w:val="22"/>
                <w:szCs w:val="22"/>
                <w:color w:val="auto"/>
              </w:rPr>
              <w:t>11,278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48,902</w:t>
            </w:r>
          </w:p>
        </w:tc>
      </w:tr>
    </w:tbl>
    <w:p>
      <w:pPr>
        <w:sectPr>
          <w:pgSz w:w="11900" w:h="16848" w:orient="portrait"/>
          <w:cols w:equalWidth="0" w:num="1">
            <w:col w:w="10260"/>
          </w:cols>
          <w:pgMar w:left="260" w:top="118" w:right="137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4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Capital expenditures, including capitalized interest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(4,761)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(10,702)</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Proceeds from disposition of property, plant and equipment</w:t>
            </w: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1,599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1,127</w:t>
            </w:r>
          </w:p>
        </w:tc>
        <w:tc>
          <w:tcPr>
            <w:tcW w:w="0" w:type="dxa"/>
            <w:vAlign w:val="bottom"/>
          </w:tcPr>
          <w:p>
            <w:pPr>
              <w:spacing w:after="0"/>
              <w:rPr>
                <w:sz w:val="1"/>
                <w:szCs w:val="1"/>
                <w:color w:val="auto"/>
              </w:rPr>
            </w:pPr>
          </w:p>
        </w:tc>
      </w:tr>
      <w:tr>
        <w:trPr>
          <w:trHeight w:val="275"/>
        </w:trPr>
        <w:tc>
          <w:tcPr>
            <w:tcW w:w="764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(302)</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2"/>
        </w:trPr>
        <w:tc>
          <w:tcPr>
            <w:tcW w:w="7640" w:type="dxa"/>
            <w:vAlign w:val="bottom"/>
          </w:tcPr>
          <w:p>
            <w:pPr>
              <w:ind w:left="220"/>
              <w:spacing w:after="0"/>
              <w:rPr>
                <w:sz w:val="20"/>
                <w:szCs w:val="20"/>
                <w:color w:val="auto"/>
              </w:rPr>
            </w:pPr>
            <w:r>
              <w:rPr>
                <w:rFonts w:ascii="Arial" w:cs="Arial" w:eastAsia="Arial" w:hAnsi="Arial"/>
                <w:sz w:val="22"/>
                <w:szCs w:val="22"/>
                <w:color w:val="auto"/>
              </w:rPr>
              <w:t>Net cash flows used in investing activities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(3,464)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(9,575)</w:t>
            </w:r>
          </w:p>
        </w:tc>
        <w:tc>
          <w:tcPr>
            <w:tcW w:w="0" w:type="dxa"/>
            <w:vAlign w:val="bottom"/>
          </w:tcPr>
          <w:p>
            <w:pPr>
              <w:spacing w:after="0"/>
              <w:rPr>
                <w:sz w:val="1"/>
                <w:szCs w:val="1"/>
                <w:color w:val="auto"/>
              </w:rPr>
            </w:pPr>
          </w:p>
        </w:tc>
      </w:tr>
      <w:tr>
        <w:trPr>
          <w:trHeight w:val="528"/>
        </w:trPr>
        <w:tc>
          <w:tcPr>
            <w:tcW w:w="764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Proceeds from issuance of common stock</w:t>
            </w:r>
          </w:p>
        </w:tc>
        <w:tc>
          <w:tcPr>
            <w:tcW w:w="30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500</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Term loan repayments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(29,055)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640" w:type="dxa"/>
            <w:vAlign w:val="bottom"/>
          </w:tcPr>
          <w:p>
            <w:pPr>
              <w:ind w:left="100"/>
              <w:spacing w:after="0"/>
              <w:rPr>
                <w:sz w:val="20"/>
                <w:szCs w:val="20"/>
                <w:color w:val="auto"/>
              </w:rPr>
            </w:pPr>
            <w:r>
              <w:rPr>
                <w:rFonts w:ascii="Arial" w:cs="Arial" w:eastAsia="Arial" w:hAnsi="Arial"/>
                <w:sz w:val="22"/>
                <w:szCs w:val="22"/>
                <w:color w:val="auto"/>
              </w:rPr>
              <w:t>Revolver borrowings (repayments), net</w:t>
            </w: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18,085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7640" w:type="dxa"/>
            <w:vAlign w:val="bottom"/>
          </w:tcPr>
          <w:p>
            <w:pPr>
              <w:ind w:left="100"/>
              <w:spacing w:after="0"/>
              <w:rPr>
                <w:sz w:val="20"/>
                <w:szCs w:val="20"/>
                <w:color w:val="auto"/>
              </w:rPr>
            </w:pPr>
            <w:r>
              <w:rPr>
                <w:rFonts w:ascii="Arial" w:cs="Arial" w:eastAsia="Arial" w:hAnsi="Arial"/>
                <w:sz w:val="22"/>
                <w:szCs w:val="22"/>
                <w:color w:val="auto"/>
              </w:rPr>
              <w:t>Debt issuance costs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(2,035)</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2"/>
        </w:trPr>
        <w:tc>
          <w:tcPr>
            <w:tcW w:w="7640" w:type="dxa"/>
            <w:vAlign w:val="bottom"/>
          </w:tcPr>
          <w:p>
            <w:pPr>
              <w:ind w:left="220"/>
              <w:spacing w:after="0"/>
              <w:rPr>
                <w:sz w:val="20"/>
                <w:szCs w:val="20"/>
                <w:color w:val="auto"/>
              </w:rPr>
            </w:pPr>
            <w:r>
              <w:rPr>
                <w:rFonts w:ascii="Arial" w:cs="Arial" w:eastAsia="Arial" w:hAnsi="Arial"/>
                <w:sz w:val="22"/>
                <w:szCs w:val="22"/>
                <w:color w:val="auto"/>
              </w:rPr>
              <w:t>Net cash flows provided by (used in) financing activities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(13,005)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500</w:t>
            </w:r>
          </w:p>
        </w:tc>
        <w:tc>
          <w:tcPr>
            <w:tcW w:w="0" w:type="dxa"/>
            <w:vAlign w:val="bottom"/>
          </w:tcPr>
          <w:p>
            <w:pPr>
              <w:spacing w:after="0"/>
              <w:rPr>
                <w:sz w:val="1"/>
                <w:szCs w:val="1"/>
                <w:color w:val="auto"/>
              </w:rPr>
            </w:pPr>
          </w:p>
        </w:tc>
      </w:tr>
      <w:tr>
        <w:trPr>
          <w:trHeight w:val="532"/>
        </w:trPr>
        <w:tc>
          <w:tcPr>
            <w:tcW w:w="764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(23,344)</w:t>
            </w:r>
          </w:p>
        </w:tc>
        <w:tc>
          <w:tcPr>
            <w:tcW w:w="0" w:type="dxa"/>
            <w:vAlign w:val="bottom"/>
          </w:tcPr>
          <w:p>
            <w:pPr>
              <w:spacing w:after="0"/>
              <w:rPr>
                <w:sz w:val="1"/>
                <w:szCs w:val="1"/>
                <w:color w:val="auto"/>
              </w:rPr>
            </w:pPr>
          </w:p>
        </w:tc>
      </w:tr>
      <w:tr>
        <w:trPr>
          <w:trHeight w:val="272"/>
        </w:trPr>
        <w:tc>
          <w:tcPr>
            <w:tcW w:w="764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(4,869)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16,483</w:t>
            </w:r>
          </w:p>
        </w:tc>
        <w:tc>
          <w:tcPr>
            <w:tcW w:w="0" w:type="dxa"/>
            <w:vAlign w:val="bottom"/>
          </w:tcPr>
          <w:p>
            <w:pPr>
              <w:spacing w:after="0"/>
              <w:rPr>
                <w:sz w:val="1"/>
                <w:szCs w:val="1"/>
                <w:color w:val="auto"/>
              </w:rPr>
            </w:pPr>
          </w:p>
        </w:tc>
      </w:tr>
      <w:tr>
        <w:trPr>
          <w:trHeight w:val="532"/>
        </w:trPr>
        <w:tc>
          <w:tcPr>
            <w:tcW w:w="764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30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7,837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22"/>
                <w:szCs w:val="22"/>
                <w:color w:val="auto"/>
              </w:rPr>
              <w:t>263,314</w:t>
            </w:r>
          </w:p>
        </w:tc>
        <w:tc>
          <w:tcPr>
            <w:tcW w:w="0" w:type="dxa"/>
            <w:vAlign w:val="bottom"/>
          </w:tcPr>
          <w:p>
            <w:pPr>
              <w:spacing w:after="0"/>
              <w:rPr>
                <w:sz w:val="1"/>
                <w:szCs w:val="1"/>
                <w:color w:val="auto"/>
              </w:rPr>
            </w:pPr>
          </w:p>
        </w:tc>
      </w:tr>
      <w:tr>
        <w:trPr>
          <w:trHeight w:val="274"/>
        </w:trPr>
        <w:tc>
          <w:tcPr>
            <w:tcW w:w="7640" w:type="dxa"/>
            <w:vAlign w:val="bottom"/>
            <w:vMerge w:val="restart"/>
          </w:tcPr>
          <w:p>
            <w:pPr>
              <w:spacing w:after="0"/>
              <w:rPr>
                <w:sz w:val="20"/>
                <w:szCs w:val="20"/>
                <w:color w:val="auto"/>
              </w:rPr>
            </w:pPr>
            <w:r>
              <w:rPr>
                <w:rFonts w:ascii="Arial" w:cs="Arial" w:eastAsia="Arial" w:hAnsi="Arial"/>
                <w:sz w:val="22"/>
                <w:szCs w:val="22"/>
                <w:color w:val="auto"/>
              </w:rPr>
              <w:t>Cash and cash equivalents, end of period</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40" w:type="dxa"/>
            <w:vAlign w:val="bottom"/>
            <w:vMerge w:val="continue"/>
          </w:tcPr>
          <w:p>
            <w:pPr>
              <w:spacing w:after="0"/>
              <w:rPr>
                <w:sz w:val="22"/>
                <w:szCs w:val="22"/>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2,968</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279,797</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3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4320"/>
        <w:spacing w:after="0"/>
        <w:rPr>
          <w:sz w:val="20"/>
          <w:szCs w:val="20"/>
          <w:color w:val="auto"/>
        </w:rPr>
      </w:pPr>
      <w:r>
        <w:rPr>
          <w:rFonts w:ascii="Arial" w:cs="Arial" w:eastAsia="Arial" w:hAnsi="Arial"/>
          <w:sz w:val="22"/>
          <w:szCs w:val="22"/>
          <w:b w:val="1"/>
          <w:bCs w:val="1"/>
          <w:color w:val="auto"/>
        </w:rPr>
        <w:t>SEGMENT DATA</w:t>
      </w:r>
    </w:p>
    <w:p>
      <w:pPr>
        <w:jc w:val="center"/>
        <w:ind w:right="43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43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2620" w:type="dxa"/>
            <w:vAlign w:val="bottom"/>
            <w:gridSpan w:val="5"/>
          </w:tcPr>
          <w:p>
            <w:pPr>
              <w:ind w:left="20"/>
              <w:spacing w:after="0"/>
              <w:rPr>
                <w:sz w:val="20"/>
                <w:szCs w:val="20"/>
                <w:color w:val="auto"/>
              </w:rPr>
            </w:pPr>
            <w:r>
              <w:rPr>
                <w:rFonts w:ascii="Arial" w:cs="Arial" w:eastAsia="Arial" w:hAnsi="Arial"/>
                <w:sz w:val="22"/>
                <w:szCs w:val="22"/>
                <w:b w:val="1"/>
                <w:bCs w:val="1"/>
                <w:color w:val="auto"/>
                <w:w w:val="99"/>
              </w:rPr>
              <w:t>THREE MONTHS ENDED</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22"/>
                <w:szCs w:val="22"/>
                <w:b w:val="1"/>
                <w:bCs w:val="1"/>
                <w:color w:val="auto"/>
              </w:rPr>
              <w:t>MARCH 31,</w:t>
            </w:r>
          </w:p>
        </w:tc>
        <w:tc>
          <w:tcPr>
            <w:tcW w:w="0" w:type="dxa"/>
            <w:vAlign w:val="bottom"/>
          </w:tcPr>
          <w:p>
            <w:pPr>
              <w:spacing w:after="0"/>
              <w:rPr>
                <w:sz w:val="1"/>
                <w:szCs w:val="1"/>
                <w:color w:val="auto"/>
              </w:rPr>
            </w:pPr>
          </w:p>
        </w:tc>
      </w:tr>
      <w:tr>
        <w:trPr>
          <w:trHeight w:val="282"/>
        </w:trPr>
        <w:tc>
          <w:tcPr>
            <w:tcW w:w="334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2015</w:t>
            </w:r>
          </w:p>
        </w:tc>
        <w:tc>
          <w:tcPr>
            <w:tcW w:w="0" w:type="dxa"/>
            <w:vAlign w:val="bottom"/>
          </w:tcPr>
          <w:p>
            <w:pPr>
              <w:spacing w:after="0"/>
              <w:rPr>
                <w:sz w:val="1"/>
                <w:szCs w:val="1"/>
                <w:color w:val="auto"/>
              </w:rPr>
            </w:pPr>
          </w:p>
        </w:tc>
      </w:tr>
      <w:tr>
        <w:trPr>
          <w:trHeight w:val="248"/>
        </w:trPr>
        <w:tc>
          <w:tcPr>
            <w:tcW w:w="33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340" w:type="dxa"/>
            <w:vAlign w:val="bottom"/>
          </w:tcPr>
          <w:p>
            <w:pPr>
              <w:ind w:left="100"/>
              <w:spacing w:after="0"/>
              <w:rPr>
                <w:sz w:val="20"/>
                <w:szCs w:val="20"/>
                <w:color w:val="auto"/>
              </w:rPr>
            </w:pPr>
            <w:r>
              <w:rPr>
                <w:rFonts w:ascii="Arial" w:cs="Arial" w:eastAsia="Arial" w:hAnsi="Arial"/>
                <w:sz w:val="22"/>
                <w:szCs w:val="22"/>
                <w:color w:val="auto"/>
              </w:rPr>
              <w:t>Canada</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65,522</w:t>
            </w:r>
          </w:p>
        </w:tc>
        <w:tc>
          <w:tcPr>
            <w:tcW w:w="8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116,900</w:t>
            </w: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0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25,510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41,859</w:t>
            </w:r>
          </w:p>
        </w:tc>
        <w:tc>
          <w:tcPr>
            <w:tcW w:w="0" w:type="dxa"/>
            <w:vAlign w:val="bottom"/>
          </w:tcPr>
          <w:p>
            <w:pPr>
              <w:spacing w:after="0"/>
              <w:rPr>
                <w:sz w:val="1"/>
                <w:szCs w:val="1"/>
                <w:color w:val="auto"/>
              </w:rPr>
            </w:pPr>
          </w:p>
        </w:tc>
      </w:tr>
      <w:tr>
        <w:trPr>
          <w:trHeight w:val="275"/>
        </w:trPr>
        <w:tc>
          <w:tcPr>
            <w:tcW w:w="334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4,004</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12,228</w:t>
            </w:r>
          </w:p>
        </w:tc>
        <w:tc>
          <w:tcPr>
            <w:tcW w:w="0" w:type="dxa"/>
            <w:vAlign w:val="bottom"/>
          </w:tcPr>
          <w:p>
            <w:pPr>
              <w:spacing w:after="0"/>
              <w:rPr>
                <w:sz w:val="1"/>
                <w:szCs w:val="1"/>
                <w:color w:val="auto"/>
              </w:rPr>
            </w:pPr>
          </w:p>
        </w:tc>
      </w:tr>
      <w:tr>
        <w:trPr>
          <w:trHeight w:val="267"/>
        </w:trPr>
        <w:tc>
          <w:tcPr>
            <w:tcW w:w="3340" w:type="dxa"/>
            <w:vAlign w:val="bottom"/>
          </w:tcPr>
          <w:p>
            <w:pPr>
              <w:ind w:left="220"/>
              <w:spacing w:after="0"/>
              <w:rPr>
                <w:sz w:val="20"/>
                <w:szCs w:val="20"/>
                <w:color w:val="auto"/>
              </w:rPr>
            </w:pPr>
            <w:r>
              <w:rPr>
                <w:rFonts w:ascii="Arial" w:cs="Arial" w:eastAsia="Arial" w:hAnsi="Arial"/>
                <w:sz w:val="22"/>
                <w:szCs w:val="22"/>
                <w:color w:val="auto"/>
              </w:rPr>
              <w:t>Total revenues</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95,036</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170,987</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Canada</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14,048</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37,512</w:t>
            </w: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0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10,743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20,723</w:t>
            </w: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(11,470)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(3,616)</w:t>
            </w:r>
          </w:p>
        </w:tc>
        <w:tc>
          <w:tcPr>
            <w:tcW w:w="0" w:type="dxa"/>
            <w:vAlign w:val="bottom"/>
          </w:tcPr>
          <w:p>
            <w:pPr>
              <w:spacing w:after="0"/>
              <w:rPr>
                <w:sz w:val="1"/>
                <w:szCs w:val="1"/>
                <w:color w:val="auto"/>
              </w:rPr>
            </w:pPr>
          </w:p>
        </w:tc>
      </w:tr>
      <w:tr>
        <w:trPr>
          <w:trHeight w:val="275"/>
        </w:trPr>
        <w:tc>
          <w:tcPr>
            <w:tcW w:w="334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(5,999)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(6,545)</w:t>
            </w:r>
          </w:p>
        </w:tc>
        <w:tc>
          <w:tcPr>
            <w:tcW w:w="0" w:type="dxa"/>
            <w:vAlign w:val="bottom"/>
          </w:tcPr>
          <w:p>
            <w:pPr>
              <w:spacing w:after="0"/>
              <w:rPr>
                <w:sz w:val="1"/>
                <w:szCs w:val="1"/>
                <w:color w:val="auto"/>
              </w:rPr>
            </w:pPr>
          </w:p>
        </w:tc>
      </w:tr>
      <w:tr>
        <w:trPr>
          <w:trHeight w:val="267"/>
        </w:trPr>
        <w:tc>
          <w:tcPr>
            <w:tcW w:w="3340" w:type="dxa"/>
            <w:vAlign w:val="bottom"/>
          </w:tcPr>
          <w:p>
            <w:pPr>
              <w:ind w:left="220"/>
              <w:spacing w:after="0"/>
              <w:rPr>
                <w:sz w:val="20"/>
                <w:szCs w:val="20"/>
                <w:color w:val="auto"/>
              </w:rPr>
            </w:pPr>
            <w:r>
              <w:rPr>
                <w:rFonts w:ascii="Arial" w:cs="Arial" w:eastAsia="Arial" w:hAnsi="Arial"/>
                <w:sz w:val="22"/>
                <w:szCs w:val="22"/>
                <w:color w:val="auto"/>
              </w:rPr>
              <w:t>Total EBITDA</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7,322</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48,074</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Canada</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14,171</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37,512</w:t>
            </w: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0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10,763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20,723</w:t>
            </w: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(3,070)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137</w:t>
            </w:r>
          </w:p>
        </w:tc>
        <w:tc>
          <w:tcPr>
            <w:tcW w:w="0" w:type="dxa"/>
            <w:vAlign w:val="bottom"/>
          </w:tcPr>
          <w:p>
            <w:pPr>
              <w:spacing w:after="0"/>
              <w:rPr>
                <w:sz w:val="1"/>
                <w:szCs w:val="1"/>
                <w:color w:val="auto"/>
              </w:rPr>
            </w:pPr>
          </w:p>
        </w:tc>
      </w:tr>
      <w:tr>
        <w:trPr>
          <w:trHeight w:val="275"/>
        </w:trPr>
        <w:tc>
          <w:tcPr>
            <w:tcW w:w="334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(5,107)</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(5,385)</w:t>
            </w:r>
          </w:p>
        </w:tc>
        <w:tc>
          <w:tcPr>
            <w:tcW w:w="0" w:type="dxa"/>
            <w:vAlign w:val="bottom"/>
          </w:tcPr>
          <w:p>
            <w:pPr>
              <w:spacing w:after="0"/>
              <w:rPr>
                <w:sz w:val="1"/>
                <w:szCs w:val="1"/>
                <w:color w:val="auto"/>
              </w:rPr>
            </w:pPr>
          </w:p>
        </w:tc>
      </w:tr>
      <w:tr>
        <w:trPr>
          <w:trHeight w:val="267"/>
        </w:trPr>
        <w:tc>
          <w:tcPr>
            <w:tcW w:w="3340" w:type="dxa"/>
            <w:vAlign w:val="bottom"/>
          </w:tcPr>
          <w:p>
            <w:pPr>
              <w:ind w:left="220"/>
              <w:spacing w:after="0"/>
              <w:rPr>
                <w:sz w:val="20"/>
                <w:szCs w:val="20"/>
                <w:color w:val="auto"/>
              </w:rPr>
            </w:pPr>
            <w:r>
              <w:rPr>
                <w:rFonts w:ascii="Arial" w:cs="Arial" w:eastAsia="Arial" w:hAnsi="Arial"/>
                <w:sz w:val="22"/>
                <w:szCs w:val="22"/>
                <w:color w:val="auto"/>
              </w:rPr>
              <w:t>Total adjusted EBITDA</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16,757</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52,987</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3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Canada</w:t>
            </w: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(9,699)</w:t>
            </w:r>
          </w:p>
        </w:tc>
        <w:tc>
          <w:tcPr>
            <w:tcW w:w="8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12,120</w:t>
            </w: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(1,622)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6,727</w:t>
            </w:r>
          </w:p>
        </w:tc>
        <w:tc>
          <w:tcPr>
            <w:tcW w:w="0" w:type="dxa"/>
            <w:vAlign w:val="bottom"/>
          </w:tcPr>
          <w:p>
            <w:pPr>
              <w:spacing w:after="0"/>
              <w:rPr>
                <w:sz w:val="1"/>
                <w:szCs w:val="1"/>
                <w:color w:val="auto"/>
              </w:rPr>
            </w:pPr>
          </w:p>
        </w:tc>
      </w:tr>
      <w:tr>
        <w:trPr>
          <w:trHeight w:val="270"/>
        </w:trPr>
        <w:tc>
          <w:tcPr>
            <w:tcW w:w="334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(13,599)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(6,894)</w:t>
            </w:r>
          </w:p>
        </w:tc>
        <w:tc>
          <w:tcPr>
            <w:tcW w:w="0" w:type="dxa"/>
            <w:vAlign w:val="bottom"/>
          </w:tcPr>
          <w:p>
            <w:pPr>
              <w:spacing w:after="0"/>
              <w:rPr>
                <w:sz w:val="1"/>
                <w:szCs w:val="1"/>
                <w:color w:val="auto"/>
              </w:rPr>
            </w:pPr>
          </w:p>
        </w:tc>
      </w:tr>
      <w:tr>
        <w:trPr>
          <w:trHeight w:val="275"/>
        </w:trPr>
        <w:tc>
          <w:tcPr>
            <w:tcW w:w="334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(1,277)</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(7,077)</w:t>
            </w:r>
          </w:p>
        </w:tc>
        <w:tc>
          <w:tcPr>
            <w:tcW w:w="0" w:type="dxa"/>
            <w:vAlign w:val="bottom"/>
          </w:tcPr>
          <w:p>
            <w:pPr>
              <w:spacing w:after="0"/>
              <w:rPr>
                <w:sz w:val="1"/>
                <w:szCs w:val="1"/>
                <w:color w:val="auto"/>
              </w:rPr>
            </w:pPr>
          </w:p>
        </w:tc>
      </w:tr>
      <w:tr>
        <w:trPr>
          <w:trHeight w:val="267"/>
        </w:trPr>
        <w:tc>
          <w:tcPr>
            <w:tcW w:w="3340" w:type="dxa"/>
            <w:vAlign w:val="bottom"/>
          </w:tcPr>
          <w:p>
            <w:pPr>
              <w:ind w:left="220"/>
              <w:spacing w:after="0"/>
              <w:rPr>
                <w:sz w:val="20"/>
                <w:szCs w:val="20"/>
                <w:color w:val="auto"/>
              </w:rPr>
            </w:pPr>
            <w:r>
              <w:rPr>
                <w:rFonts w:ascii="Arial" w:cs="Arial" w:eastAsia="Arial" w:hAnsi="Arial"/>
                <w:sz w:val="22"/>
                <w:szCs w:val="22"/>
                <w:color w:val="auto"/>
              </w:rPr>
              <w:t>Total operating income (loss)</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(26,197)</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4,876</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ectPr>
          <w:pgSz w:w="11900" w:h="16838" w:orient="portrait"/>
          <w:cols w:equalWidth="0" w:num="1">
            <w:col w:w="10260"/>
          </w:cols>
          <w:pgMar w:left="260" w:top="388" w:right="1379"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63" w:lineRule="exact"/>
        <w:rPr>
          <w:sz w:val="20"/>
          <w:szCs w:val="20"/>
          <w:color w:val="auto"/>
        </w:rPr>
      </w:pPr>
    </w:p>
    <w:p>
      <w:pPr>
        <w:jc w:val="center"/>
        <w:ind w:left="74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48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5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2016</w:t>
            </w:r>
          </w:p>
        </w:tc>
        <w:tc>
          <w:tcPr>
            <w:tcW w:w="4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2015</w:t>
            </w:r>
          </w:p>
        </w:tc>
      </w:tr>
      <w:tr>
        <w:trPr>
          <w:trHeight w:val="526"/>
        </w:trPr>
        <w:tc>
          <w:tcPr>
            <w:tcW w:w="7540" w:type="dxa"/>
            <w:vAlign w:val="bottom"/>
          </w:tcPr>
          <w:p>
            <w:pPr>
              <w:spacing w:after="0"/>
              <w:rPr>
                <w:sz w:val="20"/>
                <w:szCs w:val="20"/>
                <w:color w:val="auto"/>
              </w:rPr>
            </w:pPr>
            <w:r>
              <w:rPr>
                <w:rFonts w:ascii="Arial" w:cs="Arial" w:eastAsia="Arial" w:hAnsi="Arial"/>
                <w:sz w:val="22"/>
                <w:szCs w:val="22"/>
                <w:color w:val="auto"/>
              </w:rPr>
              <w:t>EBITDA (1)</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7,322</w:t>
            </w:r>
          </w:p>
        </w:tc>
        <w:tc>
          <w:tcPr>
            <w:tcW w:w="440" w:type="dxa"/>
            <w:vAlign w:val="bottom"/>
          </w:tcPr>
          <w:p>
            <w:pPr>
              <w:spacing w:after="0"/>
              <w:rPr>
                <w:sz w:val="24"/>
                <w:szCs w:val="24"/>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92"/>
              <w:spacing w:after="0"/>
              <w:rPr>
                <w:sz w:val="20"/>
                <w:szCs w:val="20"/>
                <w:color w:val="auto"/>
              </w:rPr>
            </w:pPr>
            <w:r>
              <w:rPr>
                <w:rFonts w:ascii="Arial" w:cs="Arial" w:eastAsia="Arial" w:hAnsi="Arial"/>
                <w:sz w:val="22"/>
                <w:szCs w:val="22"/>
                <w:color w:val="auto"/>
              </w:rPr>
              <w:t>48,074</w:t>
            </w:r>
          </w:p>
        </w:tc>
      </w:tr>
      <w:tr>
        <w:trPr>
          <w:trHeight w:val="270"/>
        </w:trPr>
        <w:tc>
          <w:tcPr>
            <w:tcW w:w="7540" w:type="dxa"/>
            <w:vAlign w:val="bottom"/>
          </w:tcPr>
          <w:p>
            <w:pPr>
              <w:spacing w:after="0"/>
              <w:rPr>
                <w:sz w:val="20"/>
                <w:szCs w:val="20"/>
                <w:color w:val="auto"/>
              </w:rPr>
            </w:pPr>
            <w:r>
              <w:rPr>
                <w:rFonts w:ascii="Arial" w:cs="Arial" w:eastAsia="Arial" w:hAnsi="Arial"/>
                <w:sz w:val="22"/>
                <w:szCs w:val="22"/>
                <w:color w:val="auto"/>
              </w:rPr>
              <w:t>Adjusted EBITDA (1)</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16,757</w:t>
            </w:r>
          </w:p>
        </w:tc>
        <w:tc>
          <w:tcPr>
            <w:tcW w:w="44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92"/>
              <w:spacing w:after="0"/>
              <w:rPr>
                <w:sz w:val="20"/>
                <w:szCs w:val="20"/>
                <w:color w:val="auto"/>
              </w:rPr>
            </w:pPr>
            <w:r>
              <w:rPr>
                <w:rFonts w:ascii="Arial" w:cs="Arial" w:eastAsia="Arial" w:hAnsi="Arial"/>
                <w:sz w:val="22"/>
                <w:szCs w:val="22"/>
                <w:color w:val="auto"/>
              </w:rPr>
              <w:t>52,987</w:t>
            </w:r>
          </w:p>
        </w:tc>
      </w:tr>
      <w:tr>
        <w:trPr>
          <w:trHeight w:val="275"/>
        </w:trPr>
        <w:tc>
          <w:tcPr>
            <w:tcW w:w="7540" w:type="dxa"/>
            <w:vAlign w:val="bottom"/>
          </w:tcPr>
          <w:p>
            <w:pPr>
              <w:spacing w:after="0"/>
              <w:rPr>
                <w:sz w:val="20"/>
                <w:szCs w:val="20"/>
                <w:color w:val="auto"/>
              </w:rPr>
            </w:pPr>
            <w:r>
              <w:rPr>
                <w:rFonts w:ascii="Arial" w:cs="Arial" w:eastAsia="Arial" w:hAnsi="Arial"/>
                <w:sz w:val="22"/>
                <w:szCs w:val="22"/>
                <w:color w:val="auto"/>
              </w:rPr>
              <w:t>Free Cash Flow (2)</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8,116</w:t>
            </w:r>
          </w:p>
        </w:tc>
        <w:tc>
          <w:tcPr>
            <w:tcW w:w="440" w:type="dxa"/>
            <w:vAlign w:val="bottom"/>
          </w:tcPr>
          <w:p>
            <w:pPr>
              <w:spacing w:after="0"/>
              <w:rPr>
                <w:sz w:val="23"/>
                <w:szCs w:val="23"/>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92"/>
              <w:spacing w:after="0"/>
              <w:rPr>
                <w:sz w:val="20"/>
                <w:szCs w:val="20"/>
                <w:color w:val="auto"/>
              </w:rPr>
            </w:pPr>
            <w:r>
              <w:rPr>
                <w:rFonts w:ascii="Arial" w:cs="Arial" w:eastAsia="Arial" w:hAnsi="Arial"/>
                <w:sz w:val="22"/>
                <w:szCs w:val="22"/>
                <w:color w:val="auto"/>
              </w:rPr>
              <w:t>39,327</w:t>
            </w:r>
          </w:p>
        </w:tc>
      </w:tr>
    </w:tbl>
    <w:p>
      <w:pPr>
        <w:spacing w:after="0" w:line="266" w:lineRule="exact"/>
        <w:rPr>
          <w:sz w:val="20"/>
          <w:szCs w:val="20"/>
          <w:color w:val="auto"/>
        </w:rPr>
      </w:pPr>
    </w:p>
    <w:p>
      <w:pPr>
        <w:ind w:right="60" w:firstLine="2"/>
        <w:spacing w:after="0" w:line="272" w:lineRule="auto"/>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term EBITDA is defined as net income plus interest, taxes, depreciation and amortization. The term Adjusted EBITDA is defined as EBITDA adjusted to exclude impairment charges and certain other costs such as those incurred associated with the Company's redomiciliation.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3" w:lineRule="exact"/>
        <w:rPr>
          <w:sz w:val="20"/>
          <w:szCs w:val="20"/>
          <w:color w:val="auto"/>
        </w:rPr>
      </w:pPr>
    </w:p>
    <w:p>
      <w:pPr>
        <w:ind w:right="680"/>
        <w:spacing w:after="0"/>
        <w:rPr>
          <w:sz w:val="20"/>
          <w:szCs w:val="20"/>
          <w:color w:val="auto"/>
        </w:rPr>
      </w:pPr>
      <w:r>
        <w:rPr>
          <w:rFonts w:ascii="Arial" w:cs="Arial" w:eastAsia="Arial" w:hAnsi="Arial"/>
          <w:sz w:val="22"/>
          <w:szCs w:val="22"/>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pacing w:after="0" w:line="261" w:lineRule="exact"/>
        <w:rPr>
          <w:sz w:val="20"/>
          <w:szCs w:val="20"/>
          <w:color w:val="auto"/>
        </w:rPr>
      </w:pPr>
    </w:p>
    <w:p>
      <w:pPr>
        <w:jc w:val="center"/>
        <w:ind w:left="74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48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5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2016</w:t>
            </w:r>
          </w:p>
        </w:tc>
        <w:tc>
          <w:tcPr>
            <w:tcW w:w="4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2015</w:t>
            </w:r>
          </w:p>
        </w:tc>
      </w:tr>
      <w:tr>
        <w:trPr>
          <w:trHeight w:val="526"/>
        </w:trPr>
        <w:tc>
          <w:tcPr>
            <w:tcW w:w="7540" w:type="dxa"/>
            <w:vAlign w:val="bottom"/>
          </w:tcPr>
          <w:p>
            <w:pPr>
              <w:spacing w:after="0"/>
              <w:rPr>
                <w:sz w:val="20"/>
                <w:szCs w:val="20"/>
                <w:color w:val="auto"/>
              </w:rPr>
            </w:pPr>
            <w:r>
              <w:rPr>
                <w:rFonts w:ascii="Arial" w:cs="Arial" w:eastAsia="Arial" w:hAnsi="Arial"/>
                <w:sz w:val="22"/>
                <w:szCs w:val="22"/>
                <w:color w:val="auto"/>
              </w:rPr>
              <w:t>Net loss</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(26,822)</w:t>
            </w:r>
          </w:p>
        </w:tc>
        <w:tc>
          <w:tcPr>
            <w:tcW w:w="440" w:type="dxa"/>
            <w:vAlign w:val="bottom"/>
          </w:tcPr>
          <w:p>
            <w:pPr>
              <w:spacing w:after="0"/>
              <w:rPr>
                <w:sz w:val="24"/>
                <w:szCs w:val="24"/>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2"/>
              <w:spacing w:after="0"/>
              <w:rPr>
                <w:sz w:val="20"/>
                <w:szCs w:val="20"/>
                <w:color w:val="auto"/>
              </w:rPr>
            </w:pPr>
            <w:r>
              <w:rPr>
                <w:rFonts w:ascii="Arial" w:cs="Arial" w:eastAsia="Arial" w:hAnsi="Arial"/>
                <w:sz w:val="22"/>
                <w:szCs w:val="22"/>
                <w:color w:val="auto"/>
              </w:rPr>
              <w:t>(16)</w:t>
            </w:r>
          </w:p>
        </w:tc>
      </w:tr>
      <w:tr>
        <w:trPr>
          <w:trHeight w:val="270"/>
        </w:trPr>
        <w:tc>
          <w:tcPr>
            <w:tcW w:w="7540" w:type="dxa"/>
            <w:vAlign w:val="bottom"/>
          </w:tcPr>
          <w:p>
            <w:pPr>
              <w:spacing w:after="0"/>
              <w:rPr>
                <w:sz w:val="20"/>
                <w:szCs w:val="20"/>
                <w:color w:val="auto"/>
              </w:rPr>
            </w:pPr>
            <w:r>
              <w:rPr>
                <w:rFonts w:ascii="Arial" w:cs="Arial" w:eastAsia="Arial" w:hAnsi="Arial"/>
                <w:sz w:val="22"/>
                <w:szCs w:val="22"/>
                <w:color w:val="auto"/>
              </w:rPr>
              <w:t>Income tax provision</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(4,571)</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Arial" w:cs="Arial" w:eastAsia="Arial" w:hAnsi="Arial"/>
                <w:sz w:val="22"/>
                <w:szCs w:val="22"/>
                <w:color w:val="auto"/>
              </w:rPr>
              <w:t>1,157</w:t>
            </w:r>
          </w:p>
        </w:tc>
      </w:tr>
      <w:tr>
        <w:trPr>
          <w:trHeight w:val="270"/>
        </w:trPr>
        <w:tc>
          <w:tcPr>
            <w:tcW w:w="75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33,555</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Arial" w:cs="Arial" w:eastAsia="Arial" w:hAnsi="Arial"/>
                <w:sz w:val="22"/>
                <w:szCs w:val="22"/>
                <w:color w:val="auto"/>
              </w:rPr>
              <w:t>42,446</w:t>
            </w:r>
          </w:p>
        </w:tc>
      </w:tr>
      <w:tr>
        <w:trPr>
          <w:trHeight w:val="270"/>
        </w:trPr>
        <w:tc>
          <w:tcPr>
            <w:tcW w:w="7540" w:type="dxa"/>
            <w:vAlign w:val="bottom"/>
          </w:tcPr>
          <w:p>
            <w:pPr>
              <w:spacing w:after="0"/>
              <w:rPr>
                <w:sz w:val="20"/>
                <w:szCs w:val="20"/>
                <w:color w:val="auto"/>
              </w:rPr>
            </w:pPr>
            <w:r>
              <w:rPr>
                <w:rFonts w:ascii="Arial" w:cs="Arial" w:eastAsia="Arial" w:hAnsi="Arial"/>
                <w:sz w:val="22"/>
                <w:szCs w:val="22"/>
                <w:color w:val="auto"/>
              </w:rPr>
              <w:t>Interest income</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(86)</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22"/>
                <w:szCs w:val="22"/>
                <w:color w:val="auto"/>
              </w:rPr>
              <w:t>(1,122)</w:t>
            </w:r>
          </w:p>
        </w:tc>
      </w:tr>
      <w:tr>
        <w:trPr>
          <w:trHeight w:val="270"/>
        </w:trPr>
        <w:tc>
          <w:tcPr>
            <w:tcW w:w="754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4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302</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32"/>
              <w:spacing w:after="0"/>
              <w:rPr>
                <w:sz w:val="20"/>
                <w:szCs w:val="20"/>
                <w:color w:val="auto"/>
              </w:rPr>
            </w:pPr>
            <w:r>
              <w:rPr>
                <w:rFonts w:ascii="Arial" w:cs="Arial" w:eastAsia="Arial" w:hAnsi="Arial"/>
                <w:sz w:val="22"/>
                <w:szCs w:val="22"/>
                <w:color w:val="auto"/>
              </w:rPr>
              <w:t>-</w:t>
            </w:r>
          </w:p>
        </w:tc>
      </w:tr>
      <w:tr>
        <w:trPr>
          <w:trHeight w:val="275"/>
        </w:trPr>
        <w:tc>
          <w:tcPr>
            <w:tcW w:w="7540" w:type="dxa"/>
            <w:vAlign w:val="bottom"/>
          </w:tcPr>
          <w:p>
            <w:pPr>
              <w:spacing w:after="0"/>
              <w:rPr>
                <w:sz w:val="20"/>
                <w:szCs w:val="20"/>
                <w:color w:val="auto"/>
              </w:rPr>
            </w:pPr>
            <w:r>
              <w:rPr>
                <w:rFonts w:ascii="Arial" w:cs="Arial" w:eastAsia="Arial" w:hAnsi="Arial"/>
                <w:sz w:val="22"/>
                <w:szCs w:val="22"/>
                <w:color w:val="auto"/>
              </w:rPr>
              <w:t>Interest expense</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4,944</w:t>
            </w:r>
          </w:p>
        </w:tc>
        <w:tc>
          <w:tcPr>
            <w:tcW w:w="4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5,609</w:t>
            </w:r>
          </w:p>
        </w:tc>
      </w:tr>
      <w:tr>
        <w:trPr>
          <w:trHeight w:val="267"/>
        </w:trPr>
        <w:tc>
          <w:tcPr>
            <w:tcW w:w="7540" w:type="dxa"/>
            <w:vAlign w:val="bottom"/>
          </w:tcPr>
          <w:p>
            <w:pPr>
              <w:ind w:left="100"/>
              <w:spacing w:after="0"/>
              <w:rPr>
                <w:sz w:val="20"/>
                <w:szCs w:val="20"/>
                <w:color w:val="auto"/>
              </w:rPr>
            </w:pPr>
            <w:r>
              <w:rPr>
                <w:rFonts w:ascii="Arial" w:cs="Arial" w:eastAsia="Arial" w:hAnsi="Arial"/>
                <w:sz w:val="22"/>
                <w:szCs w:val="22"/>
                <w:color w:val="auto"/>
              </w:rPr>
              <w:t>EBITDA</w:t>
            </w: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7,322</w:t>
            </w:r>
          </w:p>
        </w:tc>
        <w:tc>
          <w:tcPr>
            <w:tcW w:w="440" w:type="dxa"/>
            <w:vAlign w:val="bottom"/>
          </w:tcPr>
          <w:p>
            <w:pPr>
              <w:spacing w:after="0"/>
              <w:rPr>
                <w:sz w:val="23"/>
                <w:szCs w:val="23"/>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48,074</w:t>
            </w:r>
          </w:p>
        </w:tc>
      </w:tr>
      <w:tr>
        <w:trPr>
          <w:trHeight w:val="255"/>
        </w:trPr>
        <w:tc>
          <w:tcPr>
            <w:tcW w:w="7540" w:type="dxa"/>
            <w:vAlign w:val="bottom"/>
          </w:tcPr>
          <w:p>
            <w:pPr>
              <w:spacing w:after="0"/>
              <w:rPr>
                <w:sz w:val="20"/>
                <w:szCs w:val="20"/>
                <w:color w:val="auto"/>
              </w:rPr>
            </w:pPr>
            <w:r>
              <w:rPr>
                <w:rFonts w:ascii="Arial" w:cs="Arial" w:eastAsia="Arial" w:hAnsi="Arial"/>
                <w:sz w:val="22"/>
                <w:szCs w:val="22"/>
                <w:color w:val="auto"/>
              </w:rPr>
              <w:t>Adjustments to EBITDA</w:t>
            </w: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1"/>
        </w:trPr>
        <w:tc>
          <w:tcPr>
            <w:tcW w:w="7540" w:type="dxa"/>
            <w:vAlign w:val="bottom"/>
          </w:tcPr>
          <w:p>
            <w:pPr>
              <w:ind w:left="100"/>
              <w:spacing w:after="0"/>
              <w:rPr>
                <w:sz w:val="20"/>
                <w:szCs w:val="20"/>
                <w:color w:val="auto"/>
              </w:rPr>
            </w:pPr>
            <w:r>
              <w:rPr>
                <w:rFonts w:ascii="Arial" w:cs="Arial" w:eastAsia="Arial" w:hAnsi="Arial"/>
                <w:sz w:val="22"/>
                <w:szCs w:val="22"/>
                <w:color w:val="auto"/>
              </w:rPr>
              <w:t>Migration costs (a)</w:t>
            </w:r>
          </w:p>
        </w:tc>
        <w:tc>
          <w:tcPr>
            <w:tcW w:w="4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1,035</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Arial" w:cs="Arial" w:eastAsia="Arial" w:hAnsi="Arial"/>
                <w:sz w:val="22"/>
                <w:szCs w:val="22"/>
                <w:color w:val="auto"/>
              </w:rPr>
              <w:t>1,160</w:t>
            </w:r>
          </w:p>
        </w:tc>
      </w:tr>
      <w:tr>
        <w:trPr>
          <w:trHeight w:val="270"/>
        </w:trPr>
        <w:tc>
          <w:tcPr>
            <w:tcW w:w="7540" w:type="dxa"/>
            <w:vAlign w:val="bottom"/>
          </w:tcPr>
          <w:p>
            <w:pPr>
              <w:ind w:left="100"/>
              <w:spacing w:after="0"/>
              <w:rPr>
                <w:sz w:val="20"/>
                <w:szCs w:val="20"/>
                <w:color w:val="auto"/>
              </w:rPr>
            </w:pPr>
            <w:r>
              <w:rPr>
                <w:rFonts w:ascii="Arial" w:cs="Arial" w:eastAsia="Arial" w:hAnsi="Arial"/>
                <w:sz w:val="22"/>
                <w:szCs w:val="22"/>
                <w:color w:val="auto"/>
              </w:rPr>
              <w:t>Loss on assets held for sale (b)</w:t>
            </w:r>
          </w:p>
        </w:tc>
        <w:tc>
          <w:tcPr>
            <w:tcW w:w="400" w:type="dxa"/>
            <w:vAlign w:val="bottom"/>
          </w:tcPr>
          <w:p>
            <w:pPr>
              <w:spacing w:after="0"/>
              <w:rPr>
                <w:sz w:val="23"/>
                <w:szCs w:val="23"/>
                <w:color w:val="auto"/>
              </w:rPr>
            </w:pPr>
          </w:p>
        </w:tc>
        <w:tc>
          <w:tcPr>
            <w:tcW w:w="124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92"/>
              <w:spacing w:after="0"/>
              <w:rPr>
                <w:sz w:val="20"/>
                <w:szCs w:val="20"/>
                <w:color w:val="auto"/>
              </w:rPr>
            </w:pPr>
            <w:r>
              <w:rPr>
                <w:rFonts w:ascii="Arial" w:cs="Arial" w:eastAsia="Arial" w:hAnsi="Arial"/>
                <w:sz w:val="22"/>
                <w:szCs w:val="22"/>
                <w:color w:val="auto"/>
              </w:rPr>
              <w:t>3,753</w:t>
            </w:r>
          </w:p>
        </w:tc>
      </w:tr>
      <w:tr>
        <w:trPr>
          <w:trHeight w:val="275"/>
        </w:trPr>
        <w:tc>
          <w:tcPr>
            <w:tcW w:w="7540" w:type="dxa"/>
            <w:vAlign w:val="bottom"/>
          </w:tcPr>
          <w:p>
            <w:pPr>
              <w:ind w:left="100"/>
              <w:spacing w:after="0"/>
              <w:rPr>
                <w:sz w:val="20"/>
                <w:szCs w:val="20"/>
                <w:color w:val="auto"/>
              </w:rPr>
            </w:pPr>
            <w:r>
              <w:rPr>
                <w:rFonts w:ascii="Arial" w:cs="Arial" w:eastAsia="Arial" w:hAnsi="Arial"/>
                <w:sz w:val="22"/>
                <w:szCs w:val="22"/>
                <w:color w:val="auto"/>
              </w:rPr>
              <w:t>Impairment expense (c)</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8,400</w:t>
            </w:r>
          </w:p>
        </w:tc>
        <w:tc>
          <w:tcPr>
            <w:tcW w:w="4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r>
      <w:tr>
        <w:trPr>
          <w:trHeight w:val="267"/>
        </w:trPr>
        <w:tc>
          <w:tcPr>
            <w:tcW w:w="7540" w:type="dxa"/>
            <w:vAlign w:val="bottom"/>
          </w:tcPr>
          <w:p>
            <w:pPr>
              <w:ind w:left="220"/>
              <w:spacing w:after="0"/>
              <w:rPr>
                <w:sz w:val="20"/>
                <w:szCs w:val="20"/>
                <w:color w:val="auto"/>
              </w:rPr>
            </w:pPr>
            <w:r>
              <w:rPr>
                <w:rFonts w:ascii="Arial" w:cs="Arial" w:eastAsia="Arial" w:hAnsi="Arial"/>
                <w:sz w:val="22"/>
                <w:szCs w:val="22"/>
                <w:color w:val="auto"/>
              </w:rPr>
              <w:t>Adjusted EBITDA</w:t>
            </w: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16,757</w:t>
            </w:r>
          </w:p>
        </w:tc>
        <w:tc>
          <w:tcPr>
            <w:tcW w:w="440" w:type="dxa"/>
            <w:vAlign w:val="bottom"/>
          </w:tcPr>
          <w:p>
            <w:pPr>
              <w:spacing w:after="0"/>
              <w:rPr>
                <w:sz w:val="23"/>
                <w:szCs w:val="23"/>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52,987</w:t>
            </w:r>
          </w:p>
        </w:tc>
      </w:tr>
      <w:tr>
        <w:trPr>
          <w:trHeight w:val="21"/>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left="200" w:right="80" w:hanging="9"/>
        <w:spacing w:after="0" w:line="238" w:lineRule="auto"/>
        <w:tabs>
          <w:tab w:leader="none" w:pos="494" w:val="left"/>
        </w:tabs>
        <w:numPr>
          <w:ilvl w:val="0"/>
          <w:numId w:val="5"/>
        </w:numPr>
        <w:rPr>
          <w:rFonts w:ascii="Arial" w:cs="Arial" w:eastAsia="Arial" w:hAnsi="Arial"/>
          <w:sz w:val="22"/>
          <w:szCs w:val="22"/>
          <w:color w:val="auto"/>
        </w:rPr>
      </w:pPr>
      <w:r>
        <w:rPr>
          <w:rFonts w:ascii="Arial" w:cs="Arial" w:eastAsia="Arial" w:hAnsi="Arial"/>
          <w:sz w:val="22"/>
          <w:szCs w:val="22"/>
          <w:color w:val="auto"/>
        </w:rPr>
        <w:t>Relates to costs incurred associated with the Company's redomiciliation to Canada. The $1.0 million in 2016 costs ($0.7 million after-tax, or $0.01 per diluted share, respectively) and $1.2 million in 2015 costs ($0.8 million after-tax, or $0.01 per diluted share, respectively), which are primarily corporate in nature, are included in Selling, general and administrative costs on the statements of operations.</w:t>
      </w:r>
    </w:p>
    <w:p>
      <w:pPr>
        <w:spacing w:after="0" w:line="266" w:lineRule="exact"/>
        <w:rPr>
          <w:rFonts w:ascii="Arial" w:cs="Arial" w:eastAsia="Arial" w:hAnsi="Arial"/>
          <w:sz w:val="22"/>
          <w:szCs w:val="22"/>
          <w:color w:val="auto"/>
        </w:rPr>
      </w:pPr>
    </w:p>
    <w:p>
      <w:pPr>
        <w:jc w:val="both"/>
        <w:ind w:left="200" w:right="60" w:hanging="9"/>
        <w:spacing w:after="0" w:line="238" w:lineRule="auto"/>
        <w:tabs>
          <w:tab w:leader="none" w:pos="506" w:val="left"/>
        </w:tabs>
        <w:numPr>
          <w:ilvl w:val="0"/>
          <w:numId w:val="5"/>
        </w:numPr>
        <w:rPr>
          <w:rFonts w:ascii="Arial" w:cs="Arial" w:eastAsia="Arial" w:hAnsi="Arial"/>
          <w:sz w:val="22"/>
          <w:szCs w:val="22"/>
          <w:color w:val="auto"/>
        </w:rPr>
      </w:pPr>
      <w:r>
        <w:rPr>
          <w:rFonts w:ascii="Arial" w:cs="Arial" w:eastAsia="Arial" w:hAnsi="Arial"/>
          <w:sz w:val="22"/>
          <w:szCs w:val="22"/>
          <w:color w:val="auto"/>
        </w:rPr>
        <w:t>Relates to the first quarter 2015 decision to close a manufacturing facility in the United States. As a result, the related assets were written down to their estimated sales proceeds, less costs to sell. We recorded a pre-tax loss of $3.8 million ($2.4 million after-tax, or $0.02 per diluted share), of which $1.1 million is included in cost of sales and services and $2.7 million is included in Impairment expense on the statements of operations.</w:t>
      </w:r>
    </w:p>
    <w:p>
      <w:pPr>
        <w:spacing w:after="0" w:line="266" w:lineRule="exact"/>
        <w:rPr>
          <w:rFonts w:ascii="Arial" w:cs="Arial" w:eastAsia="Arial" w:hAnsi="Arial"/>
          <w:sz w:val="22"/>
          <w:szCs w:val="22"/>
          <w:color w:val="auto"/>
        </w:rPr>
      </w:pPr>
    </w:p>
    <w:p>
      <w:pPr>
        <w:ind w:left="200" w:right="200" w:hanging="9"/>
        <w:spacing w:after="0" w:line="328" w:lineRule="auto"/>
        <w:tabs>
          <w:tab w:leader="none" w:pos="494" w:val="left"/>
        </w:tabs>
        <w:numPr>
          <w:ilvl w:val="0"/>
          <w:numId w:val="5"/>
        </w:numPr>
        <w:rPr>
          <w:rFonts w:ascii="Arial" w:cs="Arial" w:eastAsia="Arial" w:hAnsi="Arial"/>
          <w:sz w:val="19"/>
          <w:szCs w:val="19"/>
          <w:color w:val="auto"/>
        </w:rPr>
      </w:pPr>
      <w:r>
        <w:rPr>
          <w:rFonts w:ascii="Arial" w:cs="Arial" w:eastAsia="Arial" w:hAnsi="Arial"/>
          <w:sz w:val="19"/>
          <w:szCs w:val="19"/>
          <w:color w:val="auto"/>
        </w:rPr>
        <w:t>Relates to the first quarter 2016 impairment of assets in the United States. We recorded a pre-tax loss of $8.4 million ($5.5 million after-tax, or $0.05 per diluted share), which is included in Impairment expense on the statements of operations.</w:t>
      </w:r>
    </w:p>
    <w:p>
      <w:pPr>
        <w:sectPr>
          <w:pgSz w:w="11900" w:h="16838" w:orient="portrait"/>
          <w:cols w:equalWidth="0" w:num="1">
            <w:col w:w="11320"/>
          </w:cols>
          <w:pgMar w:left="260" w:top="1057" w:right="319" w:bottom="0" w:gutter="0" w:footer="0" w:header="0"/>
        </w:sectPr>
      </w:pPr>
    </w:p>
    <w:bookmarkStart w:id="10" w:name="page11"/>
    <w:bookmarkEnd w:id="10"/>
    <w:p>
      <w:pPr>
        <w:ind w:right="40" w:firstLine="2"/>
        <w:spacing w:after="0" w:line="274" w:lineRule="auto"/>
        <w:tabs>
          <w:tab w:leader="none" w:pos="306"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The Company has included Free Cash Flow as a supplemental disclosure because its management believes that Free Cash Flow provides useful information regarding the cash flow generating ability of its business relative to its capital expenditure and debt service obligations. The Company uses Free Cash Flow to compare and to understand, manage, make operating decisions and evaluate its business. It is also used as a benchmark for the award of incentive compensation under its free cash flow plan.</w:t>
      </w:r>
    </w:p>
    <w:p>
      <w:pPr>
        <w:spacing w:after="0" w:line="240"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62" w:lineRule="exact"/>
        <w:rPr>
          <w:sz w:val="20"/>
          <w:szCs w:val="20"/>
          <w:color w:val="auto"/>
        </w:rPr>
      </w:pPr>
    </w:p>
    <w:p>
      <w:pPr>
        <w:jc w:val="center"/>
        <w:ind w:left="74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48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c>
          <w:tcPr>
            <w:tcW w:w="1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2015</w:t>
            </w:r>
          </w:p>
        </w:tc>
      </w:tr>
      <w:tr>
        <w:trPr>
          <w:trHeight w:val="526"/>
        </w:trPr>
        <w:tc>
          <w:tcPr>
            <w:tcW w:w="734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4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11,278</w:t>
            </w:r>
          </w:p>
        </w:tc>
        <w:tc>
          <w:tcPr>
            <w:tcW w:w="100" w:type="dxa"/>
            <w:vAlign w:val="bottom"/>
          </w:tcPr>
          <w:p>
            <w:pPr>
              <w:spacing w:after="0"/>
              <w:rPr>
                <w:sz w:val="24"/>
                <w:szCs w:val="24"/>
                <w:color w:val="auto"/>
              </w:rPr>
            </w:pPr>
          </w:p>
        </w:tc>
        <w:tc>
          <w:tcPr>
            <w:tcW w:w="740" w:type="dxa"/>
            <w:vAlign w:val="bottom"/>
            <w:gridSpan w:val="3"/>
          </w:tcPr>
          <w:p>
            <w:pPr>
              <w:jc w:val="right"/>
              <w:ind w:right="12"/>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92"/>
              <w:spacing w:after="0"/>
              <w:rPr>
                <w:sz w:val="20"/>
                <w:szCs w:val="20"/>
                <w:color w:val="auto"/>
              </w:rPr>
            </w:pPr>
            <w:r>
              <w:rPr>
                <w:rFonts w:ascii="Arial" w:cs="Arial" w:eastAsia="Arial" w:hAnsi="Arial"/>
                <w:sz w:val="22"/>
                <w:szCs w:val="22"/>
                <w:color w:val="auto"/>
              </w:rPr>
              <w:t>48,902</w:t>
            </w:r>
          </w:p>
        </w:tc>
      </w:tr>
      <w:tr>
        <w:trPr>
          <w:trHeight w:val="270"/>
        </w:trPr>
        <w:tc>
          <w:tcPr>
            <w:tcW w:w="7340" w:type="dxa"/>
            <w:vAlign w:val="bottom"/>
          </w:tcPr>
          <w:p>
            <w:pPr>
              <w:ind w:left="100"/>
              <w:spacing w:after="0"/>
              <w:rPr>
                <w:sz w:val="20"/>
                <w:szCs w:val="20"/>
                <w:color w:val="auto"/>
              </w:rPr>
            </w:pPr>
            <w:r>
              <w:rPr>
                <w:rFonts w:ascii="Arial" w:cs="Arial" w:eastAsia="Arial" w:hAnsi="Arial"/>
                <w:sz w:val="22"/>
                <w:szCs w:val="22"/>
                <w:color w:val="auto"/>
              </w:rPr>
              <w:t>Capital expenditures, including capitalized interest</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22"/>
                <w:szCs w:val="22"/>
                <w:color w:val="auto"/>
              </w:rPr>
              <w:t>(4,761)</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(10,702)</w:t>
            </w:r>
          </w:p>
        </w:tc>
      </w:tr>
      <w:tr>
        <w:trPr>
          <w:trHeight w:val="275"/>
        </w:trPr>
        <w:tc>
          <w:tcPr>
            <w:tcW w:w="7340" w:type="dxa"/>
            <w:vAlign w:val="bottom"/>
          </w:tcPr>
          <w:p>
            <w:pPr>
              <w:ind w:left="100"/>
              <w:spacing w:after="0"/>
              <w:rPr>
                <w:sz w:val="20"/>
                <w:szCs w:val="20"/>
                <w:color w:val="auto"/>
              </w:rPr>
            </w:pPr>
            <w:r>
              <w:rPr>
                <w:rFonts w:ascii="Arial" w:cs="Arial" w:eastAsia="Arial" w:hAnsi="Arial"/>
                <w:sz w:val="22"/>
                <w:szCs w:val="22"/>
                <w:color w:val="auto"/>
              </w:rPr>
              <w:t>Proceeds from disposition of property, plant and equipment</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1,599</w:t>
            </w:r>
          </w:p>
        </w:tc>
        <w:tc>
          <w:tcPr>
            <w:tcW w:w="1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1,127</w:t>
            </w:r>
          </w:p>
        </w:tc>
      </w:tr>
      <w:tr>
        <w:trPr>
          <w:trHeight w:val="267"/>
        </w:trPr>
        <w:tc>
          <w:tcPr>
            <w:tcW w:w="7340" w:type="dxa"/>
            <w:vAlign w:val="bottom"/>
          </w:tcPr>
          <w:p>
            <w:pPr>
              <w:ind w:left="100"/>
              <w:spacing w:after="0"/>
              <w:rPr>
                <w:sz w:val="20"/>
                <w:szCs w:val="20"/>
                <w:color w:val="auto"/>
              </w:rPr>
            </w:pPr>
            <w:r>
              <w:rPr>
                <w:rFonts w:ascii="Arial" w:cs="Arial" w:eastAsia="Arial" w:hAnsi="Arial"/>
                <w:sz w:val="22"/>
                <w:szCs w:val="22"/>
                <w:color w:val="auto"/>
              </w:rPr>
              <w:t>Free Cash Flow</w:t>
            </w:r>
          </w:p>
        </w:tc>
        <w:tc>
          <w:tcPr>
            <w:tcW w:w="200" w:type="dxa"/>
            <w:vAlign w:val="bottom"/>
          </w:tcPr>
          <w:p>
            <w:pPr>
              <w:spacing w:after="0"/>
              <w:rPr>
                <w:sz w:val="23"/>
                <w:szCs w:val="2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8,116</w:t>
            </w:r>
          </w:p>
        </w:tc>
        <w:tc>
          <w:tcPr>
            <w:tcW w:w="1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39,327</w:t>
            </w:r>
          </w:p>
        </w:tc>
      </w:tr>
      <w:tr>
        <w:trPr>
          <w:trHeight w:val="898"/>
        </w:trPr>
        <w:tc>
          <w:tcPr>
            <w:tcW w:w="7340" w:type="dxa"/>
            <w:vAlign w:val="bottom"/>
          </w:tcPr>
          <w:p>
            <w:pPr>
              <w:jc w:val="center"/>
              <w:ind w:left="3852"/>
              <w:spacing w:after="0"/>
              <w:rPr>
                <w:sz w:val="20"/>
                <w:szCs w:val="20"/>
                <w:color w:val="auto"/>
              </w:rPr>
            </w:pPr>
            <w:r>
              <w:rPr>
                <w:rFonts w:ascii="Arial" w:cs="Arial" w:eastAsia="Arial" w:hAnsi="Arial"/>
                <w:sz w:val="22"/>
                <w:szCs w:val="22"/>
                <w:b w:val="1"/>
                <w:bCs w:val="1"/>
                <w:color w:val="auto"/>
                <w:w w:val="99"/>
              </w:rPr>
              <w:t>CIVEO CORPORATION</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9180" w:type="dxa"/>
            <w:vAlign w:val="bottom"/>
            <w:gridSpan w:val="5"/>
          </w:tcPr>
          <w:p>
            <w:pPr>
              <w:jc w:val="center"/>
              <w:ind w:left="2032"/>
              <w:spacing w:after="0" w:line="243" w:lineRule="exact"/>
              <w:rPr>
                <w:sz w:val="20"/>
                <w:szCs w:val="20"/>
                <w:color w:val="auto"/>
              </w:rPr>
            </w:pPr>
            <w:r>
              <w:rPr>
                <w:rFonts w:ascii="Arial" w:cs="Arial" w:eastAsia="Arial" w:hAnsi="Arial"/>
                <w:sz w:val="22"/>
                <w:szCs w:val="22"/>
                <w:b w:val="1"/>
                <w:bCs w:val="1"/>
                <w:color w:val="auto"/>
                <w:w w:val="97"/>
              </w:rPr>
              <w:t>SUPPLEMENTAL QUARTERLY SEGMENT AND OPERATING DATA</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9180" w:type="dxa"/>
            <w:vAlign w:val="bottom"/>
            <w:gridSpan w:val="5"/>
          </w:tcPr>
          <w:p>
            <w:pPr>
              <w:jc w:val="center"/>
              <w:ind w:left="2012"/>
              <w:spacing w:after="0" w:line="243" w:lineRule="exact"/>
              <w:rPr>
                <w:sz w:val="20"/>
                <w:szCs w:val="20"/>
                <w:color w:val="auto"/>
              </w:rPr>
            </w:pPr>
            <w:r>
              <w:rPr>
                <w:rFonts w:ascii="Arial" w:cs="Arial" w:eastAsia="Arial" w:hAnsi="Arial"/>
                <w:sz w:val="22"/>
                <w:szCs w:val="22"/>
                <w:b w:val="1"/>
                <w:bCs w:val="1"/>
                <w:color w:val="auto"/>
                <w:w w:val="87"/>
              </w:rPr>
              <w:t>(U.S. dollars in thousands, except for room counts and average daily rates)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1"/>
        </w:trPr>
        <w:tc>
          <w:tcPr>
            <w:tcW w:w="7340" w:type="dxa"/>
            <w:vAlign w:val="bottom"/>
          </w:tcPr>
          <w:p>
            <w:pPr>
              <w:jc w:val="center"/>
              <w:ind w:left="3872"/>
              <w:spacing w:after="0"/>
              <w:rPr>
                <w:sz w:val="20"/>
                <w:szCs w:val="20"/>
                <w:color w:val="auto"/>
              </w:rPr>
            </w:pPr>
            <w:r>
              <w:rPr>
                <w:rFonts w:ascii="Arial" w:cs="Arial" w:eastAsia="Arial" w:hAnsi="Arial"/>
                <w:sz w:val="22"/>
                <w:szCs w:val="22"/>
                <w:b w:val="1"/>
                <w:bCs w:val="1"/>
                <w:color w:val="auto"/>
                <w:w w:val="90"/>
              </w:rPr>
              <w:t>(unaudited)</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3"/>
        </w:trPr>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gridSpan w:val="6"/>
          </w:tcPr>
          <w:p>
            <w:pPr>
              <w:jc w:val="center"/>
              <w:ind w:right="372"/>
              <w:spacing w:after="0"/>
              <w:rPr>
                <w:sz w:val="20"/>
                <w:szCs w:val="20"/>
                <w:color w:val="auto"/>
              </w:rPr>
            </w:pPr>
            <w:r>
              <w:rPr>
                <w:rFonts w:ascii="Arial" w:cs="Arial" w:eastAsia="Arial" w:hAnsi="Arial"/>
                <w:sz w:val="22"/>
                <w:szCs w:val="22"/>
                <w:b w:val="1"/>
                <w:bCs w:val="1"/>
                <w:color w:val="auto"/>
                <w:w w:val="99"/>
              </w:rPr>
              <w:t>THREE MONTHS ENDED</w:t>
            </w:r>
          </w:p>
        </w:tc>
      </w:tr>
      <w:tr>
        <w:trPr>
          <w:trHeight w:val="270"/>
        </w:trPr>
        <w:tc>
          <w:tcPr>
            <w:tcW w:w="7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gridSpan w:val="5"/>
          </w:tcPr>
          <w:p>
            <w:pPr>
              <w:jc w:val="center"/>
              <w:ind w:left="792"/>
              <w:spacing w:after="0"/>
              <w:rPr>
                <w:sz w:val="20"/>
                <w:szCs w:val="20"/>
                <w:color w:val="auto"/>
              </w:rPr>
            </w:pPr>
            <w:r>
              <w:rPr>
                <w:rFonts w:ascii="Arial" w:cs="Arial" w:eastAsia="Arial" w:hAnsi="Arial"/>
                <w:sz w:val="22"/>
                <w:szCs w:val="22"/>
                <w:b w:val="1"/>
                <w:bCs w:val="1"/>
                <w:color w:val="auto"/>
                <w:w w:val="97"/>
              </w:rPr>
              <w:t>MARCH 31,</w:t>
            </w:r>
          </w:p>
        </w:tc>
        <w:tc>
          <w:tcPr>
            <w:tcW w:w="1400" w:type="dxa"/>
            <w:vAlign w:val="bottom"/>
          </w:tcPr>
          <w:p>
            <w:pPr>
              <w:spacing w:after="0"/>
              <w:rPr>
                <w:sz w:val="23"/>
                <w:szCs w:val="23"/>
                <w:color w:val="auto"/>
              </w:rPr>
            </w:pPr>
          </w:p>
        </w:tc>
      </w:tr>
      <w:tr>
        <w:trPr>
          <w:trHeight w:val="281"/>
        </w:trPr>
        <w:tc>
          <w:tcPr>
            <w:tcW w:w="7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b w:val="1"/>
                <w:bCs w:val="1"/>
                <w:color w:val="auto"/>
                <w:w w:val="89"/>
              </w:rPr>
              <w:t>2015</w:t>
            </w:r>
          </w:p>
        </w:tc>
      </w:tr>
      <w:tr>
        <w:trPr>
          <w:trHeight w:val="529"/>
        </w:trPr>
        <w:tc>
          <w:tcPr>
            <w:tcW w:w="7340" w:type="dxa"/>
            <w:vAlign w:val="bottom"/>
          </w:tcPr>
          <w:p>
            <w:pPr>
              <w:spacing w:after="0"/>
              <w:rPr>
                <w:sz w:val="20"/>
                <w:szCs w:val="20"/>
                <w:color w:val="auto"/>
              </w:rPr>
            </w:pPr>
            <w:r>
              <w:rPr>
                <w:rFonts w:ascii="Arial" w:cs="Arial" w:eastAsia="Arial" w:hAnsi="Arial"/>
                <w:sz w:val="22"/>
                <w:szCs w:val="22"/>
                <w:b w:val="1"/>
                <w:bCs w:val="1"/>
                <w:color w:val="auto"/>
              </w:rPr>
              <w:t>Supplemental Operating Data - Canadian Segment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7340" w:type="dxa"/>
            <w:vAlign w:val="bottom"/>
          </w:tcPr>
          <w:p>
            <w:pPr>
              <w:ind w:left="100"/>
              <w:spacing w:after="0"/>
              <w:rPr>
                <w:sz w:val="20"/>
                <w:szCs w:val="20"/>
                <w:color w:val="auto"/>
              </w:rPr>
            </w:pPr>
            <w:r>
              <w:rPr>
                <w:rFonts w:ascii="Arial" w:cs="Arial" w:eastAsia="Arial" w:hAnsi="Arial"/>
                <w:sz w:val="22"/>
                <w:szCs w:val="22"/>
                <w:color w:val="auto"/>
              </w:rPr>
              <w:t>Revenues</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22"/>
                <w:szCs w:val="22"/>
                <w:color w:val="auto"/>
              </w:rPr>
              <w:t>Lodge revenues (1)</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54,886</w:t>
            </w:r>
          </w:p>
        </w:tc>
        <w:tc>
          <w:tcPr>
            <w:tcW w:w="100" w:type="dxa"/>
            <w:vAlign w:val="bottom"/>
          </w:tcPr>
          <w:p>
            <w:pPr>
              <w:spacing w:after="0"/>
              <w:rPr>
                <w:sz w:val="23"/>
                <w:szCs w:val="23"/>
                <w:color w:val="auto"/>
              </w:rPr>
            </w:pPr>
          </w:p>
        </w:tc>
        <w:tc>
          <w:tcPr>
            <w:tcW w:w="440" w:type="dxa"/>
            <w:vAlign w:val="bottom"/>
            <w:gridSpan w:val="2"/>
          </w:tcPr>
          <w:p>
            <w:pPr>
              <w:jc w:val="center"/>
              <w:spacing w:after="0"/>
              <w:rPr>
                <w:sz w:val="20"/>
                <w:szCs w:val="20"/>
                <w:color w:val="auto"/>
              </w:rPr>
            </w:pPr>
            <w:r>
              <w:rPr>
                <w:rFonts w:ascii="Arial" w:cs="Arial" w:eastAsia="Arial" w:hAnsi="Arial"/>
                <w:sz w:val="22"/>
                <w:szCs w:val="22"/>
                <w:color w:val="auto"/>
                <w:w w:val="81"/>
              </w:rPr>
              <w:t>$</w:t>
            </w:r>
          </w:p>
        </w:tc>
        <w:tc>
          <w:tcPr>
            <w:tcW w:w="300" w:type="dxa"/>
            <w:vAlign w:val="bottom"/>
          </w:tcPr>
          <w:p>
            <w:pPr>
              <w:spacing w:after="0"/>
              <w:rPr>
                <w:sz w:val="23"/>
                <w:szCs w:val="23"/>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87,837</w:t>
            </w:r>
          </w:p>
        </w:tc>
      </w:tr>
      <w:tr>
        <w:trPr>
          <w:trHeight w:val="275"/>
        </w:trPr>
        <w:tc>
          <w:tcPr>
            <w:tcW w:w="7340" w:type="dxa"/>
            <w:vAlign w:val="bottom"/>
          </w:tcPr>
          <w:p>
            <w:pPr>
              <w:ind w:left="220"/>
              <w:spacing w:after="0"/>
              <w:rPr>
                <w:sz w:val="20"/>
                <w:szCs w:val="20"/>
                <w:color w:val="auto"/>
              </w:rPr>
            </w:pPr>
            <w:r>
              <w:rPr>
                <w:rFonts w:ascii="Arial" w:cs="Arial" w:eastAsia="Arial" w:hAnsi="Arial"/>
                <w:sz w:val="22"/>
                <w:szCs w:val="22"/>
                <w:color w:val="auto"/>
              </w:rPr>
              <w:t>Mobile, open camp and product revenues</w:t>
            </w:r>
          </w:p>
        </w:tc>
        <w:tc>
          <w:tcPr>
            <w:tcW w:w="2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10,636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29,063</w:t>
            </w:r>
          </w:p>
        </w:tc>
      </w:tr>
      <w:tr>
        <w:trPr>
          <w:trHeight w:val="272"/>
        </w:trPr>
        <w:tc>
          <w:tcPr>
            <w:tcW w:w="7340" w:type="dxa"/>
            <w:vAlign w:val="bottom"/>
          </w:tcPr>
          <w:p>
            <w:pPr>
              <w:ind w:left="320"/>
              <w:spacing w:after="0"/>
              <w:rPr>
                <w:sz w:val="20"/>
                <w:szCs w:val="20"/>
                <w:color w:val="auto"/>
              </w:rPr>
            </w:pPr>
            <w:r>
              <w:rPr>
                <w:rFonts w:ascii="Arial" w:cs="Arial" w:eastAsia="Arial" w:hAnsi="Arial"/>
                <w:sz w:val="22"/>
                <w:szCs w:val="22"/>
                <w:color w:val="auto"/>
              </w:rPr>
              <w:t>Total Canadian revenues</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65,522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jc w:val="center"/>
              <w:ind w:right="12"/>
              <w:spacing w:after="0"/>
              <w:rPr>
                <w:sz w:val="20"/>
                <w:szCs w:val="20"/>
                <w:color w:val="auto"/>
              </w:rPr>
            </w:pPr>
            <w:r>
              <w:rPr>
                <w:rFonts w:ascii="Arial" w:cs="Arial" w:eastAsia="Arial" w:hAnsi="Arial"/>
                <w:sz w:val="22"/>
                <w:szCs w:val="22"/>
                <w:color w:val="auto"/>
                <w:w w:val="81"/>
              </w:rPr>
              <w:t>$</w:t>
            </w:r>
          </w:p>
        </w:tc>
        <w:tc>
          <w:tcPr>
            <w:tcW w:w="300" w:type="dxa"/>
            <w:vAlign w:val="bottom"/>
          </w:tcPr>
          <w:p>
            <w:pPr>
              <w:spacing w:after="0"/>
              <w:rPr>
                <w:sz w:val="23"/>
                <w:szCs w:val="23"/>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116,900</w:t>
            </w:r>
          </w:p>
        </w:tc>
      </w:tr>
      <w:tr>
        <w:trPr>
          <w:trHeight w:val="532"/>
        </w:trPr>
        <w:tc>
          <w:tcPr>
            <w:tcW w:w="7340" w:type="dxa"/>
            <w:vAlign w:val="bottom"/>
          </w:tcPr>
          <w:p>
            <w:pPr>
              <w:ind w:left="100"/>
              <w:spacing w:after="0"/>
              <w:rPr>
                <w:sz w:val="20"/>
                <w:szCs w:val="20"/>
                <w:color w:val="auto"/>
              </w:rPr>
            </w:pPr>
            <w:r>
              <w:rPr>
                <w:rFonts w:ascii="Arial" w:cs="Arial" w:eastAsia="Arial" w:hAnsi="Arial"/>
                <w:sz w:val="22"/>
                <w:szCs w:val="22"/>
                <w:color w:val="auto"/>
              </w:rPr>
              <w:t>Average available lodge rooms (2)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14,602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13,221</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Rentable rooms (3)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9,103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10,546</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Average daily rates (4)</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111</w:t>
            </w:r>
          </w:p>
        </w:tc>
        <w:tc>
          <w:tcPr>
            <w:tcW w:w="10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22"/>
                <w:szCs w:val="22"/>
                <w:color w:val="auto"/>
                <w:w w:val="81"/>
              </w:rPr>
              <w:t>$</w:t>
            </w:r>
          </w:p>
        </w:tc>
        <w:tc>
          <w:tcPr>
            <w:tcW w:w="30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135</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Occupancy in lodges (5)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60%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112"/>
              <w:spacing w:after="0"/>
              <w:rPr>
                <w:sz w:val="20"/>
                <w:szCs w:val="20"/>
                <w:color w:val="auto"/>
              </w:rPr>
            </w:pPr>
            <w:r>
              <w:rPr>
                <w:rFonts w:ascii="Arial" w:cs="Arial" w:eastAsia="Arial" w:hAnsi="Arial"/>
                <w:sz w:val="22"/>
                <w:szCs w:val="22"/>
                <w:color w:val="auto"/>
              </w:rPr>
              <w:t>68%</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Canadian dollar to U.S. dollar</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0.728</w:t>
            </w:r>
          </w:p>
        </w:tc>
        <w:tc>
          <w:tcPr>
            <w:tcW w:w="10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22"/>
                <w:szCs w:val="22"/>
                <w:color w:val="auto"/>
                <w:w w:val="81"/>
              </w:rPr>
              <w:t>$</w:t>
            </w:r>
          </w:p>
        </w:tc>
        <w:tc>
          <w:tcPr>
            <w:tcW w:w="30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0.806</w:t>
            </w:r>
          </w:p>
        </w:tc>
      </w:tr>
      <w:tr>
        <w:trPr>
          <w:trHeight w:val="806"/>
        </w:trPr>
        <w:tc>
          <w:tcPr>
            <w:tcW w:w="7340" w:type="dxa"/>
            <w:vAlign w:val="bottom"/>
          </w:tcPr>
          <w:p>
            <w:pPr>
              <w:spacing w:after="0"/>
              <w:rPr>
                <w:sz w:val="20"/>
                <w:szCs w:val="20"/>
                <w:color w:val="auto"/>
              </w:rPr>
            </w:pPr>
            <w:r>
              <w:rPr>
                <w:rFonts w:ascii="Arial" w:cs="Arial" w:eastAsia="Arial" w:hAnsi="Arial"/>
                <w:sz w:val="22"/>
                <w:szCs w:val="22"/>
                <w:b w:val="1"/>
                <w:bCs w:val="1"/>
                <w:color w:val="auto"/>
              </w:rPr>
              <w:t>Supplemental Operating Data - Australian Segment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7340" w:type="dxa"/>
            <w:vAlign w:val="bottom"/>
          </w:tcPr>
          <w:p>
            <w:pPr>
              <w:ind w:left="100"/>
              <w:spacing w:after="0"/>
              <w:rPr>
                <w:sz w:val="20"/>
                <w:szCs w:val="20"/>
                <w:color w:val="auto"/>
              </w:rPr>
            </w:pPr>
            <w:r>
              <w:rPr>
                <w:rFonts w:ascii="Arial" w:cs="Arial" w:eastAsia="Arial" w:hAnsi="Arial"/>
                <w:sz w:val="22"/>
                <w:szCs w:val="22"/>
                <w:color w:val="auto"/>
              </w:rPr>
              <w:t>Revenues</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5"/>
        </w:trPr>
        <w:tc>
          <w:tcPr>
            <w:tcW w:w="7340" w:type="dxa"/>
            <w:vAlign w:val="bottom"/>
          </w:tcPr>
          <w:p>
            <w:pPr>
              <w:ind w:left="220"/>
              <w:spacing w:after="0"/>
              <w:rPr>
                <w:sz w:val="20"/>
                <w:szCs w:val="20"/>
                <w:color w:val="auto"/>
              </w:rPr>
            </w:pPr>
            <w:r>
              <w:rPr>
                <w:rFonts w:ascii="Arial" w:cs="Arial" w:eastAsia="Arial" w:hAnsi="Arial"/>
                <w:sz w:val="22"/>
                <w:szCs w:val="22"/>
                <w:color w:val="auto"/>
              </w:rPr>
              <w:t>Village revenues (1)</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25,510</w:t>
            </w:r>
          </w:p>
        </w:tc>
        <w:tc>
          <w:tcPr>
            <w:tcW w:w="100" w:type="dxa"/>
            <w:vAlign w:val="bottom"/>
          </w:tcPr>
          <w:p>
            <w:pPr>
              <w:spacing w:after="0"/>
              <w:rPr>
                <w:sz w:val="23"/>
                <w:szCs w:val="23"/>
                <w:color w:val="auto"/>
              </w:rPr>
            </w:pPr>
          </w:p>
        </w:tc>
        <w:tc>
          <w:tcPr>
            <w:tcW w:w="440" w:type="dxa"/>
            <w:vAlign w:val="bottom"/>
            <w:gridSpan w:val="2"/>
          </w:tcPr>
          <w:p>
            <w:pPr>
              <w:jc w:val="center"/>
              <w:spacing w:after="0"/>
              <w:rPr>
                <w:sz w:val="20"/>
                <w:szCs w:val="20"/>
                <w:color w:val="auto"/>
              </w:rPr>
            </w:pPr>
            <w:r>
              <w:rPr>
                <w:rFonts w:ascii="Arial" w:cs="Arial" w:eastAsia="Arial" w:hAnsi="Arial"/>
                <w:sz w:val="22"/>
                <w:szCs w:val="22"/>
                <w:color w:val="auto"/>
                <w:w w:val="81"/>
              </w:rPr>
              <w:t>$</w:t>
            </w:r>
          </w:p>
        </w:tc>
        <w:tc>
          <w:tcPr>
            <w:tcW w:w="300" w:type="dxa"/>
            <w:vAlign w:val="bottom"/>
          </w:tcPr>
          <w:p>
            <w:pPr>
              <w:spacing w:after="0"/>
              <w:rPr>
                <w:sz w:val="23"/>
                <w:szCs w:val="23"/>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41,859</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Average available village rooms (2)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9,296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9,296</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Rentable rooms (3)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8,696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9,124</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Average daily rates (4)</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Arial" w:cs="Arial" w:eastAsia="Arial" w:hAnsi="Arial"/>
                <w:sz w:val="22"/>
                <w:szCs w:val="22"/>
                <w:color w:val="auto"/>
              </w:rPr>
              <w:t>68</w:t>
            </w:r>
          </w:p>
        </w:tc>
        <w:tc>
          <w:tcPr>
            <w:tcW w:w="10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22"/>
                <w:szCs w:val="22"/>
                <w:color w:val="auto"/>
                <w:w w:val="81"/>
              </w:rPr>
              <w:t>$</w:t>
            </w:r>
          </w:p>
        </w:tc>
        <w:tc>
          <w:tcPr>
            <w:tcW w:w="30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Arial" w:cs="Arial" w:eastAsia="Arial" w:hAnsi="Arial"/>
                <w:sz w:val="22"/>
                <w:szCs w:val="22"/>
                <w:color w:val="auto"/>
              </w:rPr>
              <w:t>80</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Occupancy in villages (5)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22"/>
                <w:szCs w:val="22"/>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112"/>
              <w:spacing w:after="0"/>
              <w:rPr>
                <w:sz w:val="20"/>
                <w:szCs w:val="20"/>
                <w:color w:val="auto"/>
              </w:rPr>
            </w:pPr>
            <w:r>
              <w:rPr>
                <w:rFonts w:ascii="Arial" w:cs="Arial" w:eastAsia="Arial" w:hAnsi="Arial"/>
                <w:sz w:val="22"/>
                <w:szCs w:val="22"/>
                <w:color w:val="auto"/>
              </w:rPr>
              <w:t>63%</w:t>
            </w:r>
          </w:p>
        </w:tc>
      </w:tr>
    </w:tbl>
    <w:p>
      <w:pPr>
        <w:sectPr>
          <w:pgSz w:w="11900" w:h="16838" w:orient="portrait"/>
          <w:cols w:equalWidth="0" w:num="1">
            <w:col w:w="11320"/>
          </w:cols>
          <w:pgMar w:left="260" w:top="145" w:right="319" w:bottom="0" w:gutter="0" w:footer="0" w:header="0"/>
        </w:sectPr>
      </w:pPr>
    </w:p>
    <w:bookmarkStart w:id="11" w:name="page12"/>
    <w:bookmarkEnd w:id="11"/>
    <w:p>
      <w:pPr>
        <w:ind w:left="120"/>
        <w:spacing w:after="0"/>
        <w:tabs>
          <w:tab w:leader="none" w:pos="7420" w:val="left"/>
          <w:tab w:leader="none" w:pos="8260" w:val="left"/>
          <w:tab w:leader="none" w:pos="9300" w:val="left"/>
          <w:tab w:leader="none" w:pos="10440" w:val="left"/>
        </w:tabs>
        <w:rPr>
          <w:sz w:val="20"/>
          <w:szCs w:val="20"/>
          <w:color w:val="auto"/>
        </w:rPr>
      </w:pPr>
      <w:r>
        <w:rPr>
          <w:rFonts w:ascii="Arial" w:cs="Arial" w:eastAsia="Arial" w:hAnsi="Arial"/>
          <w:sz w:val="22"/>
          <w:szCs w:val="22"/>
          <w:color w:val="auto"/>
        </w:rPr>
        <w:t>Australian dollar to U.S. dollar</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0.721</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0.786</w:t>
      </w:r>
    </w:p>
    <w:p>
      <w:pPr>
        <w:spacing w:after="0" w:line="200" w:lineRule="exact"/>
        <w:rPr>
          <w:sz w:val="20"/>
          <w:szCs w:val="20"/>
          <w:color w:val="auto"/>
        </w:rPr>
      </w:pPr>
    </w:p>
    <w:p>
      <w:pPr>
        <w:spacing w:after="0" w:line="358" w:lineRule="exact"/>
        <w:rPr>
          <w:sz w:val="20"/>
          <w:szCs w:val="20"/>
          <w:color w:val="auto"/>
        </w:rPr>
      </w:pPr>
    </w:p>
    <w:p>
      <w:pPr>
        <w:ind w:left="20" w:right="2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 related to rooms as well as the fees associated with catering, laundry and other services including facilities management.</w:t>
      </w:r>
    </w:p>
    <w:p>
      <w:pPr>
        <w:spacing w:after="0" w:line="254" w:lineRule="exact"/>
        <w:rPr>
          <w:rFonts w:ascii="Arial" w:cs="Arial" w:eastAsia="Arial" w:hAnsi="Arial"/>
          <w:sz w:val="22"/>
          <w:szCs w:val="22"/>
          <w:color w:val="auto"/>
        </w:rPr>
      </w:pPr>
    </w:p>
    <w:p>
      <w:pPr>
        <w:ind w:left="20" w:right="52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left="2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80" w:hanging="35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20" w:right="38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Anne Pearson / Lisa Elliott</w:t>
      </w:r>
    </w:p>
    <w:p>
      <w:pPr>
        <w:spacing w:after="0" w:line="238" w:lineRule="auto"/>
        <w:rPr>
          <w:sz w:val="20"/>
          <w:szCs w:val="20"/>
          <w:color w:val="auto"/>
        </w:rPr>
      </w:pPr>
      <w:r>
        <w:rPr>
          <w:rFonts w:ascii="Arial" w:cs="Arial" w:eastAsia="Arial" w:hAnsi="Arial"/>
          <w:sz w:val="22"/>
          <w:szCs w:val="22"/>
          <w:color w:val="auto"/>
        </w:rPr>
        <w:t>Dennard ▪ Lascar Associates</w:t>
      </w:r>
    </w:p>
    <w:p>
      <w:pPr>
        <w:spacing w:after="0"/>
        <w:rPr>
          <w:sz w:val="20"/>
          <w:szCs w:val="20"/>
          <w:color w:val="auto"/>
        </w:rPr>
      </w:pPr>
      <w:r>
        <w:rPr>
          <w:rFonts w:ascii="Arial" w:cs="Arial" w:eastAsia="Arial" w:hAnsi="Arial"/>
          <w:sz w:val="22"/>
          <w:szCs w:val="22"/>
          <w:color w:val="auto"/>
        </w:rPr>
        <w:t>713-529-6600</w:t>
      </w:r>
    </w:p>
    <w:sectPr>
      <w:pgSz w:w="11900" w:h="16838" w:orient="portrait"/>
      <w:cols w:equalWidth="0" w:num="1">
        <w:col w:w="11120"/>
      </w:cols>
      <w:pgMar w:left="24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877"/>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2019-12-08T23:50:30Z</dcterms:created>
  <dcterms:modified xsi:type="dcterms:W3CDTF">2019-12-08T23:50:30Z</dcterms:modified>
</cp:coreProperties>
</file>