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34"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28, 2020</w:t>
      </w:r>
    </w:p>
    <w:p>
      <w:pPr>
        <w:spacing w:after="0" w:line="27" w:lineRule="exact"/>
        <w:rPr>
          <w:sz w:val="24"/>
          <w:szCs w:val="24"/>
          <w:color w:val="auto"/>
        </w:rPr>
      </w:pPr>
    </w:p>
    <w:p>
      <w:pPr>
        <w:ind w:left="4540"/>
        <w:spacing w:after="0"/>
        <w:rPr>
          <w:sz w:val="20"/>
          <w:szCs w:val="20"/>
          <w:color w:val="auto"/>
        </w:rPr>
      </w:pPr>
      <w:r>
        <w:rPr>
          <w:rFonts w:ascii="Arial" w:cs="Arial" w:eastAsia="Arial" w:hAnsi="Arial"/>
          <w:sz w:val="22"/>
          <w:szCs w:val="22"/>
          <w:u w:val="single" w:color="auto"/>
          <w:color w:val="auto"/>
        </w:rPr>
        <w:t>____________________</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Civeo 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71" w:lineRule="exact"/>
        <w:rPr>
          <w:sz w:val="24"/>
          <w:szCs w:val="24"/>
          <w:color w:val="auto"/>
        </w:rPr>
      </w:pPr>
    </w:p>
    <w:p>
      <w:pPr>
        <w:ind w:left="740"/>
        <w:spacing w:after="0"/>
        <w:tabs>
          <w:tab w:leader="none" w:pos="5200" w:val="left"/>
          <w:tab w:leader="none" w:pos="8500" w:val="left"/>
        </w:tabs>
        <w:rPr>
          <w:sz w:val="20"/>
          <w:szCs w:val="20"/>
          <w:color w:val="auto"/>
        </w:rPr>
      </w:pPr>
      <w:r>
        <w:rPr>
          <w:rFonts w:ascii="Arial" w:cs="Arial" w:eastAsia="Arial" w:hAnsi="Arial"/>
          <w:sz w:val="22"/>
          <w:szCs w:val="22"/>
          <w:b w:val="1"/>
          <w:bCs w:val="1"/>
          <w:color w:val="auto"/>
        </w:rPr>
        <w:t>British Columbia, Canada</w:t>
      </w:r>
      <w:r>
        <w:rPr>
          <w:sz w:val="20"/>
          <w:szCs w:val="20"/>
          <w:color w:val="auto"/>
        </w:rPr>
        <w:tab/>
      </w:r>
      <w:r>
        <w:rPr>
          <w:rFonts w:ascii="Arial" w:cs="Arial" w:eastAsia="Arial" w:hAnsi="Arial"/>
          <w:sz w:val="22"/>
          <w:szCs w:val="22"/>
          <w:b w:val="1"/>
          <w:bCs w:val="1"/>
          <w:color w:val="auto"/>
        </w:rPr>
        <w:t>1-36246</w:t>
      </w:r>
      <w:r>
        <w:rPr>
          <w:sz w:val="20"/>
          <w:szCs w:val="20"/>
          <w:color w:val="auto"/>
        </w:rPr>
        <w:tab/>
      </w:r>
      <w:r>
        <w:rPr>
          <w:rFonts w:ascii="Arial" w:cs="Arial" w:eastAsia="Arial" w:hAnsi="Arial"/>
          <w:sz w:val="19"/>
          <w:szCs w:val="19"/>
          <w:b w:val="1"/>
          <w:bCs w:val="1"/>
          <w:color w:val="auto"/>
        </w:rPr>
        <w:t>98-1253716</w:t>
      </w:r>
    </w:p>
    <w:p>
      <w:pPr>
        <w:spacing w:after="0" w:line="28" w:lineRule="exact"/>
        <w:rPr>
          <w:sz w:val="24"/>
          <w:szCs w:val="24"/>
          <w:color w:val="auto"/>
        </w:rPr>
      </w:pPr>
    </w:p>
    <w:p>
      <w:pPr>
        <w:ind w:left="1200"/>
        <w:spacing w:after="0"/>
        <w:tabs>
          <w:tab w:leader="none" w:pos="4900" w:val="left"/>
          <w:tab w:leader="none" w:pos="8200" w:val="left"/>
        </w:tabs>
        <w:rPr>
          <w:sz w:val="20"/>
          <w:szCs w:val="20"/>
          <w:color w:val="auto"/>
        </w:rPr>
      </w:pPr>
      <w:r>
        <w:rPr>
          <w:rFonts w:ascii="Arial" w:cs="Arial" w:eastAsia="Arial" w:hAnsi="Arial"/>
          <w:sz w:val="18"/>
          <w:szCs w:val="18"/>
          <w:color w:val="auto"/>
        </w:rPr>
        <w:t>(State or other jurisdiction</w:t>
      </w:r>
      <w:r>
        <w:rPr>
          <w:sz w:val="20"/>
          <w:szCs w:val="20"/>
          <w:color w:val="auto"/>
        </w:rPr>
        <w:tab/>
      </w:r>
      <w:r>
        <w:rPr>
          <w:rFonts w:ascii="Arial" w:cs="Arial" w:eastAsia="Arial" w:hAnsi="Arial"/>
          <w:sz w:val="18"/>
          <w:szCs w:val="18"/>
          <w:color w:val="auto"/>
        </w:rPr>
        <w:t>(Commission File</w:t>
      </w:r>
      <w:r>
        <w:rPr>
          <w:sz w:val="20"/>
          <w:szCs w:val="20"/>
          <w:color w:val="auto"/>
        </w:rPr>
        <w:tab/>
      </w:r>
      <w:r>
        <w:rPr>
          <w:rFonts w:ascii="Arial" w:cs="Arial" w:eastAsia="Arial" w:hAnsi="Arial"/>
          <w:sz w:val="16"/>
          <w:szCs w:val="16"/>
          <w:color w:val="auto"/>
        </w:rPr>
        <w:t>(I.R.S. Employer</w:t>
      </w:r>
    </w:p>
    <w:p>
      <w:pPr>
        <w:ind w:left="980"/>
        <w:spacing w:after="0"/>
        <w:tabs>
          <w:tab w:leader="none" w:pos="5240" w:val="left"/>
          <w:tab w:leader="none" w:pos="8160" w:val="left"/>
        </w:tabs>
        <w:rPr>
          <w:sz w:val="20"/>
          <w:szCs w:val="20"/>
          <w:color w:val="auto"/>
        </w:rPr>
      </w:pPr>
      <w:r>
        <w:rPr>
          <w:rFonts w:ascii="Arial" w:cs="Arial" w:eastAsia="Arial" w:hAnsi="Arial"/>
          <w:sz w:val="18"/>
          <w:szCs w:val="18"/>
          <w:color w:val="auto"/>
        </w:rPr>
        <w:t>of incorporation or organization)</w:t>
      </w:r>
      <w:r>
        <w:rPr>
          <w:sz w:val="20"/>
          <w:szCs w:val="20"/>
          <w:color w:val="auto"/>
        </w:rPr>
        <w:tab/>
      </w:r>
      <w:r>
        <w:rPr>
          <w:rFonts w:ascii="Arial" w:cs="Arial" w:eastAsia="Arial" w:hAnsi="Arial"/>
          <w:sz w:val="18"/>
          <w:szCs w:val="18"/>
          <w:color w:val="auto"/>
        </w:rPr>
        <w:t>Number)</w:t>
      </w:r>
      <w:r>
        <w:rPr>
          <w:sz w:val="20"/>
          <w:szCs w:val="20"/>
          <w:color w:val="auto"/>
        </w:rPr>
        <w:tab/>
      </w:r>
      <w:r>
        <w:rPr>
          <w:rFonts w:ascii="Arial" w:cs="Arial" w:eastAsia="Arial" w:hAnsi="Arial"/>
          <w:sz w:val="17"/>
          <w:szCs w:val="17"/>
          <w:color w:val="auto"/>
        </w:rPr>
        <w:t>Identification No.)</w:t>
      </w:r>
    </w:p>
    <w:p>
      <w:pPr>
        <w:spacing w:after="0" w:line="155" w:lineRule="exact"/>
        <w:rPr>
          <w:sz w:val="24"/>
          <w:szCs w:val="24"/>
          <w:color w:val="auto"/>
        </w:rPr>
      </w:pPr>
    </w:p>
    <w:p>
      <w:pPr>
        <w:ind w:left="4680"/>
        <w:spacing w:after="0"/>
        <w:rPr>
          <w:sz w:val="20"/>
          <w:szCs w:val="20"/>
          <w:color w:val="auto"/>
        </w:rPr>
      </w:pPr>
      <w:r>
        <w:rPr>
          <w:rFonts w:ascii="Arial" w:cs="Arial" w:eastAsia="Arial" w:hAnsi="Arial"/>
          <w:sz w:val="22"/>
          <w:szCs w:val="22"/>
          <w:b w:val="1"/>
          <w:bCs w:val="1"/>
          <w:color w:val="auto"/>
        </w:rPr>
        <w:t>Three Allen Center</w:t>
      </w:r>
    </w:p>
    <w:p>
      <w:pPr>
        <w:spacing w:after="0" w:line="152" w:lineRule="exact"/>
        <w:rPr>
          <w:sz w:val="24"/>
          <w:szCs w:val="24"/>
          <w:color w:val="auto"/>
        </w:rPr>
      </w:pPr>
    </w:p>
    <w:p>
      <w:pPr>
        <w:ind w:left="4340"/>
        <w:spacing w:after="0"/>
        <w:rPr>
          <w:sz w:val="20"/>
          <w:szCs w:val="20"/>
          <w:color w:val="auto"/>
        </w:rPr>
      </w:pPr>
      <w:r>
        <w:rPr>
          <w:rFonts w:ascii="Arial" w:cs="Arial" w:eastAsia="Arial" w:hAnsi="Arial"/>
          <w:sz w:val="22"/>
          <w:szCs w:val="22"/>
          <w:b w:val="1"/>
          <w:bCs w:val="1"/>
          <w:color w:val="auto"/>
        </w:rPr>
        <w:t>333 Clay Street, Suite 4980</w:t>
      </w:r>
    </w:p>
    <w:p>
      <w:pPr>
        <w:spacing w:after="0" w:line="179" w:lineRule="exact"/>
        <w:rPr>
          <w:sz w:val="24"/>
          <w:szCs w:val="24"/>
          <w:color w:val="auto"/>
        </w:rPr>
      </w:pPr>
    </w:p>
    <w:p>
      <w:pPr>
        <w:jc w:val="center"/>
        <w:ind w:left="420"/>
        <w:spacing w:after="0"/>
        <w:tabs>
          <w:tab w:leader="none" w:pos="340" w:val="left"/>
        </w:tabs>
        <w:rPr>
          <w:sz w:val="20"/>
          <w:szCs w:val="20"/>
          <w:color w:val="auto"/>
        </w:rPr>
      </w:pPr>
      <w:r>
        <w:rPr>
          <w:rFonts w:ascii="Arial" w:cs="Arial" w:eastAsia="Arial" w:hAnsi="Arial"/>
          <w:sz w:val="22"/>
          <w:szCs w:val="22"/>
          <w:b w:val="1"/>
          <w:bCs w:val="1"/>
          <w:color w:val="auto"/>
        </w:rPr>
        <w:t>Houston, Texas</w:t>
      </w:r>
      <w:r>
        <w:rPr>
          <w:sz w:val="20"/>
          <w:szCs w:val="20"/>
          <w:color w:val="auto"/>
        </w:rPr>
        <w:tab/>
      </w:r>
      <w:r>
        <w:rPr>
          <w:rFonts w:ascii="Arial" w:cs="Arial" w:eastAsia="Arial" w:hAnsi="Arial"/>
          <w:sz w:val="19"/>
          <w:szCs w:val="19"/>
          <w:b w:val="1"/>
          <w:bCs w:val="1"/>
          <w:color w:val="auto"/>
        </w:rPr>
        <w:t>77002</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and zip code of principal executive offices)</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70"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r>
        <w:trPr>
          <w:trHeight w:val="224"/>
        </w:trPr>
        <w:tc>
          <w:tcPr>
            <w:tcW w:w="37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8"/>
              </w:rPr>
              <w:t>Common Shares, no par value</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CVEO</w:t>
            </w:r>
          </w:p>
        </w:tc>
        <w:tc>
          <w:tcPr>
            <w:tcW w:w="4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bl>
    <w:p>
      <w:pPr>
        <w:spacing w:after="0" w:line="200" w:lineRule="exact"/>
        <w:rPr>
          <w:sz w:val="24"/>
          <w:szCs w:val="24"/>
          <w:color w:val="auto"/>
        </w:rPr>
      </w:pPr>
    </w:p>
    <w:p>
      <w:pPr>
        <w:sectPr>
          <w:pgSz w:w="11900" w:h="16838" w:orient="portrait"/>
          <w:cols w:equalWidth="0" w:num="1">
            <w:col w:w="11220"/>
          </w:cols>
          <w:pgMar w:left="320" w:top="1390" w:right="359" w:bottom="1440" w:gutter="0" w:footer="0" w:header="0"/>
        </w:sectPr>
      </w:pPr>
    </w:p>
    <w:p>
      <w:pPr>
        <w:spacing w:after="0" w:line="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794385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type w:val="continuous"/>
        </w:sectPr>
      </w:pPr>
    </w:p>
    <w:bookmarkStart w:id="1" w:name="page2"/>
    <w:bookmarkEnd w:id="1"/>
    <w:p>
      <w:pPr>
        <w:spacing w:after="0" w:line="4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802005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53" w:lineRule="exact"/>
        <w:rPr>
          <w:sz w:val="20"/>
          <w:szCs w:val="20"/>
          <w:color w:val="auto"/>
        </w:rPr>
      </w:pPr>
    </w:p>
    <w:p>
      <w:pPr>
        <w:jc w:val="both"/>
        <w:ind w:firstLine="301"/>
        <w:spacing w:after="0" w:line="253" w:lineRule="auto"/>
        <w:rPr>
          <w:sz w:val="20"/>
          <w:szCs w:val="20"/>
          <w:color w:val="auto"/>
        </w:rPr>
      </w:pPr>
      <w:r>
        <w:rPr>
          <w:rFonts w:ascii="Arial" w:cs="Arial" w:eastAsia="Arial" w:hAnsi="Arial"/>
          <w:sz w:val="22"/>
          <w:szCs w:val="22"/>
          <w:color w:val="auto"/>
        </w:rPr>
        <w:t>On October 28, 2020, Civeo Corporation (“Civeo”) issued a press release announcing its financial condition and results of operations as of and for the quarter ended September 30, 2020. A copy of the press release is furnished as Exhibit 99.1 to this report on Form 8-K, and is incorporated herein by reference.</w:t>
      </w:r>
    </w:p>
    <w:p>
      <w:pPr>
        <w:spacing w:after="0" w:line="21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53" w:lineRule="exact"/>
        <w:rPr>
          <w:sz w:val="20"/>
          <w:szCs w:val="20"/>
          <w:color w:val="auto"/>
        </w:rPr>
      </w:pPr>
    </w:p>
    <w:p>
      <w:pPr>
        <w:ind w:left="700" w:hanging="476"/>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500" w:type="dxa"/>
            <w:vAlign w:val="bottom"/>
          </w:tcPr>
          <w:p>
            <w:pPr>
              <w:spacing w:after="0"/>
              <w:rPr>
                <w:sz w:val="21"/>
                <w:szCs w:val="21"/>
                <w:color w:val="auto"/>
              </w:rPr>
            </w:pPr>
          </w:p>
        </w:tc>
        <w:tc>
          <w:tcPr>
            <w:tcW w:w="9480" w:type="dxa"/>
            <w:vAlign w:val="bottom"/>
            <w:gridSpan w:val="2"/>
          </w:tcPr>
          <w:p>
            <w:pPr>
              <w:spacing w:after="0"/>
              <w:rPr>
                <w:sz w:val="20"/>
                <w:szCs w:val="20"/>
                <w:color w:val="auto"/>
              </w:rPr>
            </w:pPr>
            <w:r>
              <w:rPr>
                <w:rFonts w:ascii="Arial" w:cs="Arial" w:eastAsia="Arial" w:hAnsi="Arial"/>
                <w:sz w:val="22"/>
                <w:szCs w:val="22"/>
                <w:color w:val="auto"/>
              </w:rPr>
              <w:t>Description of Document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vMerge w:val="restart"/>
          </w:tcPr>
          <w:p>
            <w:pPr>
              <w:spacing w:after="0" w:line="216" w:lineRule="exact"/>
              <w:rPr>
                <w:sz w:val="20"/>
                <w:szCs w:val="20"/>
                <w:color w:val="auto"/>
              </w:rPr>
            </w:pPr>
            <w:r>
              <w:rPr>
                <w:rFonts w:ascii="Arial" w:cs="Arial" w:eastAsia="Arial" w:hAnsi="Arial"/>
                <w:sz w:val="22"/>
                <w:szCs w:val="22"/>
                <w:color w:val="auto"/>
                <w:w w:val="89"/>
              </w:rPr>
              <w:t>Number</w:t>
            </w:r>
          </w:p>
        </w:tc>
        <w:tc>
          <w:tcPr>
            <w:tcW w:w="52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7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500" w:type="dxa"/>
            <w:vAlign w:val="bottom"/>
            <w:vMerge w:val="restart"/>
          </w:tcPr>
          <w:p>
            <w:pPr>
              <w:spacing w:after="0"/>
              <w:rPr>
                <w:sz w:val="16"/>
                <w:szCs w:val="16"/>
                <w:color w:val="auto"/>
              </w:rPr>
            </w:pPr>
          </w:p>
        </w:tc>
        <w:tc>
          <w:tcPr>
            <w:tcW w:w="9480" w:type="dxa"/>
            <w:vAlign w:val="bottom"/>
            <w:gridSpan w:val="2"/>
            <w:vMerge w:val="restart"/>
          </w:tcPr>
          <w:p>
            <w:pPr>
              <w:spacing w:after="0"/>
              <w:rPr>
                <w:rFonts w:ascii="Arial" w:cs="Arial" w:eastAsia="Arial" w:hAnsi="Arial"/>
                <w:sz w:val="22"/>
                <w:szCs w:val="22"/>
                <w:u w:val="single" w:color="auto"/>
                <w:color w:val="0000FF"/>
              </w:rPr>
            </w:pPr>
            <w:hyperlink w:anchor="page5">
              <w:r>
                <w:rPr>
                  <w:rFonts w:ascii="Arial" w:cs="Arial" w:eastAsia="Arial" w:hAnsi="Arial"/>
                  <w:sz w:val="22"/>
                  <w:szCs w:val="22"/>
                  <w:u w:val="single" w:color="auto"/>
                  <w:color w:val="0000FF"/>
                </w:rPr>
                <w:t>Press Release dated October 28, 2020</w:t>
              </w:r>
            </w:hyperlink>
          </w:p>
        </w:tc>
        <w:tc>
          <w:tcPr>
            <w:tcW w:w="0" w:type="dxa"/>
            <w:vAlign w:val="bottom"/>
          </w:tcPr>
          <w:p>
            <w:pPr>
              <w:spacing w:after="0"/>
              <w:rPr>
                <w:sz w:val="1"/>
                <w:szCs w:val="1"/>
                <w:color w:val="auto"/>
              </w:rPr>
            </w:pPr>
          </w:p>
        </w:tc>
      </w:tr>
      <w:tr>
        <w:trPr>
          <w:trHeight w:val="557"/>
        </w:trPr>
        <w:tc>
          <w:tcPr>
            <w:tcW w:w="740" w:type="dxa"/>
            <w:vAlign w:val="bottom"/>
            <w:gridSpan w:val="2"/>
          </w:tcPr>
          <w:p>
            <w:pPr>
              <w:ind w:left="20"/>
              <w:spacing w:after="0"/>
              <w:rPr>
                <w:sz w:val="20"/>
                <w:szCs w:val="20"/>
                <w:color w:val="auto"/>
              </w:rPr>
            </w:pPr>
            <w:r>
              <w:rPr>
                <w:rFonts w:ascii="Arial" w:cs="Arial" w:eastAsia="Arial" w:hAnsi="Arial"/>
                <w:sz w:val="22"/>
                <w:szCs w:val="22"/>
                <w:color w:val="auto"/>
              </w:rPr>
              <w:t>99.1</w:t>
            </w:r>
          </w:p>
        </w:tc>
        <w:tc>
          <w:tcPr>
            <w:tcW w:w="52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9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40" w:type="dxa"/>
            <w:vAlign w:val="bottom"/>
            <w:gridSpan w:val="2"/>
          </w:tcPr>
          <w:p>
            <w:pPr>
              <w:ind w:left="20"/>
              <w:spacing w:after="0"/>
              <w:rPr>
                <w:sz w:val="20"/>
                <w:szCs w:val="20"/>
                <w:color w:val="auto"/>
              </w:rPr>
            </w:pPr>
            <w:r>
              <w:rPr>
                <w:rFonts w:ascii="Arial" w:cs="Arial" w:eastAsia="Arial" w:hAnsi="Arial"/>
                <w:sz w:val="22"/>
                <w:szCs w:val="22"/>
                <w:color w:val="auto"/>
              </w:rPr>
              <w:t>104</w:t>
            </w:r>
          </w:p>
        </w:tc>
        <w:tc>
          <w:tcPr>
            <w:tcW w:w="520" w:type="dxa"/>
            <w:vAlign w:val="bottom"/>
          </w:tcPr>
          <w:p>
            <w:pPr>
              <w:spacing w:after="0"/>
              <w:rPr>
                <w:sz w:val="24"/>
                <w:szCs w:val="24"/>
                <w:color w:val="auto"/>
              </w:rPr>
            </w:pPr>
          </w:p>
        </w:tc>
        <w:tc>
          <w:tcPr>
            <w:tcW w:w="9980" w:type="dxa"/>
            <w:vAlign w:val="bottom"/>
            <w:gridSpan w:val="3"/>
          </w:tcPr>
          <w:p>
            <w:pPr>
              <w:ind w:left="500"/>
              <w:spacing w:after="0"/>
              <w:rPr>
                <w:sz w:val="20"/>
                <w:szCs w:val="20"/>
                <w:color w:val="auto"/>
              </w:rPr>
            </w:pPr>
            <w:r>
              <w:rPr>
                <w:rFonts w:ascii="Arial" w:cs="Arial" w:eastAsia="Arial" w:hAnsi="Arial"/>
                <w:sz w:val="22"/>
                <w:szCs w:val="22"/>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2170"/>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-2176780</wp:posOffset>
            </wp:positionV>
            <wp:extent cx="342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Dated: October 28, 2020</w:t>
      </w:r>
    </w:p>
    <w:p>
      <w:pPr>
        <w:spacing w:after="0" w:line="254"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CIVEO CORPORATION</w:t>
      </w:r>
    </w:p>
    <w:p>
      <w:pPr>
        <w:spacing w:after="0" w:line="200" w:lineRule="exact"/>
        <w:rPr>
          <w:sz w:val="20"/>
          <w:szCs w:val="20"/>
          <w:color w:val="auto"/>
        </w:rPr>
      </w:pPr>
    </w:p>
    <w:p>
      <w:pPr>
        <w:spacing w:after="0" w:line="29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 xml:space="preserve">By: /s/ Carolyn J. Stone </w:t>
      </w:r>
      <w:r>
        <w:rPr>
          <w:rFonts w:ascii="Arial" w:cs="Arial" w:eastAsia="Arial" w:hAnsi="Arial"/>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-17780</wp:posOffset>
            </wp:positionV>
            <wp:extent cx="1143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 w:lineRule="exact"/>
        <w:rPr>
          <w:sz w:val="20"/>
          <w:szCs w:val="20"/>
          <w:color w:val="auto"/>
        </w:rPr>
      </w:pPr>
    </w:p>
    <w:p>
      <w:pPr>
        <w:ind w:left="1740"/>
        <w:spacing w:after="0"/>
        <w:tabs>
          <w:tab w:leader="none" w:pos="25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Carolyn J. Stone</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Chief Financial Officer and Treasurer</w:t>
      </w:r>
    </w:p>
    <w:p>
      <w:pPr>
        <w:sectPr>
          <w:pgSz w:w="11900" w:h="16838" w:orient="portrait"/>
          <w:cols w:equalWidth="0" w:num="1">
            <w:col w:w="11220"/>
          </w:cols>
          <w:pgMar w:left="320" w:top="1300"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7"/>
          <w:szCs w:val="27"/>
          <w:b w:val="1"/>
          <w:bCs w:val="1"/>
          <w:color w:val="auto"/>
        </w:rPr>
        <w:t>Civeo Reports Third Quarter 2020 Results</w:t>
      </w:r>
    </w:p>
    <w:p>
      <w:pPr>
        <w:spacing w:after="0" w:line="200" w:lineRule="exact"/>
        <w:rPr>
          <w:sz w:val="20"/>
          <w:szCs w:val="20"/>
          <w:color w:val="auto"/>
        </w:rPr>
      </w:pPr>
    </w:p>
    <w:p>
      <w:pPr>
        <w:spacing w:after="0" w:line="32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HOUSTON and CALGARY, October 28, 2020 (BUSINESS WIRE) -- Civeo Corporation (NYSE:CVEO) today reported financial and operating results for the third quarter ended September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Highlights include:</w:t>
      </w:r>
    </w:p>
    <w:p>
      <w:pPr>
        <w:spacing w:after="0" w:line="1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third quarter revenues of $142.9 million, net income of $6.5 million and operating cash flow of $35.4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third quarter Adjusted EBITDA of $36.0 million and free cash flow of $34.4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Generated $80.7 million of operating cash flow and $77.8 million of free cash flow year-to-date;</w:t>
      </w:r>
    </w:p>
    <w:p>
      <w:pPr>
        <w:spacing w:after="0" w:line="252"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an amendment and extension to its entire credit agreement to, among other things, extend the maturity date of all of the Company's total debt outstanding by eighteen months to May 30, 2023;</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leverage ratio to 2.16x as of September 30, 2020 from 2.34x as of June 30, 2020; and</w:t>
      </w:r>
    </w:p>
    <w:p>
      <w:pPr>
        <w:spacing w:after="0" w:line="252"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Today announced the renewal of four contracts to provide hospitality services through Civeo's Action Catering business in Western Australia with expected revenues under these contracts totaling A$135 million over two-year terms</w:t>
      </w:r>
    </w:p>
    <w:p>
      <w:pPr>
        <w:spacing w:after="0" w:line="21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third quarter results demonstrated our company’s emphasis on safety, revenue diversification and operational execution. I’d like to once again thank our employees for their continued dedication to safety and service during these difficult times. In Australia, our customers' activity in the metallurgical coal and iron ore markets continues to drive occupancy, contract awards and renewals. We are pleased today to announce four two-year contract renewals through our Action Catering business in Western Australia," stated Bradley J. Dodson, Civeo's President and Chief Executive Officer.</w:t>
      </w:r>
    </w:p>
    <w:p>
      <w:pPr>
        <w:spacing w:after="0" w:line="218"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Mr. Dodson continued, “We were also very pleased to complete the amendment and eighteen month extension to our credit agreement and appreciate the continued support of our key bank partners. The revised agreement affords the Company additional time to pursue our financial objectives of focusing on free cash flow generation and debt reduction while we explore longer term debt capital solutions."</w:t>
      </w:r>
    </w:p>
    <w:p>
      <w:pPr>
        <w:spacing w:after="0" w:line="218" w:lineRule="exact"/>
        <w:rPr>
          <w:sz w:val="20"/>
          <w:szCs w:val="20"/>
          <w:color w:val="auto"/>
        </w:rPr>
      </w:pPr>
    </w:p>
    <w:p>
      <w:pPr>
        <w:jc w:val="both"/>
        <w:ind w:right="300"/>
        <w:spacing w:after="0" w:line="229" w:lineRule="auto"/>
        <w:rPr>
          <w:sz w:val="20"/>
          <w:szCs w:val="20"/>
          <w:color w:val="auto"/>
        </w:rPr>
      </w:pPr>
      <w:r>
        <w:rPr>
          <w:rFonts w:ascii="Arial" w:cs="Arial" w:eastAsia="Arial" w:hAnsi="Arial"/>
          <w:sz w:val="18"/>
          <w:szCs w:val="18"/>
          <w:color w:val="auto"/>
        </w:rPr>
        <w:t>Mr. Dodson added, “Despite the COVID-19 and oil price-related disruptions this year in Canada, we experienced a sequential increase in billed rooms across a majority of our lodges in the third quarter. While our oil sands customers’ production and turnaround activity was not back to 2019 levels, we are encouraged by the recovery from second quarter 2020 lows."</w:t>
      </w:r>
    </w:p>
    <w:p>
      <w:pPr>
        <w:spacing w:after="0" w:line="218"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Mr. Dodson concluded, "The third quarter results exhibited the business' free cash flow generation ability, allowing us to further reduce our aggregate leverage and better position the company for the future. While we are expecting seasonally reduced billed rooms sequentially in the fourth quarter of 2020 in both Canada and Australia due to holiday downtime, we are cautiously optimistic that the positive trends experienced in the third quarter will continue into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2020 Results</w:t>
      </w:r>
    </w:p>
    <w:p>
      <w:pPr>
        <w:spacing w:after="0" w:line="144"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In the third quarter of 2020, Civeo generated revenues of $ 142.9 million and reported net income of $6.5 million, or $0.03 per diluted share. During the third quarter of 2020, Civeo produced operating cash flow of $35.4 million, Adjusted EBITDA of $36.0 million and free cash flow of $34.4 million.</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By comparison, in the third quarter of 2019, Civeo generated revenues of $148.2 million and reported net income of $4.5 million, or $0.02 per diluted share. During the third quarter of 2019, Civeo produced operating cash flow of $23.6 million, Adjusted EBITDA of $36.2 million and free cash flow of $20.3 million. The third quarter of 2020 Adjusted EBITDA was in line with the third quarter of 2019 primarily due to increased occupancy in our Australian Bowen Basin villages and $3.6 million of other income related to proceeds from the Canada Emergency Wage Subsidy ("CEWS"), largely offset by decreased occupancy in our Canadian lodges.</w:t>
      </w:r>
    </w:p>
    <w:p>
      <w:pPr>
        <w:spacing w:after="0" w:line="138"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(EBITDA is a non-GAAP financial measure that is defined as net income plus interest, taxes, depreciation and amortization, and Adjusted EBITDA is defined as EBITDA adjusted to exclude impairment charges, adjustments</w:t>
      </w:r>
    </w:p>
    <w:p>
      <w:pPr>
        <w:sectPr>
          <w:pgSz w:w="11900" w:h="16838" w:orient="portrait"/>
          <w:cols w:equalWidth="0" w:num="1">
            <w:col w:w="11240"/>
          </w:cols>
          <w:pgMar w:left="320" w:top="895" w:right="339" w:bottom="1440" w:gutter="0" w:footer="0" w:header="0"/>
        </w:sectPr>
      </w:pPr>
    </w:p>
    <w:bookmarkStart w:id="5" w:name="page6"/>
    <w:bookmarkEnd w:id="5"/>
    <w:p>
      <w:pPr>
        <w:ind w:right="120"/>
        <w:spacing w:after="0" w:line="234" w:lineRule="auto"/>
        <w:rPr>
          <w:sz w:val="20"/>
          <w:szCs w:val="20"/>
          <w:color w:val="auto"/>
        </w:rPr>
      </w:pPr>
      <w:r>
        <w:rPr>
          <w:rFonts w:ascii="Arial" w:cs="Arial" w:eastAsia="Arial" w:hAnsi="Arial"/>
          <w:sz w:val="18"/>
          <w:szCs w:val="18"/>
          <w:color w:val="auto"/>
        </w:rPr>
        <w:t>regarding an asset retirement obligation recorded in the third quarter of 2019 and certain costs associated with Civeo's acquisition of Action. Free cash flow is a non-GAAP financial measure that is defined as net cash flows provided by operating activities less capital expenditures plus proceeds from asset sales. Please see the reconciliations to GAAP measures at the end of this news release.)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58"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(Unless otherwise noted, the following discussion compares the quarterly results for the third quarter of 2020 to the results for the third quarter of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5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During the third quarter of 2020, the Canadian segment generated revenues of $71.8 million, operating income of $1.0 million and Adjusted EBITDA of $21.3 million, compared to revenues of $91.1 million, operating income of $2.9 million and Adjusted EBITDA of $25.0 million in the third quarter of 2019. The third quarter of 2020 Adjusted EBITDA included $3.6 million of other income related to proceeds from the CEWS.</w:t>
      </w:r>
    </w:p>
    <w:p>
      <w:pPr>
        <w:spacing w:after="0" w:line="232"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On a constant currency basis, the Canadian segment experienced a 20% period-over-period decrease in revenues driven by a 42% year-over-year reduction in billed rooms related to decreased customer activity due to the decline in oil prices and the COVID-19 pandemic. Adjusted EBITDA for the Canadian segment decreased 15% year-over-year primarily due to lower billed rooms in the oil sands lodges, partially offset by the CEWS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5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During the third quarter of 2020, the Australian segment generated revenues of $64.7 million, operating income of $9.9 million and Adjusted EBITDA of $21.5 million, compared to revenues of $47.7 million, operating income of $4.7 million and Adjusted EBITDA of $17.2 million in the third quarter of 2019. The third quarter of 2020 results reflect the impact of a strengthened Australian dollar relative to the U.S. dollar, which increased revenues and Adjusted EBITDA by $2.8 million and $0.9 million, respectively.</w:t>
      </w:r>
    </w:p>
    <w:p>
      <w:pPr>
        <w:spacing w:after="0" w:line="231" w:lineRule="exact"/>
        <w:rPr>
          <w:sz w:val="20"/>
          <w:szCs w:val="20"/>
          <w:color w:val="auto"/>
        </w:rPr>
      </w:pPr>
    </w:p>
    <w:p>
      <w:pPr>
        <w:jc w:val="both"/>
        <w:ind w:right="580"/>
        <w:spacing w:after="0" w:line="250" w:lineRule="auto"/>
        <w:rPr>
          <w:sz w:val="20"/>
          <w:szCs w:val="20"/>
          <w:color w:val="auto"/>
        </w:rPr>
      </w:pPr>
      <w:r>
        <w:rPr>
          <w:rFonts w:ascii="Arial" w:cs="Arial" w:eastAsia="Arial" w:hAnsi="Arial"/>
          <w:sz w:val="18"/>
          <w:szCs w:val="18"/>
          <w:color w:val="auto"/>
        </w:rPr>
        <w:t>On a constant currency basis, the Australian segment experienced a 30% period-over-period increase in revenues primarily driven by increased activity from our Action Catering business coupled with increased occupancy at our Bowen Basin villages. Australian village occupancy increased 13% year-over-year largely due to continued improvement in metallurgical coal activity across the Bowen Basin.</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Adjusted EBITDA from the Australian segment increased 25% year-over-year due to higher village occupancy coupled with increased activity from our Action Catering business. Australian revenues in the third quarter of 2020 increased more year-over-year than Australian Adjusted EBITDA due to the inherent lower margins in the service-only business model of Action Catering.</w:t>
      </w:r>
    </w:p>
    <w:p>
      <w:pPr>
        <w:spacing w:after="0" w:line="12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Civeo today announced that it has been awarded four contract renewals in Western Australia through its Action Catering business to provide hospitality services. The contracts are expected to generate A$135 million in revenues over two-year terms.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U.S. segment generated revenues of $6.4 million, operating loss of $3.2 million and negative Adjusted EBITDA of $1.5 million in the third quarter of 2020, compared to revenues of $9.3 million, operating loss of $2.2 million and Adjusted EBITDA of $0.3 million in the third quarter of 2019. Revenues and Adjusted EBITDA declined year-over-year primarily due to lower drilling and completion activity coupled with lower occupancy in the U.S. lodges.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58"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Civeo recognized an income tax expense of $0.2 million, which resulted in an effective tax rate of 2%, in the third quarter of 2020. During the third quarter of 2019, Civeo recognized an income tax benefit of $6.6 million, which resulted in an effective tax rate of 421%. The effective tax rate for the three months ended</w:t>
      </w:r>
    </w:p>
    <w:p>
      <w:pPr>
        <w:spacing w:after="0" w:line="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September 30, 2019 was impacted by a tax benefit of $3.0 million related to a reduction in the Alberta, Canada income tax rate as well as a $2.1 million tax benefit related to the change in the valuation allowance in Australia resulting from the July 2019 acquisition of Action Catering.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4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As of September 30, 2020, Civeo had total liquidity of approximately $85.6 million, consisting of $78.7 million available under its revolving credit facilities and $6.9 million of cash on hand.</w:t>
      </w:r>
    </w:p>
    <w:p>
      <w:pPr>
        <w:sectPr>
          <w:pgSz w:w="11900" w:h="16838" w:orient="portrait"/>
          <w:cols w:equalWidth="0" w:num="1">
            <w:col w:w="11240"/>
          </w:cols>
          <w:pgMar w:left="320" w:top="908" w:right="339" w:bottom="1440" w:gutter="0" w:footer="0" w:header="0"/>
        </w:sectPr>
      </w:pPr>
    </w:p>
    <w:bookmarkStart w:id="6" w:name="page7"/>
    <w:bookmarkEnd w:id="6"/>
    <w:p>
      <w:pPr>
        <w:ind w:right="400"/>
        <w:spacing w:after="0" w:line="256" w:lineRule="auto"/>
        <w:rPr>
          <w:sz w:val="20"/>
          <w:szCs w:val="20"/>
          <w:color w:val="auto"/>
        </w:rPr>
      </w:pPr>
      <w:r>
        <w:rPr>
          <w:rFonts w:ascii="Arial" w:cs="Arial" w:eastAsia="Arial" w:hAnsi="Arial"/>
          <w:sz w:val="18"/>
          <w:szCs w:val="18"/>
          <w:color w:val="auto"/>
        </w:rPr>
        <w:t>Civeo’s total debt outstanding on September 30, 2020 was $272.5 million, a $27.0 million decrease since June 30, 2020. The decrease consisted of $33.4 million in debt payments from cash flow generated by the business, partially offset by an unfavorable foreign currency translation impact of $6.4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Civeo reduced its leverage ratio from 2.34x as of June 30, 2020 to 2.16x as of September 30, 2020.</w:t>
      </w:r>
    </w:p>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Civeo recently announced the completion of an amendment and eighteen-month extension to its entire credit agreement. Among other things, the amended credit facility extends the maturity date of all of the Company's total debt outstanding by eighteen months to May 30, 2023; increases interest rate spreads above base rates by approximately 100 basis points above prior spreads; and decreases the total revolving commitment to $167.3 million, a level more consistent with currently expected needs, which will reduce undrawn commitment fees.</w:t>
      </w:r>
    </w:p>
    <w:p>
      <w:pPr>
        <w:spacing w:after="0" w:line="13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During the third quarter of 2020, Civeo invested $2.4 million in capital expenditures, down from $4.3 million during the third quarter of 2019 due to the completion of the Sitka lodge expansion in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2020 Guidance</w:t>
      </w:r>
    </w:p>
    <w:p>
      <w:pPr>
        <w:spacing w:after="0" w:line="144"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For the full year of 2020, Civeo is increasing its revenue and Adjusted EBITDA guidance to a range of $515 million to $520 million and $100 million to $105 million, respectively. This guidance is based on our expectations as of the date hereof and assumes no material changes to the current macro environment, or conditions related to the COVID-19 pandemic and the responses thereto. The Company expects full year 2020 capital expenditures of less than $15 million.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58"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Civeo will host a conference call to discuss its third quarter 2020 financial results today at 11:00 a.m. Eastern time. This call is being webcast and can be accessed at Civeo's website at www.civeo.com. Participants may also join the conference call by dialing (866) 548 -4713 in the United States or (323) 794-2093 internationally and using the conference ID 6194051#. A replay will be available after the call by dialing</w:t>
      </w:r>
    </w:p>
    <w:p>
      <w:pPr>
        <w:spacing w:after="0" w:line="1" w:lineRule="exact"/>
        <w:rPr>
          <w:sz w:val="20"/>
          <w:szCs w:val="20"/>
          <w:color w:val="auto"/>
        </w:rPr>
      </w:pPr>
    </w:p>
    <w:p>
      <w:pPr>
        <w:ind w:right="2520" w:firstLine="8"/>
        <w:spacing w:after="0" w:line="414" w:lineRule="auto"/>
        <w:tabs>
          <w:tab w:leader="none" w:pos="47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512-2921 in the United States or (412) 317-6671 internationally and using the conference ID 6194051#. </w:t>
      </w:r>
      <w:r>
        <w:rPr>
          <w:rFonts w:ascii="Arial" w:cs="Arial" w:eastAsia="Arial" w:hAnsi="Arial"/>
          <w:sz w:val="18"/>
          <w:szCs w:val="18"/>
          <w:u w:val="single" w:color="auto"/>
          <w:color w:val="auto"/>
        </w:rPr>
        <w:t>About Civeo</w:t>
      </w:r>
    </w:p>
    <w:p>
      <w:pPr>
        <w:spacing w:after="0" w:line="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28 lodges and villages in Canada, Australia and the U.S., with an aggregate of approximately 30,000 rooms. Civeo is publicly traded under the symbol CVEO on the New York Stock Exchange. For more information, please visit Civeo's website at www.civeo.com.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include the statements regarding Civeo’s future plans and outlook, including guidance, current trends and liquidity needs,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global health concerns and pandemics, including the COVID-19 pandemic and the risk that room occupancy may decline if our customers are limited or restricted in the availability of personnel who may become ill or be subjected to quarantine,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the company’s ability to integrate acquisitions, risks associated with the development of new projects, including whether such projects will continue in the future, risks associated with the trading price of the company’s common shares, availability and cost of capital, risks associated with our ability to remain in compliance with our financial covenants in our debt agreements, risks associated with general global economic conditions, global weather conditions, natural disasters and security</w:t>
      </w:r>
    </w:p>
    <w:p>
      <w:pPr>
        <w:sectPr>
          <w:pgSz w:w="11900" w:h="16838" w:orient="portrait"/>
          <w:cols w:equalWidth="0" w:num="1">
            <w:col w:w="11240"/>
          </w:cols>
          <w:pgMar w:left="320" w:top="908" w:right="339" w:bottom="1440" w:gutter="0" w:footer="0" w:header="0"/>
        </w:sectPr>
      </w:pPr>
    </w:p>
    <w:bookmarkStart w:id="7" w:name="page8"/>
    <w:bookmarkEnd w:id="7"/>
    <w:p>
      <w:pPr>
        <w:spacing w:after="0" w:line="237" w:lineRule="auto"/>
        <w:rPr>
          <w:sz w:val="20"/>
          <w:szCs w:val="20"/>
          <w:color w:val="auto"/>
        </w:rPr>
      </w:pPr>
      <w:r>
        <w:rPr>
          <w:rFonts w:ascii="Arial" w:cs="Arial" w:eastAsia="Arial" w:hAnsi="Arial"/>
          <w:sz w:val="18"/>
          <w:szCs w:val="18"/>
          <w:color w:val="auto"/>
        </w:rPr>
        <w:t>threats and changes to government and environmental regulations, including climate change, and other factors discussed in the “Management’s Discussion and Analysis of Financial Condition and Results of Operations” and “Risk Factors” sections of Civeo’s annual report on Form 10-K for the year ended December 31, 2019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ectPr>
          <w:pgSz w:w="11900" w:h="16838" w:orient="portrait"/>
          <w:cols w:equalWidth="0" w:num="1">
            <w:col w:w="11240"/>
          </w:cols>
          <w:pgMar w:left="320" w:top="908"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CIVEO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4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Nine Months Ended</w:t>
            </w:r>
          </w:p>
        </w:tc>
      </w:tr>
      <w:tr>
        <w:trPr>
          <w:trHeight w:val="190"/>
        </w:trPr>
        <w:tc>
          <w:tcPr>
            <w:tcW w:w="4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214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September 30,</w:t>
            </w:r>
          </w:p>
        </w:tc>
      </w:tr>
      <w:tr>
        <w:trPr>
          <w:trHeight w:val="222"/>
        </w:trPr>
        <w:tc>
          <w:tcPr>
            <w:tcW w:w="4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r>
      <w:tr>
        <w:trPr>
          <w:trHeight w:val="460"/>
        </w:trPr>
        <w:tc>
          <w:tcPr>
            <w:tcW w:w="4200" w:type="dxa"/>
            <w:vAlign w:val="bottom"/>
          </w:tcPr>
          <w:p>
            <w:pPr>
              <w:spacing w:after="0"/>
              <w:rPr>
                <w:sz w:val="20"/>
                <w:szCs w:val="20"/>
                <w:color w:val="auto"/>
              </w:rPr>
            </w:pPr>
            <w:r>
              <w:rPr>
                <w:rFonts w:ascii="Arial" w:cs="Arial" w:eastAsia="Arial" w:hAnsi="Arial"/>
                <w:sz w:val="14"/>
                <w:szCs w:val="14"/>
                <w:color w:val="auto"/>
              </w:rPr>
              <w:t>Revenues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142,857</w:t>
            </w:r>
          </w:p>
        </w:tc>
        <w:tc>
          <w:tcPr>
            <w:tcW w:w="1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148,163</w:t>
            </w:r>
          </w:p>
        </w:tc>
        <w:tc>
          <w:tcPr>
            <w:tcW w:w="24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396,351</w:t>
            </w:r>
          </w:p>
        </w:tc>
        <w:tc>
          <w:tcPr>
            <w:tcW w:w="1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378,866</w:t>
            </w:r>
          </w:p>
        </w:tc>
      </w:tr>
      <w:tr>
        <w:trPr>
          <w:trHeight w:val="473"/>
        </w:trPr>
        <w:tc>
          <w:tcPr>
            <w:tcW w:w="4200" w:type="dxa"/>
            <w:vAlign w:val="bottom"/>
          </w:tcPr>
          <w:p>
            <w:pPr>
              <w:spacing w:after="0"/>
              <w:rPr>
                <w:sz w:val="20"/>
                <w:szCs w:val="20"/>
                <w:color w:val="auto"/>
              </w:rPr>
            </w:pPr>
            <w:r>
              <w:rPr>
                <w:rFonts w:ascii="Arial" w:cs="Arial" w:eastAsia="Arial" w:hAnsi="Arial"/>
                <w:sz w:val="14"/>
                <w:szCs w:val="14"/>
                <w:color w:val="auto"/>
              </w:rPr>
              <w:t>Costs and expenses: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4200" w:type="dxa"/>
            <w:vAlign w:val="bottom"/>
          </w:tcPr>
          <w:p>
            <w:pPr>
              <w:ind w:left="100"/>
              <w:spacing w:after="0"/>
              <w:rPr>
                <w:sz w:val="20"/>
                <w:szCs w:val="20"/>
                <w:color w:val="auto"/>
              </w:rPr>
            </w:pPr>
            <w:r>
              <w:rPr>
                <w:rFonts w:ascii="Arial" w:cs="Arial" w:eastAsia="Arial" w:hAnsi="Arial"/>
                <w:sz w:val="14"/>
                <w:szCs w:val="14"/>
                <w:color w:val="auto"/>
              </w:rPr>
              <w:t>Cost of sales and services</w:t>
            </w:r>
          </w:p>
        </w:tc>
        <w:tc>
          <w:tcPr>
            <w:tcW w:w="3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97,434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99,480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283,880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264,350</w:t>
            </w:r>
          </w:p>
        </w:tc>
      </w:tr>
      <w:tr>
        <w:trPr>
          <w:trHeight w:val="216"/>
        </w:trPr>
        <w:tc>
          <w:tcPr>
            <w:tcW w:w="4200" w:type="dxa"/>
            <w:vAlign w:val="bottom"/>
          </w:tcPr>
          <w:p>
            <w:pPr>
              <w:ind w:left="100"/>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13,462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14,334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38,889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42,960</w:t>
            </w:r>
          </w:p>
        </w:tc>
      </w:tr>
      <w:tr>
        <w:trPr>
          <w:trHeight w:val="216"/>
        </w:trPr>
        <w:tc>
          <w:tcPr>
            <w:tcW w:w="4200" w:type="dxa"/>
            <w:vAlign w:val="bottom"/>
          </w:tcPr>
          <w:p>
            <w:pPr>
              <w:ind w:left="100"/>
              <w:spacing w:after="0"/>
              <w:rPr>
                <w:sz w:val="20"/>
                <w:szCs w:val="20"/>
                <w:color w:val="auto"/>
              </w:rPr>
            </w:pPr>
            <w:r>
              <w:rPr>
                <w:rFonts w:ascii="Arial" w:cs="Arial" w:eastAsia="Arial" w:hAnsi="Arial"/>
                <w:sz w:val="14"/>
                <w:szCs w:val="14"/>
                <w:color w:val="auto"/>
              </w:rPr>
              <w:t>Depreciation and amortization expense</w:t>
            </w:r>
          </w:p>
        </w:tc>
        <w:tc>
          <w:tcPr>
            <w:tcW w:w="3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24,820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31,196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72,527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92,974</w:t>
            </w:r>
          </w:p>
        </w:tc>
      </w:tr>
      <w:tr>
        <w:trPr>
          <w:trHeight w:val="216"/>
        </w:trPr>
        <w:tc>
          <w:tcPr>
            <w:tcW w:w="4200" w:type="dxa"/>
            <w:vAlign w:val="bottom"/>
          </w:tcPr>
          <w:p>
            <w:pPr>
              <w:ind w:left="100"/>
              <w:spacing w:after="0"/>
              <w:rPr>
                <w:sz w:val="20"/>
                <w:szCs w:val="20"/>
                <w:color w:val="auto"/>
              </w:rPr>
            </w:pPr>
            <w:r>
              <w:rPr>
                <w:rFonts w:ascii="Arial" w:cs="Arial" w:eastAsia="Arial" w:hAnsi="Arial"/>
                <w:sz w:val="14"/>
                <w:szCs w:val="14"/>
                <w:color w:val="auto"/>
              </w:rPr>
              <w:t>Impairment expense</w:t>
            </w:r>
          </w:p>
        </w:tc>
        <w:tc>
          <w:tcPr>
            <w:tcW w:w="3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144,120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5,546</w:t>
            </w:r>
          </w:p>
        </w:tc>
      </w:tr>
      <w:tr>
        <w:trPr>
          <w:trHeight w:val="222"/>
        </w:trPr>
        <w:tc>
          <w:tcPr>
            <w:tcW w:w="4200" w:type="dxa"/>
            <w:vAlign w:val="bottom"/>
          </w:tcPr>
          <w:p>
            <w:pPr>
              <w:ind w:left="100"/>
              <w:spacing w:after="0"/>
              <w:rPr>
                <w:sz w:val="20"/>
                <w:szCs w:val="20"/>
                <w:color w:val="auto"/>
              </w:rPr>
            </w:pPr>
            <w:r>
              <w:rPr>
                <w:rFonts w:ascii="Arial" w:cs="Arial" w:eastAsia="Arial" w:hAnsi="Arial"/>
                <w:sz w:val="14"/>
                <w:szCs w:val="14"/>
                <w:color w:val="auto"/>
              </w:rPr>
              <w:t>Other operating expense</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277</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755</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w:t>
            </w:r>
          </w:p>
        </w:tc>
      </w:tr>
      <w:tr>
        <w:trPr>
          <w:trHeight w:val="209"/>
        </w:trPr>
        <w:tc>
          <w:tcPr>
            <w:tcW w:w="4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135,767</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145,287</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540,171</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405,939</w:t>
            </w:r>
          </w:p>
        </w:tc>
      </w:tr>
      <w:tr>
        <w:trPr>
          <w:trHeight w:val="203"/>
        </w:trPr>
        <w:tc>
          <w:tcPr>
            <w:tcW w:w="4200" w:type="dxa"/>
            <w:vAlign w:val="bottom"/>
          </w:tcPr>
          <w:p>
            <w:pPr>
              <w:spacing w:after="0"/>
              <w:rPr>
                <w:sz w:val="20"/>
                <w:szCs w:val="20"/>
                <w:color w:val="auto"/>
              </w:rPr>
            </w:pPr>
            <w:r>
              <w:rPr>
                <w:rFonts w:ascii="Arial" w:cs="Arial" w:eastAsia="Arial" w:hAnsi="Arial"/>
                <w:sz w:val="14"/>
                <w:szCs w:val="14"/>
                <w:color w:val="auto"/>
              </w:rPr>
              <w:t>Operating income (loss)</w:t>
            </w:r>
          </w:p>
        </w:tc>
        <w:tc>
          <w:tcPr>
            <w:tcW w:w="3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7,090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2,876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(143,820)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(27,073)</w:t>
            </w:r>
          </w:p>
        </w:tc>
      </w:tr>
      <w:tr>
        <w:trPr>
          <w:trHeight w:val="473"/>
        </w:trPr>
        <w:tc>
          <w:tcPr>
            <w:tcW w:w="4200" w:type="dxa"/>
            <w:vAlign w:val="bottom"/>
          </w:tcPr>
          <w:p>
            <w:pPr>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(3,646)</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(7,315)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(13,095)</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(20,670)</w:t>
            </w:r>
          </w:p>
        </w:tc>
      </w:tr>
      <w:tr>
        <w:trPr>
          <w:trHeight w:val="216"/>
        </w:trPr>
        <w:tc>
          <w:tcPr>
            <w:tcW w:w="4200" w:type="dxa"/>
            <w:vAlign w:val="bottom"/>
          </w:tcPr>
          <w:p>
            <w:pPr>
              <w:spacing w:after="0"/>
              <w:rPr>
                <w:sz w:val="20"/>
                <w:szCs w:val="20"/>
                <w:color w:val="auto"/>
              </w:rPr>
            </w:pPr>
            <w:r>
              <w:rPr>
                <w:rFonts w:ascii="Arial" w:cs="Arial" w:eastAsia="Arial" w:hAnsi="Arial"/>
                <w:sz w:val="14"/>
                <w:szCs w:val="14"/>
                <w:color w:val="auto"/>
              </w:rPr>
              <w:t>Loss on extinguishment of debt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4200" w:type="dxa"/>
            <w:vAlign w:val="bottom"/>
          </w:tcPr>
          <w:p>
            <w:pPr>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66</w:t>
            </w:r>
          </w:p>
        </w:tc>
      </w:tr>
      <w:tr>
        <w:trPr>
          <w:trHeight w:val="222"/>
        </w:trPr>
        <w:tc>
          <w:tcPr>
            <w:tcW w:w="4200" w:type="dxa"/>
            <w:vAlign w:val="bottom"/>
          </w:tcPr>
          <w:p>
            <w:pPr>
              <w:spacing w:after="0"/>
              <w:rPr>
                <w:sz w:val="20"/>
                <w:szCs w:val="20"/>
                <w:color w:val="auto"/>
              </w:rPr>
            </w:pPr>
            <w:r>
              <w:rPr>
                <w:rFonts w:ascii="Arial" w:cs="Arial" w:eastAsia="Arial" w:hAnsi="Arial"/>
                <w:sz w:val="14"/>
                <w:szCs w:val="14"/>
                <w:color w:val="auto"/>
              </w:rPr>
              <w:t>Other income</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4,542</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2,849</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17,209</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6,882</w:t>
            </w:r>
          </w:p>
        </w:tc>
      </w:tr>
      <w:tr>
        <w:trPr>
          <w:trHeight w:val="203"/>
        </w:trPr>
        <w:tc>
          <w:tcPr>
            <w:tcW w:w="4200" w:type="dxa"/>
            <w:vAlign w:val="bottom"/>
          </w:tcPr>
          <w:p>
            <w:pPr>
              <w:ind w:left="100"/>
              <w:spacing w:after="0"/>
              <w:rPr>
                <w:sz w:val="20"/>
                <w:szCs w:val="20"/>
                <w:color w:val="auto"/>
              </w:rPr>
            </w:pPr>
            <w:r>
              <w:rPr>
                <w:rFonts w:ascii="Arial" w:cs="Arial" w:eastAsia="Arial" w:hAnsi="Arial"/>
                <w:sz w:val="14"/>
                <w:szCs w:val="14"/>
                <w:color w:val="auto"/>
              </w:rPr>
              <w:t>Income (loss) before income taxes</w:t>
            </w:r>
          </w:p>
        </w:tc>
        <w:tc>
          <w:tcPr>
            <w:tcW w:w="3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7,603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(140,069)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(40,795)</w:t>
            </w:r>
          </w:p>
        </w:tc>
      </w:tr>
      <w:tr>
        <w:trPr>
          <w:trHeight w:val="222"/>
        </w:trPr>
        <w:tc>
          <w:tcPr>
            <w:tcW w:w="420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6,629</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8,509</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13,963</w:t>
            </w:r>
          </w:p>
        </w:tc>
      </w:tr>
      <w:tr>
        <w:trPr>
          <w:trHeight w:val="203"/>
        </w:trPr>
        <w:tc>
          <w:tcPr>
            <w:tcW w:w="4200" w:type="dxa"/>
            <w:vAlign w:val="bottom"/>
          </w:tcPr>
          <w:p>
            <w:pPr>
              <w:spacing w:after="0"/>
              <w:rPr>
                <w:sz w:val="20"/>
                <w:szCs w:val="20"/>
                <w:color w:val="auto"/>
              </w:rPr>
            </w:pPr>
            <w:r>
              <w:rPr>
                <w:rFonts w:ascii="Arial" w:cs="Arial" w:eastAsia="Arial" w:hAnsi="Arial"/>
                <w:sz w:val="14"/>
                <w:szCs w:val="14"/>
                <w:color w:val="auto"/>
              </w:rPr>
              <w:t>Net income (loss)</w:t>
            </w:r>
          </w:p>
        </w:tc>
        <w:tc>
          <w:tcPr>
            <w:tcW w:w="3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7,423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5,056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(131,560)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(26,832)</w:t>
            </w:r>
          </w:p>
        </w:tc>
      </w:tr>
      <w:tr>
        <w:trPr>
          <w:trHeight w:val="222"/>
        </w:trPr>
        <w:tc>
          <w:tcPr>
            <w:tcW w:w="4200" w:type="dxa"/>
            <w:vAlign w:val="bottom"/>
          </w:tcPr>
          <w:p>
            <w:pPr>
              <w:ind w:left="100"/>
              <w:spacing w:after="0"/>
              <w:rPr>
                <w:sz w:val="20"/>
                <w:szCs w:val="20"/>
                <w:color w:val="auto"/>
              </w:rPr>
            </w:pPr>
            <w:r>
              <w:rPr>
                <w:rFonts w:ascii="Arial" w:cs="Arial" w:eastAsia="Arial" w:hAnsi="Arial"/>
                <w:sz w:val="14"/>
                <w:szCs w:val="14"/>
                <w:color w:val="auto"/>
              </w:rPr>
              <w:t>Less: Net income attributable to noncontrolling interest</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434</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914</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w:t>
            </w:r>
          </w:p>
        </w:tc>
      </w:tr>
      <w:tr>
        <w:trPr>
          <w:trHeight w:val="204"/>
        </w:trPr>
        <w:tc>
          <w:tcPr>
            <w:tcW w:w="420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3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6,989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4,996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(132,474)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(26,892)</w:t>
            </w:r>
          </w:p>
        </w:tc>
      </w:tr>
      <w:tr>
        <w:trPr>
          <w:trHeight w:val="222"/>
        </w:trPr>
        <w:tc>
          <w:tcPr>
            <w:tcW w:w="4200" w:type="dxa"/>
            <w:vAlign w:val="bottom"/>
          </w:tcPr>
          <w:p>
            <w:pPr>
              <w:ind w:left="100"/>
              <w:spacing w:after="0"/>
              <w:rPr>
                <w:sz w:val="20"/>
                <w:szCs w:val="20"/>
                <w:color w:val="auto"/>
              </w:rPr>
            </w:pPr>
            <w:r>
              <w:rPr>
                <w:rFonts w:ascii="Arial" w:cs="Arial" w:eastAsia="Arial" w:hAnsi="Arial"/>
                <w:sz w:val="14"/>
                <w:szCs w:val="14"/>
                <w:color w:val="auto"/>
              </w:rPr>
              <w:t>Less: Dividends attributable to Class A preferred shares</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472</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1,411</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1,384</w:t>
            </w:r>
          </w:p>
        </w:tc>
      </w:tr>
      <w:tr>
        <w:trPr>
          <w:trHeight w:val="215"/>
        </w:trPr>
        <w:tc>
          <w:tcPr>
            <w:tcW w:w="4200" w:type="dxa"/>
            <w:vAlign w:val="bottom"/>
          </w:tcPr>
          <w:p>
            <w:pPr>
              <w:spacing w:after="0"/>
              <w:rPr>
                <w:sz w:val="20"/>
                <w:szCs w:val="20"/>
                <w:color w:val="auto"/>
              </w:rPr>
            </w:pPr>
            <w:r>
              <w:rPr>
                <w:rFonts w:ascii="Arial" w:cs="Arial" w:eastAsia="Arial" w:hAnsi="Arial"/>
                <w:sz w:val="14"/>
                <w:szCs w:val="14"/>
                <w:color w:val="auto"/>
              </w:rPr>
              <w:t>Net income (loss) attributable to Civeo common shareholders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6,517</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4,532</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(133,885)</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(28,276)</w:t>
            </w:r>
          </w:p>
        </w:tc>
      </w:tr>
      <w:tr>
        <w:trPr>
          <w:trHeight w:val="20"/>
        </w:trPr>
        <w:tc>
          <w:tcPr>
            <w:tcW w:w="4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17"/>
        </w:trPr>
        <w:tc>
          <w:tcPr>
            <w:tcW w:w="4520" w:type="dxa"/>
            <w:vAlign w:val="bottom"/>
            <w:gridSpan w:val="2"/>
          </w:tcPr>
          <w:p>
            <w:pPr>
              <w:spacing w:after="0"/>
              <w:rPr>
                <w:sz w:val="20"/>
                <w:szCs w:val="20"/>
                <w:color w:val="auto"/>
              </w:rPr>
            </w:pPr>
            <w:r>
              <w:rPr>
                <w:rFonts w:ascii="Arial" w:cs="Arial" w:eastAsia="Arial" w:hAnsi="Arial"/>
                <w:sz w:val="14"/>
                <w:szCs w:val="14"/>
                <w:color w:val="auto"/>
              </w:rPr>
              <w:t>Net income (loss) per share attributable to Civeo Corporation common</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4200" w:type="dxa"/>
            <w:vAlign w:val="bottom"/>
          </w:tcPr>
          <w:p>
            <w:pPr>
              <w:spacing w:after="0"/>
              <w:rPr>
                <w:sz w:val="20"/>
                <w:szCs w:val="20"/>
                <w:color w:val="auto"/>
              </w:rPr>
            </w:pPr>
            <w:r>
              <w:rPr>
                <w:rFonts w:ascii="Arial" w:cs="Arial" w:eastAsia="Arial" w:hAnsi="Arial"/>
                <w:sz w:val="14"/>
                <w:szCs w:val="14"/>
                <w:color w:val="auto"/>
              </w:rPr>
              <w:t>shareholders:</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6"/>
        </w:trPr>
        <w:tc>
          <w:tcPr>
            <w:tcW w:w="4200" w:type="dxa"/>
            <w:vAlign w:val="bottom"/>
          </w:tcPr>
          <w:p>
            <w:pPr>
              <w:ind w:left="100"/>
              <w:spacing w:after="0"/>
              <w:rPr>
                <w:sz w:val="20"/>
                <w:szCs w:val="20"/>
                <w:color w:val="auto"/>
              </w:rPr>
            </w:pPr>
            <w:r>
              <w:rPr>
                <w:rFonts w:ascii="Arial" w:cs="Arial" w:eastAsia="Arial" w:hAnsi="Arial"/>
                <w:sz w:val="14"/>
                <w:szCs w:val="14"/>
                <w:color w:val="auto"/>
              </w:rPr>
              <w:t>Basic</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0.03</w:t>
            </w:r>
          </w:p>
        </w:tc>
        <w:tc>
          <w:tcPr>
            <w:tcW w:w="1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0.02</w:t>
            </w:r>
          </w:p>
        </w:tc>
        <w:tc>
          <w:tcPr>
            <w:tcW w:w="24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(0.79)</w:t>
            </w:r>
          </w:p>
        </w:tc>
        <w:tc>
          <w:tcPr>
            <w:tcW w:w="1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(0.17)</w:t>
            </w:r>
          </w:p>
        </w:tc>
      </w:tr>
      <w:tr>
        <w:trPr>
          <w:trHeight w:val="216"/>
        </w:trPr>
        <w:tc>
          <w:tcPr>
            <w:tcW w:w="4200" w:type="dxa"/>
            <w:vAlign w:val="bottom"/>
          </w:tcPr>
          <w:p>
            <w:pPr>
              <w:ind w:left="100"/>
              <w:spacing w:after="0"/>
              <w:rPr>
                <w:sz w:val="20"/>
                <w:szCs w:val="20"/>
                <w:color w:val="auto"/>
              </w:rPr>
            </w:pPr>
            <w:r>
              <w:rPr>
                <w:rFonts w:ascii="Arial" w:cs="Arial" w:eastAsia="Arial" w:hAnsi="Arial"/>
                <w:sz w:val="14"/>
                <w:szCs w:val="14"/>
                <w:color w:val="auto"/>
              </w:rPr>
              <w:t>Diluted</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0.03</w:t>
            </w:r>
          </w:p>
        </w:tc>
        <w:tc>
          <w:tcPr>
            <w:tcW w:w="1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0.02</w:t>
            </w:r>
          </w:p>
        </w:tc>
        <w:tc>
          <w:tcPr>
            <w:tcW w:w="24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(0.79)</w:t>
            </w:r>
          </w:p>
        </w:tc>
        <w:tc>
          <w:tcPr>
            <w:tcW w:w="1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(0.17)</w:t>
            </w:r>
          </w:p>
        </w:tc>
      </w:tr>
      <w:tr>
        <w:trPr>
          <w:trHeight w:val="473"/>
        </w:trPr>
        <w:tc>
          <w:tcPr>
            <w:tcW w:w="420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4200" w:type="dxa"/>
            <w:vAlign w:val="bottom"/>
          </w:tcPr>
          <w:p>
            <w:pPr>
              <w:ind w:left="100"/>
              <w:spacing w:after="0"/>
              <w:rPr>
                <w:sz w:val="20"/>
                <w:szCs w:val="20"/>
                <w:color w:val="auto"/>
              </w:rPr>
            </w:pPr>
            <w:r>
              <w:rPr>
                <w:rFonts w:ascii="Arial" w:cs="Arial" w:eastAsia="Arial" w:hAnsi="Arial"/>
                <w:sz w:val="14"/>
                <w:szCs w:val="14"/>
                <w:color w:val="auto"/>
              </w:rPr>
              <w:t>Basic</w:t>
            </w:r>
          </w:p>
        </w:tc>
        <w:tc>
          <w:tcPr>
            <w:tcW w:w="3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169,924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167,640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169,420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166,842</w:t>
            </w:r>
          </w:p>
        </w:tc>
      </w:tr>
      <w:tr>
        <w:trPr>
          <w:trHeight w:val="216"/>
        </w:trPr>
        <w:tc>
          <w:tcPr>
            <w:tcW w:w="4200" w:type="dxa"/>
            <w:vAlign w:val="bottom"/>
          </w:tcPr>
          <w:p>
            <w:pPr>
              <w:ind w:left="10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170,544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168,282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169,420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166,842</w:t>
            </w:r>
          </w:p>
        </w:tc>
      </w:tr>
    </w:tbl>
    <w:p>
      <w:pPr>
        <w:sectPr>
          <w:pgSz w:w="11900" w:h="16838" w:orient="portrait"/>
          <w:cols w:equalWidth="0" w:num="1">
            <w:col w:w="9180"/>
          </w:cols>
          <w:pgMar w:left="1360" w:top="886" w:right="1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34" w:lineRule="exact"/>
        <w:rPr>
          <w:sz w:val="20"/>
          <w:szCs w:val="20"/>
          <w:color w:val="auto"/>
        </w:rPr>
      </w:pPr>
    </w:p>
    <w:tbl>
      <w:tblPr>
        <w:tblLayout w:type="fixed"/>
        <w:tblInd w:w="102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204"/>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2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6,938</w:t>
            </w:r>
          </w:p>
        </w:tc>
        <w:tc>
          <w:tcPr>
            <w:tcW w:w="20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3,331</w:t>
            </w:r>
          </w:p>
        </w:tc>
        <w:tc>
          <w:tcPr>
            <w:tcW w:w="0" w:type="dxa"/>
            <w:vAlign w:val="bottom"/>
          </w:tcPr>
          <w:p>
            <w:pPr>
              <w:spacing w:after="0"/>
              <w:rPr>
                <w:sz w:val="1"/>
                <w:szCs w:val="1"/>
                <w:color w:val="auto"/>
              </w:rPr>
            </w:pPr>
          </w:p>
        </w:tc>
      </w:tr>
      <w:tr>
        <w:trPr>
          <w:trHeight w:val="243"/>
        </w:trPr>
        <w:tc>
          <w:tcPr>
            <w:tcW w:w="372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92,754</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99,493</w:t>
            </w:r>
          </w:p>
        </w:tc>
        <w:tc>
          <w:tcPr>
            <w:tcW w:w="0" w:type="dxa"/>
            <w:vAlign w:val="bottom"/>
          </w:tcPr>
          <w:p>
            <w:pPr>
              <w:spacing w:after="0"/>
              <w:rPr>
                <w:sz w:val="1"/>
                <w:szCs w:val="1"/>
                <w:color w:val="auto"/>
              </w:rPr>
            </w:pPr>
          </w:p>
        </w:tc>
      </w:tr>
      <w:tr>
        <w:trPr>
          <w:trHeight w:val="243"/>
        </w:trPr>
        <w:tc>
          <w:tcPr>
            <w:tcW w:w="3720" w:type="dxa"/>
            <w:vAlign w:val="bottom"/>
          </w:tcPr>
          <w:p>
            <w:pPr>
              <w:ind w:left="10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5,775</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5,877</w:t>
            </w:r>
          </w:p>
        </w:tc>
        <w:tc>
          <w:tcPr>
            <w:tcW w:w="0" w:type="dxa"/>
            <w:vAlign w:val="bottom"/>
          </w:tcPr>
          <w:p>
            <w:pPr>
              <w:spacing w:after="0"/>
              <w:rPr>
                <w:sz w:val="1"/>
                <w:szCs w:val="1"/>
                <w:color w:val="auto"/>
              </w:rPr>
            </w:pPr>
          </w:p>
        </w:tc>
      </w:tr>
      <w:tr>
        <w:trPr>
          <w:trHeight w:val="243"/>
        </w:trPr>
        <w:tc>
          <w:tcPr>
            <w:tcW w:w="3720" w:type="dxa"/>
            <w:vAlign w:val="bottom"/>
          </w:tcPr>
          <w:p>
            <w:pPr>
              <w:ind w:left="100"/>
              <w:spacing w:after="0"/>
              <w:rPr>
                <w:sz w:val="20"/>
                <w:szCs w:val="20"/>
                <w:color w:val="auto"/>
              </w:rPr>
            </w:pPr>
            <w:r>
              <w:rPr>
                <w:rFonts w:ascii="Arial" w:cs="Arial" w:eastAsia="Arial" w:hAnsi="Arial"/>
                <w:sz w:val="16"/>
                <w:szCs w:val="16"/>
                <w:color w:val="auto"/>
              </w:rPr>
              <w:t>Assets held for sale</w:t>
            </w:r>
          </w:p>
        </w:tc>
        <w:tc>
          <w:tcPr>
            <w:tcW w:w="160" w:type="dxa"/>
            <w:vAlign w:val="bottom"/>
          </w:tcPr>
          <w:p>
            <w:pPr>
              <w:spacing w:after="0"/>
              <w:rPr>
                <w:sz w:val="21"/>
                <w:szCs w:val="21"/>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7,589</w:t>
            </w:r>
          </w:p>
        </w:tc>
        <w:tc>
          <w:tcPr>
            <w:tcW w:w="0" w:type="dxa"/>
            <w:vAlign w:val="bottom"/>
          </w:tcPr>
          <w:p>
            <w:pPr>
              <w:spacing w:after="0"/>
              <w:rPr>
                <w:sz w:val="1"/>
                <w:szCs w:val="1"/>
                <w:color w:val="auto"/>
              </w:rPr>
            </w:pPr>
          </w:p>
        </w:tc>
      </w:tr>
      <w:tr>
        <w:trPr>
          <w:trHeight w:val="256"/>
        </w:trPr>
        <w:tc>
          <w:tcPr>
            <w:tcW w:w="3720" w:type="dxa"/>
            <w:vAlign w:val="bottom"/>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17,106</w:t>
            </w:r>
          </w:p>
        </w:tc>
        <w:tc>
          <w:tcPr>
            <w:tcW w:w="2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15,151</w:t>
            </w:r>
          </w:p>
        </w:tc>
        <w:tc>
          <w:tcPr>
            <w:tcW w:w="0" w:type="dxa"/>
            <w:vAlign w:val="bottom"/>
          </w:tcPr>
          <w:p>
            <w:pPr>
              <w:spacing w:after="0"/>
              <w:rPr>
                <w:sz w:val="1"/>
                <w:szCs w:val="1"/>
                <w:color w:val="auto"/>
              </w:rPr>
            </w:pPr>
          </w:p>
        </w:tc>
      </w:tr>
      <w:tr>
        <w:trPr>
          <w:trHeight w:val="224"/>
        </w:trPr>
        <w:tc>
          <w:tcPr>
            <w:tcW w:w="372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122,573</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131,441</w:t>
            </w:r>
          </w:p>
        </w:tc>
        <w:tc>
          <w:tcPr>
            <w:tcW w:w="0" w:type="dxa"/>
            <w:vAlign w:val="bottom"/>
          </w:tcPr>
          <w:p>
            <w:pPr>
              <w:spacing w:after="0"/>
              <w:rPr>
                <w:sz w:val="1"/>
                <w:szCs w:val="1"/>
                <w:color w:val="auto"/>
              </w:rPr>
            </w:pPr>
          </w:p>
        </w:tc>
      </w:tr>
      <w:tr>
        <w:trPr>
          <w:trHeight w:val="459"/>
        </w:trPr>
        <w:tc>
          <w:tcPr>
            <w:tcW w:w="37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481,394</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590,309</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Arial" w:cs="Arial" w:eastAsia="Arial" w:hAnsi="Arial"/>
                <w:sz w:val="16"/>
                <w:szCs w:val="16"/>
                <w:color w:val="auto"/>
              </w:rPr>
              <w:t>Goodwill, net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8,086</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110,173</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98,907</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111,837</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20,426</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24,876</w:t>
            </w:r>
          </w:p>
        </w:tc>
        <w:tc>
          <w:tcPr>
            <w:tcW w:w="0" w:type="dxa"/>
            <w:vAlign w:val="bottom"/>
          </w:tcPr>
          <w:p>
            <w:pPr>
              <w:spacing w:after="0"/>
              <w:rPr>
                <w:sz w:val="1"/>
                <w:szCs w:val="1"/>
                <w:color w:val="auto"/>
              </w:rPr>
            </w:pPr>
          </w:p>
        </w:tc>
      </w:tr>
      <w:tr>
        <w:trPr>
          <w:trHeight w:val="256"/>
        </w:trPr>
        <w:tc>
          <w:tcPr>
            <w:tcW w:w="37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w:t>
            </w:r>
          </w:p>
        </w:tc>
        <w:tc>
          <w:tcPr>
            <w:tcW w:w="2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732,936</w:t>
            </w:r>
          </w:p>
        </w:tc>
        <w:tc>
          <w:tcPr>
            <w:tcW w:w="2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969,912</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3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37,116</w:t>
            </w:r>
          </w:p>
        </w:tc>
        <w:tc>
          <w:tcPr>
            <w:tcW w:w="20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36,971</w:t>
            </w:r>
          </w:p>
        </w:tc>
        <w:tc>
          <w:tcPr>
            <w:tcW w:w="0" w:type="dxa"/>
            <w:vAlign w:val="bottom"/>
          </w:tcPr>
          <w:p>
            <w:pPr>
              <w:spacing w:after="0"/>
              <w:rPr>
                <w:sz w:val="1"/>
                <w:szCs w:val="1"/>
                <w:color w:val="auto"/>
              </w:rPr>
            </w:pPr>
          </w:p>
        </w:tc>
      </w:tr>
      <w:tr>
        <w:trPr>
          <w:trHeight w:val="243"/>
        </w:trPr>
        <w:tc>
          <w:tcPr>
            <w:tcW w:w="3720" w:type="dxa"/>
            <w:vAlign w:val="bottom"/>
          </w:tcPr>
          <w:p>
            <w:pPr>
              <w:ind w:left="10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22,229</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21,755</w:t>
            </w:r>
          </w:p>
        </w:tc>
        <w:tc>
          <w:tcPr>
            <w:tcW w:w="0" w:type="dxa"/>
            <w:vAlign w:val="bottom"/>
          </w:tcPr>
          <w:p>
            <w:pPr>
              <w:spacing w:after="0"/>
              <w:rPr>
                <w:sz w:val="1"/>
                <w:szCs w:val="1"/>
                <w:color w:val="auto"/>
              </w:rPr>
            </w:pPr>
          </w:p>
        </w:tc>
      </w:tr>
      <w:tr>
        <w:trPr>
          <w:trHeight w:val="243"/>
        </w:trPr>
        <w:tc>
          <w:tcPr>
            <w:tcW w:w="3720" w:type="dxa"/>
            <w:vAlign w:val="bottom"/>
          </w:tcPr>
          <w:p>
            <w:pPr>
              <w:ind w:left="100"/>
              <w:spacing w:after="0"/>
              <w:rPr>
                <w:sz w:val="20"/>
                <w:szCs w:val="20"/>
                <w:color w:val="auto"/>
              </w:rPr>
            </w:pPr>
            <w:r>
              <w:rPr>
                <w:rFonts w:ascii="Arial" w:cs="Arial" w:eastAsia="Arial" w:hAnsi="Arial"/>
                <w:sz w:val="16"/>
                <w:szCs w:val="16"/>
                <w:color w:val="auto"/>
              </w:rPr>
              <w:t>Income taxes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379</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43"/>
        </w:trPr>
        <w:tc>
          <w:tcPr>
            <w:tcW w:w="3720" w:type="dxa"/>
            <w:vAlign w:val="bottom"/>
          </w:tcPr>
          <w:p>
            <w:pPr>
              <w:ind w:left="10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32,978</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35,080</w:t>
            </w:r>
          </w:p>
        </w:tc>
        <w:tc>
          <w:tcPr>
            <w:tcW w:w="0" w:type="dxa"/>
            <w:vAlign w:val="bottom"/>
          </w:tcPr>
          <w:p>
            <w:pPr>
              <w:spacing w:after="0"/>
              <w:rPr>
                <w:sz w:val="1"/>
                <w:szCs w:val="1"/>
                <w:color w:val="auto"/>
              </w:rPr>
            </w:pPr>
          </w:p>
        </w:tc>
      </w:tr>
      <w:tr>
        <w:trPr>
          <w:trHeight w:val="243"/>
        </w:trPr>
        <w:tc>
          <w:tcPr>
            <w:tcW w:w="3720" w:type="dxa"/>
            <w:vAlign w:val="bottom"/>
          </w:tcPr>
          <w:p>
            <w:pPr>
              <w:ind w:left="10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7,801</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7,165</w:t>
            </w:r>
          </w:p>
        </w:tc>
        <w:tc>
          <w:tcPr>
            <w:tcW w:w="0" w:type="dxa"/>
            <w:vAlign w:val="bottom"/>
          </w:tcPr>
          <w:p>
            <w:pPr>
              <w:spacing w:after="0"/>
              <w:rPr>
                <w:sz w:val="1"/>
                <w:szCs w:val="1"/>
                <w:color w:val="auto"/>
              </w:rPr>
            </w:pPr>
          </w:p>
        </w:tc>
      </w:tr>
      <w:tr>
        <w:trPr>
          <w:trHeight w:val="256"/>
        </w:trPr>
        <w:tc>
          <w:tcPr>
            <w:tcW w:w="3720" w:type="dxa"/>
            <w:vAlign w:val="bottom"/>
          </w:tcPr>
          <w:p>
            <w:pPr>
              <w:ind w:left="10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6,353</w:t>
            </w:r>
          </w:p>
        </w:tc>
        <w:tc>
          <w:tcPr>
            <w:tcW w:w="2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8,741</w:t>
            </w:r>
          </w:p>
        </w:tc>
        <w:tc>
          <w:tcPr>
            <w:tcW w:w="0" w:type="dxa"/>
            <w:vAlign w:val="bottom"/>
          </w:tcPr>
          <w:p>
            <w:pPr>
              <w:spacing w:after="0"/>
              <w:rPr>
                <w:sz w:val="1"/>
                <w:szCs w:val="1"/>
                <w:color w:val="auto"/>
              </w:rPr>
            </w:pPr>
          </w:p>
        </w:tc>
      </w:tr>
      <w:tr>
        <w:trPr>
          <w:trHeight w:val="224"/>
        </w:trPr>
        <w:tc>
          <w:tcPr>
            <w:tcW w:w="372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106,856</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110,040</w:t>
            </w:r>
          </w:p>
        </w:tc>
        <w:tc>
          <w:tcPr>
            <w:tcW w:w="0" w:type="dxa"/>
            <w:vAlign w:val="bottom"/>
          </w:tcPr>
          <w:p>
            <w:pPr>
              <w:spacing w:after="0"/>
              <w:rPr>
                <w:sz w:val="1"/>
                <w:szCs w:val="1"/>
                <w:color w:val="auto"/>
              </w:rPr>
            </w:pPr>
          </w:p>
        </w:tc>
      </w:tr>
      <w:tr>
        <w:trPr>
          <w:trHeight w:val="459"/>
        </w:trPr>
        <w:tc>
          <w:tcPr>
            <w:tcW w:w="3720" w:type="dxa"/>
            <w:vAlign w:val="bottom"/>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236,876</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321,792</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1"/>
                <w:szCs w:val="21"/>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9,452</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Arial" w:cs="Arial" w:eastAsia="Arial" w:hAnsi="Arial"/>
                <w:sz w:val="16"/>
                <w:szCs w:val="16"/>
                <w:color w:val="auto"/>
              </w:rPr>
              <w:t>Operating leases liabilities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18,035</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21,231</w:t>
            </w:r>
          </w:p>
        </w:tc>
        <w:tc>
          <w:tcPr>
            <w:tcW w:w="0" w:type="dxa"/>
            <w:vAlign w:val="bottom"/>
          </w:tcPr>
          <w:p>
            <w:pPr>
              <w:spacing w:after="0"/>
              <w:rPr>
                <w:sz w:val="1"/>
                <w:szCs w:val="1"/>
                <w:color w:val="auto"/>
              </w:rPr>
            </w:pPr>
          </w:p>
        </w:tc>
      </w:tr>
      <w:tr>
        <w:trPr>
          <w:trHeight w:val="256"/>
        </w:trPr>
        <w:tc>
          <w:tcPr>
            <w:tcW w:w="37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17,557</w:t>
            </w:r>
          </w:p>
        </w:tc>
        <w:tc>
          <w:tcPr>
            <w:tcW w:w="2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16,592</w:t>
            </w:r>
          </w:p>
        </w:tc>
        <w:tc>
          <w:tcPr>
            <w:tcW w:w="0" w:type="dxa"/>
            <w:vAlign w:val="bottom"/>
          </w:tcPr>
          <w:p>
            <w:pPr>
              <w:spacing w:after="0"/>
              <w:rPr>
                <w:sz w:val="1"/>
                <w:szCs w:val="1"/>
                <w:color w:val="auto"/>
              </w:rPr>
            </w:pPr>
          </w:p>
        </w:tc>
      </w:tr>
      <w:tr>
        <w:trPr>
          <w:trHeight w:val="223"/>
        </w:trPr>
        <w:tc>
          <w:tcPr>
            <w:tcW w:w="372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379,324</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479,107</w:t>
            </w:r>
          </w:p>
        </w:tc>
        <w:tc>
          <w:tcPr>
            <w:tcW w:w="0" w:type="dxa"/>
            <w:vAlign w:val="bottom"/>
          </w:tcPr>
          <w:p>
            <w:pPr>
              <w:spacing w:after="0"/>
              <w:rPr>
                <w:sz w:val="1"/>
                <w:szCs w:val="1"/>
                <w:color w:val="auto"/>
              </w:rPr>
            </w:pPr>
          </w:p>
        </w:tc>
      </w:tr>
      <w:tr>
        <w:trPr>
          <w:trHeight w:val="459"/>
        </w:trPr>
        <w:tc>
          <w:tcPr>
            <w:tcW w:w="372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00"/>
              <w:spacing w:after="0"/>
              <w:rPr>
                <w:sz w:val="20"/>
                <w:szCs w:val="20"/>
                <w:color w:val="auto"/>
              </w:rPr>
            </w:pPr>
            <w:r>
              <w:rPr>
                <w:rFonts w:ascii="Arial" w:cs="Arial" w:eastAsia="Arial" w:hAnsi="Arial"/>
                <w:sz w:val="16"/>
                <w:szCs w:val="16"/>
                <w:color w:val="auto"/>
              </w:rPr>
              <w:t>Preferred shares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59,540</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58,129</w:t>
            </w:r>
          </w:p>
        </w:tc>
        <w:tc>
          <w:tcPr>
            <w:tcW w:w="0" w:type="dxa"/>
            <w:vAlign w:val="bottom"/>
          </w:tcPr>
          <w:p>
            <w:pPr>
              <w:spacing w:after="0"/>
              <w:rPr>
                <w:sz w:val="1"/>
                <w:szCs w:val="1"/>
                <w:color w:val="auto"/>
              </w:rPr>
            </w:pPr>
          </w:p>
        </w:tc>
      </w:tr>
      <w:tr>
        <w:trPr>
          <w:trHeight w:val="243"/>
        </w:trPr>
        <w:tc>
          <w:tcPr>
            <w:tcW w:w="3720" w:type="dxa"/>
            <w:vAlign w:val="bottom"/>
          </w:tcPr>
          <w:p>
            <w:pPr>
              <w:ind w:left="100"/>
              <w:spacing w:after="0"/>
              <w:rPr>
                <w:sz w:val="20"/>
                <w:szCs w:val="20"/>
                <w:color w:val="auto"/>
              </w:rPr>
            </w:pPr>
            <w:r>
              <w:rPr>
                <w:rFonts w:ascii="Arial" w:cs="Arial" w:eastAsia="Arial" w:hAnsi="Arial"/>
                <w:sz w:val="16"/>
                <w:szCs w:val="16"/>
                <w:color w:val="auto"/>
              </w:rPr>
              <w:t>Common shares</w:t>
            </w:r>
          </w:p>
        </w:tc>
        <w:tc>
          <w:tcPr>
            <w:tcW w:w="160" w:type="dxa"/>
            <w:vAlign w:val="bottom"/>
          </w:tcPr>
          <w:p>
            <w:pPr>
              <w:spacing w:after="0"/>
              <w:rPr>
                <w:sz w:val="21"/>
                <w:szCs w:val="21"/>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72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1,577,053</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1,572,249</w:t>
            </w:r>
          </w:p>
        </w:tc>
        <w:tc>
          <w:tcPr>
            <w:tcW w:w="0" w:type="dxa"/>
            <w:vAlign w:val="bottom"/>
          </w:tcPr>
          <w:p>
            <w:pPr>
              <w:spacing w:after="0"/>
              <w:rPr>
                <w:sz w:val="1"/>
                <w:szCs w:val="1"/>
                <w:color w:val="auto"/>
              </w:rPr>
            </w:pPr>
          </w:p>
        </w:tc>
      </w:tr>
      <w:tr>
        <w:trPr>
          <w:trHeight w:val="243"/>
        </w:trPr>
        <w:tc>
          <w:tcPr>
            <w:tcW w:w="3720" w:type="dxa"/>
            <w:vAlign w:val="bottom"/>
          </w:tcPr>
          <w:p>
            <w:pPr>
              <w:ind w:left="10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(905,475)</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(771,590)</w:t>
            </w:r>
          </w:p>
        </w:tc>
        <w:tc>
          <w:tcPr>
            <w:tcW w:w="0" w:type="dxa"/>
            <w:vAlign w:val="bottom"/>
          </w:tcPr>
          <w:p>
            <w:pPr>
              <w:spacing w:after="0"/>
              <w:rPr>
                <w:sz w:val="1"/>
                <w:szCs w:val="1"/>
                <w:color w:val="auto"/>
              </w:rPr>
            </w:pPr>
          </w:p>
        </w:tc>
      </w:tr>
      <w:tr>
        <w:trPr>
          <w:trHeight w:val="243"/>
        </w:trPr>
        <w:tc>
          <w:tcPr>
            <w:tcW w:w="3720" w:type="dxa"/>
            <w:vAlign w:val="bottom"/>
          </w:tcPr>
          <w:p>
            <w:pPr>
              <w:ind w:left="10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(6,930)</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(5,472)</w:t>
            </w:r>
          </w:p>
        </w:tc>
        <w:tc>
          <w:tcPr>
            <w:tcW w:w="0" w:type="dxa"/>
            <w:vAlign w:val="bottom"/>
          </w:tcPr>
          <w:p>
            <w:pPr>
              <w:spacing w:after="0"/>
              <w:rPr>
                <w:sz w:val="1"/>
                <w:szCs w:val="1"/>
                <w:color w:val="auto"/>
              </w:rPr>
            </w:pPr>
          </w:p>
        </w:tc>
      </w:tr>
      <w:tr>
        <w:trPr>
          <w:trHeight w:val="256"/>
        </w:trPr>
        <w:tc>
          <w:tcPr>
            <w:tcW w:w="3720" w:type="dxa"/>
            <w:vAlign w:val="bottom"/>
          </w:tcPr>
          <w:p>
            <w:pPr>
              <w:ind w:left="10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(371,212)</w:t>
            </w:r>
          </w:p>
        </w:tc>
        <w:tc>
          <w:tcPr>
            <w:tcW w:w="2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(363,173)</w:t>
            </w:r>
          </w:p>
        </w:tc>
        <w:tc>
          <w:tcPr>
            <w:tcW w:w="0" w:type="dxa"/>
            <w:vAlign w:val="bottom"/>
          </w:tcPr>
          <w:p>
            <w:pPr>
              <w:spacing w:after="0"/>
              <w:rPr>
                <w:sz w:val="1"/>
                <w:szCs w:val="1"/>
                <w:color w:val="auto"/>
              </w:rPr>
            </w:pPr>
          </w:p>
        </w:tc>
      </w:tr>
      <w:tr>
        <w:trPr>
          <w:trHeight w:val="236"/>
        </w:trPr>
        <w:tc>
          <w:tcPr>
            <w:tcW w:w="3720" w:type="dxa"/>
            <w:vAlign w:val="bottom"/>
          </w:tcPr>
          <w:p>
            <w:pPr>
              <w:ind w:left="180"/>
              <w:spacing w:after="0"/>
              <w:rPr>
                <w:sz w:val="20"/>
                <w:szCs w:val="20"/>
                <w:color w:val="auto"/>
              </w:rPr>
            </w:pPr>
            <w:r>
              <w:rPr>
                <w:rFonts w:ascii="Arial" w:cs="Arial" w:eastAsia="Arial" w:hAnsi="Arial"/>
                <w:sz w:val="16"/>
                <w:szCs w:val="16"/>
                <w:color w:val="auto"/>
              </w:rPr>
              <w:t>Total Civeo Corporation shareholders' equity</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352,976</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490,143</w:t>
            </w: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36"/>
        </w:trPr>
        <w:tc>
          <w:tcPr>
            <w:tcW w:w="3720" w:type="dxa"/>
            <w:vAlign w:val="bottom"/>
          </w:tcPr>
          <w:p>
            <w:pPr>
              <w:ind w:left="10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353,612</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490,805</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732,936</w:t>
            </w:r>
          </w:p>
        </w:tc>
        <w:tc>
          <w:tcPr>
            <w:tcW w:w="2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969,912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1"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34" w:lineRule="exact"/>
        <w:rPr>
          <w:sz w:val="20"/>
          <w:szCs w:val="20"/>
          <w:color w:val="auto"/>
        </w:rPr>
      </w:pPr>
    </w:p>
    <w:p>
      <w:pPr>
        <w:jc w:val="center"/>
        <w:ind w:left="5760"/>
        <w:spacing w:after="0"/>
        <w:rPr>
          <w:sz w:val="20"/>
          <w:szCs w:val="20"/>
          <w:color w:val="auto"/>
        </w:rPr>
      </w:pPr>
      <w:r>
        <w:rPr>
          <w:rFonts w:ascii="Arial" w:cs="Arial" w:eastAsia="Arial" w:hAnsi="Arial"/>
          <w:sz w:val="16"/>
          <w:szCs w:val="16"/>
          <w:b w:val="1"/>
          <w:bCs w:val="1"/>
          <w:color w:val="auto"/>
        </w:rPr>
        <w:t>Nine Months Ended</w:t>
      </w:r>
    </w:p>
    <w:p>
      <w:pPr>
        <w:spacing w:after="0" w:line="25" w:lineRule="exact"/>
        <w:rPr>
          <w:sz w:val="20"/>
          <w:szCs w:val="20"/>
          <w:color w:val="auto"/>
        </w:rPr>
      </w:pPr>
    </w:p>
    <w:p>
      <w:pPr>
        <w:jc w:val="center"/>
        <w:ind w:left="5760"/>
        <w:spacing w:after="0"/>
        <w:rPr>
          <w:sz w:val="20"/>
          <w:szCs w:val="20"/>
          <w:color w:val="auto"/>
        </w:rPr>
      </w:pPr>
      <w:r>
        <w:rPr>
          <w:rFonts w:ascii="Arial" w:cs="Arial" w:eastAsia="Arial" w:hAnsi="Arial"/>
          <w:sz w:val="16"/>
          <w:szCs w:val="16"/>
          <w:b w:val="1"/>
          <w:bCs w:val="1"/>
          <w:color w:val="auto"/>
        </w:rPr>
        <w:t>September 30,</w:t>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5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467"/>
        </w:trPr>
        <w:tc>
          <w:tcPr>
            <w:tcW w:w="576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(131,560)</w:t>
            </w:r>
          </w:p>
        </w:tc>
        <w:tc>
          <w:tcPr>
            <w:tcW w:w="18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(26,832)</w:t>
            </w:r>
          </w:p>
        </w:tc>
      </w:tr>
      <w:tr>
        <w:trPr>
          <w:trHeight w:val="243"/>
        </w:trPr>
        <w:tc>
          <w:tcPr>
            <w:tcW w:w="576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76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72,527</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92,974</w:t>
            </w:r>
          </w:p>
        </w:tc>
      </w:tr>
      <w:tr>
        <w:trPr>
          <w:trHeight w:val="243"/>
        </w:trPr>
        <w:tc>
          <w:tcPr>
            <w:tcW w:w="576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144,120</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5,546</w:t>
            </w:r>
          </w:p>
        </w:tc>
      </w:tr>
      <w:tr>
        <w:trPr>
          <w:trHeight w:val="243"/>
        </w:trPr>
        <w:tc>
          <w:tcPr>
            <w:tcW w:w="5760" w:type="dxa"/>
            <w:vAlign w:val="bottom"/>
          </w:tcPr>
          <w:p>
            <w:pPr>
              <w:ind w:left="120"/>
              <w:spacing w:after="0"/>
              <w:rPr>
                <w:sz w:val="20"/>
                <w:szCs w:val="20"/>
                <w:color w:val="auto"/>
              </w:rPr>
            </w:pPr>
            <w:r>
              <w:rPr>
                <w:rFonts w:ascii="Arial" w:cs="Arial" w:eastAsia="Arial" w:hAnsi="Arial"/>
                <w:sz w:val="16"/>
                <w:szCs w:val="16"/>
                <w:color w:val="auto"/>
              </w:rPr>
              <w:t>Loss on extinguishment of debt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383</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760" w:type="dxa"/>
            <w:vAlign w:val="bottom"/>
          </w:tcPr>
          <w:p>
            <w:pPr>
              <w:ind w:left="120"/>
              <w:spacing w:after="0"/>
              <w:rPr>
                <w:sz w:val="20"/>
                <w:szCs w:val="20"/>
                <w:color w:val="auto"/>
              </w:rPr>
            </w:pPr>
            <w:r>
              <w:rPr>
                <w:rFonts w:ascii="Arial" w:cs="Arial" w:eastAsia="Arial" w:hAnsi="Arial"/>
                <w:sz w:val="16"/>
                <w:szCs w:val="16"/>
                <w:color w:val="auto"/>
              </w:rPr>
              <w:t>Deferred income tax benefit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(8,941)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(14,732)</w:t>
            </w:r>
          </w:p>
        </w:tc>
      </w:tr>
      <w:tr>
        <w:trPr>
          <w:trHeight w:val="243"/>
        </w:trPr>
        <w:tc>
          <w:tcPr>
            <w:tcW w:w="576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4,804</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7,601</w:t>
            </w:r>
          </w:p>
        </w:tc>
      </w:tr>
      <w:tr>
        <w:trPr>
          <w:trHeight w:val="243"/>
        </w:trPr>
        <w:tc>
          <w:tcPr>
            <w:tcW w:w="5760" w:type="dxa"/>
            <w:vAlign w:val="bottom"/>
          </w:tcPr>
          <w:p>
            <w:pPr>
              <w:ind w:left="120"/>
              <w:spacing w:after="0"/>
              <w:rPr>
                <w:sz w:val="20"/>
                <w:szCs w:val="20"/>
                <w:color w:val="auto"/>
              </w:rPr>
            </w:pPr>
            <w:r>
              <w:rPr>
                <w:rFonts w:ascii="Arial" w:cs="Arial" w:eastAsia="Arial" w:hAnsi="Arial"/>
                <w:sz w:val="16"/>
                <w:szCs w:val="16"/>
                <w:color w:val="auto"/>
              </w:rPr>
              <w:t>Gains on disposals of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(2,581)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(4,095)</w:t>
            </w:r>
          </w:p>
        </w:tc>
      </w:tr>
      <w:tr>
        <w:trPr>
          <w:trHeight w:val="243"/>
        </w:trPr>
        <w:tc>
          <w:tcPr>
            <w:tcW w:w="5760" w:type="dxa"/>
            <w:vAlign w:val="bottom"/>
          </w:tcPr>
          <w:p>
            <w:pPr>
              <w:ind w:left="120"/>
              <w:spacing w:after="0"/>
              <w:rPr>
                <w:sz w:val="20"/>
                <w:szCs w:val="20"/>
                <w:color w:val="auto"/>
              </w:rPr>
            </w:pPr>
            <w:r>
              <w:rPr>
                <w:rFonts w:ascii="Arial" w:cs="Arial" w:eastAsia="Arial" w:hAnsi="Arial"/>
                <w:sz w:val="16"/>
                <w:szCs w:val="16"/>
                <w:color w:val="auto"/>
              </w:rPr>
              <w:t>Provision (benefit) for loss on receivables, net of recoveries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43"/>
        </w:trPr>
        <w:tc>
          <w:tcPr>
            <w:tcW w:w="576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(2,730)</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2,530</w:t>
            </w:r>
          </w:p>
        </w:tc>
      </w:tr>
      <w:tr>
        <w:trPr>
          <w:trHeight w:val="243"/>
        </w:trPr>
        <w:tc>
          <w:tcPr>
            <w:tcW w:w="576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76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5,355</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(30,227)</w:t>
            </w:r>
          </w:p>
        </w:tc>
      </w:tr>
      <w:tr>
        <w:trPr>
          <w:trHeight w:val="243"/>
        </w:trPr>
        <w:tc>
          <w:tcPr>
            <w:tcW w:w="576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194</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(1,175)</w:t>
            </w:r>
          </w:p>
        </w:tc>
      </w:tr>
      <w:tr>
        <w:trPr>
          <w:trHeight w:val="243"/>
        </w:trPr>
        <w:tc>
          <w:tcPr>
            <w:tcW w:w="576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1,247</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4,958</w:t>
            </w:r>
          </w:p>
        </w:tc>
      </w:tr>
      <w:tr>
        <w:trPr>
          <w:trHeight w:val="243"/>
        </w:trPr>
        <w:tc>
          <w:tcPr>
            <w:tcW w:w="576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256"/>
        </w:trPr>
        <w:tc>
          <w:tcPr>
            <w:tcW w:w="5760" w:type="dxa"/>
            <w:vAlign w:val="bottom"/>
          </w:tcPr>
          <w:p>
            <w:pPr>
              <w:ind w:left="200"/>
              <w:spacing w:after="0"/>
              <w:rPr>
                <w:sz w:val="20"/>
                <w:szCs w:val="20"/>
                <w:color w:val="auto"/>
              </w:rPr>
            </w:pPr>
            <w:r>
              <w:rPr>
                <w:rFonts w:ascii="Arial" w:cs="Arial" w:eastAsia="Arial" w:hAnsi="Arial"/>
                <w:sz w:val="16"/>
                <w:szCs w:val="16"/>
                <w:color w:val="auto"/>
              </w:rPr>
              <w:t>Other current assets and liabilities, net</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(2,239)</w:t>
            </w: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(3,328)</w:t>
            </w:r>
          </w:p>
        </w:tc>
      </w:tr>
      <w:tr>
        <w:trPr>
          <w:trHeight w:val="223"/>
        </w:trPr>
        <w:tc>
          <w:tcPr>
            <w:tcW w:w="5760" w:type="dxa"/>
            <w:vAlign w:val="bottom"/>
          </w:tcPr>
          <w:p>
            <w:pPr>
              <w:ind w:left="320"/>
              <w:spacing w:after="0"/>
              <w:rPr>
                <w:sz w:val="20"/>
                <w:szCs w:val="20"/>
                <w:color w:val="auto"/>
              </w:rPr>
            </w:pPr>
            <w:r>
              <w:rPr>
                <w:rFonts w:ascii="Arial" w:cs="Arial" w:eastAsia="Arial" w:hAnsi="Arial"/>
                <w:sz w:val="16"/>
                <w:szCs w:val="16"/>
                <w:color w:val="auto"/>
              </w:rPr>
              <w:t>Net cash flows provided by operating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80,675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33,526</w:t>
            </w:r>
          </w:p>
        </w:tc>
      </w:tr>
      <w:tr>
        <w:trPr>
          <w:trHeight w:val="500"/>
        </w:trPr>
        <w:tc>
          <w:tcPr>
            <w:tcW w:w="57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576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(6,244)</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(25,517)</w:t>
            </w:r>
          </w:p>
        </w:tc>
      </w:tr>
      <w:tr>
        <w:trPr>
          <w:trHeight w:val="243"/>
        </w:trPr>
        <w:tc>
          <w:tcPr>
            <w:tcW w:w="5760" w:type="dxa"/>
            <w:vAlign w:val="bottom"/>
          </w:tcPr>
          <w:p>
            <w:pPr>
              <w:ind w:left="120"/>
              <w:spacing w:after="0"/>
              <w:rPr>
                <w:sz w:val="20"/>
                <w:szCs w:val="20"/>
                <w:color w:val="auto"/>
              </w:rPr>
            </w:pPr>
            <w:r>
              <w:rPr>
                <w:rFonts w:ascii="Arial" w:cs="Arial" w:eastAsia="Arial" w:hAnsi="Arial"/>
                <w:sz w:val="16"/>
                <w:szCs w:val="16"/>
                <w:color w:val="auto"/>
              </w:rPr>
              <w:t>Payments related to acquisitions, net of cash acquired</w:t>
            </w:r>
          </w:p>
        </w:tc>
        <w:tc>
          <w:tcPr>
            <w:tcW w:w="34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(16,439)</w:t>
            </w:r>
          </w:p>
        </w:tc>
      </w:tr>
      <w:tr>
        <w:trPr>
          <w:trHeight w:val="243"/>
        </w:trPr>
        <w:tc>
          <w:tcPr>
            <w:tcW w:w="5760" w:type="dxa"/>
            <w:vAlign w:val="bottom"/>
          </w:tcPr>
          <w:p>
            <w:pPr>
              <w:ind w:left="120"/>
              <w:spacing w:after="0"/>
              <w:rPr>
                <w:sz w:val="20"/>
                <w:szCs w:val="20"/>
                <w:color w:val="auto"/>
              </w:rPr>
            </w:pPr>
            <w:r>
              <w:rPr>
                <w:rFonts w:ascii="Arial" w:cs="Arial" w:eastAsia="Arial" w:hAnsi="Arial"/>
                <w:sz w:val="16"/>
                <w:szCs w:val="16"/>
                <w:color w:val="auto"/>
              </w:rPr>
              <w:t>Proceeds from disposition of property, plant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3,336</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5,482</w:t>
            </w:r>
          </w:p>
        </w:tc>
      </w:tr>
      <w:tr>
        <w:trPr>
          <w:trHeight w:val="256"/>
        </w:trPr>
        <w:tc>
          <w:tcPr>
            <w:tcW w:w="576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4,619</w:t>
            </w: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w:t>
            </w:r>
          </w:p>
        </w:tc>
      </w:tr>
      <w:tr>
        <w:trPr>
          <w:trHeight w:val="223"/>
        </w:trPr>
        <w:tc>
          <w:tcPr>
            <w:tcW w:w="5760" w:type="dxa"/>
            <w:vAlign w:val="bottom"/>
          </w:tcPr>
          <w:p>
            <w:pPr>
              <w:ind w:left="320"/>
              <w:spacing w:after="0"/>
              <w:rPr>
                <w:sz w:val="20"/>
                <w:szCs w:val="20"/>
                <w:color w:val="auto"/>
              </w:rPr>
            </w:pPr>
            <w:r>
              <w:rPr>
                <w:rFonts w:ascii="Arial" w:cs="Arial" w:eastAsia="Arial" w:hAnsi="Arial"/>
                <w:sz w:val="16"/>
                <w:szCs w:val="16"/>
                <w:color w:val="auto"/>
              </w:rPr>
              <w:t>Net cash flows provided by (used in) investing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1,711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(34,712)</w:t>
            </w:r>
          </w:p>
        </w:tc>
      </w:tr>
      <w:tr>
        <w:trPr>
          <w:trHeight w:val="500"/>
        </w:trPr>
        <w:tc>
          <w:tcPr>
            <w:tcW w:w="57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5760" w:type="dxa"/>
            <w:vAlign w:val="bottom"/>
          </w:tcPr>
          <w:p>
            <w:pPr>
              <w:ind w:left="120"/>
              <w:spacing w:after="0"/>
              <w:rPr>
                <w:sz w:val="20"/>
                <w:szCs w:val="20"/>
                <w:color w:val="auto"/>
              </w:rPr>
            </w:pPr>
            <w:r>
              <w:rPr>
                <w:rFonts w:ascii="Arial" w:cs="Arial" w:eastAsia="Arial" w:hAnsi="Arial"/>
                <w:sz w:val="16"/>
                <w:szCs w:val="16"/>
                <w:color w:val="auto"/>
              </w:rPr>
              <w:t>Term loan repayments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(31,092)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(26,085)</w:t>
            </w:r>
          </w:p>
        </w:tc>
      </w:tr>
      <w:tr>
        <w:trPr>
          <w:trHeight w:val="243"/>
        </w:trPr>
        <w:tc>
          <w:tcPr>
            <w:tcW w:w="576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(44,511)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29,548</w:t>
            </w:r>
          </w:p>
        </w:tc>
      </w:tr>
      <w:tr>
        <w:trPr>
          <w:trHeight w:val="243"/>
        </w:trPr>
        <w:tc>
          <w:tcPr>
            <w:tcW w:w="5760" w:type="dxa"/>
            <w:vAlign w:val="bottom"/>
          </w:tcPr>
          <w:p>
            <w:pPr>
              <w:ind w:left="120"/>
              <w:spacing w:after="0"/>
              <w:rPr>
                <w:sz w:val="20"/>
                <w:szCs w:val="20"/>
                <w:color w:val="auto"/>
              </w:rPr>
            </w:pPr>
            <w:r>
              <w:rPr>
                <w:rFonts w:ascii="Arial" w:cs="Arial" w:eastAsia="Arial" w:hAnsi="Arial"/>
                <w:sz w:val="16"/>
                <w:szCs w:val="16"/>
                <w:color w:val="auto"/>
              </w:rPr>
              <w:t>Debt issuance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(2,583)</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(1,950)</w:t>
            </w:r>
          </w:p>
        </w:tc>
      </w:tr>
      <w:tr>
        <w:trPr>
          <w:trHeight w:val="256"/>
        </w:trPr>
        <w:tc>
          <w:tcPr>
            <w:tcW w:w="5760" w:type="dxa"/>
            <w:vAlign w:val="bottom"/>
          </w:tcPr>
          <w:p>
            <w:pPr>
              <w:ind w:left="120"/>
              <w:spacing w:after="0"/>
              <w:rPr>
                <w:sz w:val="20"/>
                <w:szCs w:val="20"/>
                <w:color w:val="auto"/>
              </w:rPr>
            </w:pPr>
            <w:r>
              <w:rPr>
                <w:rFonts w:ascii="Arial" w:cs="Arial" w:eastAsia="Arial" w:hAnsi="Arial"/>
                <w:sz w:val="16"/>
                <w:szCs w:val="16"/>
                <w:color w:val="auto"/>
              </w:rPr>
              <w:t>Taxes paid on vested shares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w:t>
            </w: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(4,283)</w:t>
            </w:r>
          </w:p>
        </w:tc>
      </w:tr>
      <w:tr>
        <w:trPr>
          <w:trHeight w:val="223"/>
        </w:trPr>
        <w:tc>
          <w:tcPr>
            <w:tcW w:w="5760" w:type="dxa"/>
            <w:vAlign w:val="bottom"/>
          </w:tcPr>
          <w:p>
            <w:pPr>
              <w:ind w:left="320"/>
              <w:spacing w:after="0"/>
              <w:rPr>
                <w:sz w:val="20"/>
                <w:szCs w:val="20"/>
                <w:color w:val="auto"/>
              </w:rPr>
            </w:pPr>
            <w:r>
              <w:rPr>
                <w:rFonts w:ascii="Arial" w:cs="Arial" w:eastAsia="Arial" w:hAnsi="Arial"/>
                <w:sz w:val="16"/>
                <w:szCs w:val="16"/>
                <w:color w:val="auto"/>
              </w:rPr>
              <w:t>Net cash flows used in financing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(79,644)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(2,770)</w:t>
            </w:r>
          </w:p>
        </w:tc>
      </w:tr>
      <w:tr>
        <w:trPr>
          <w:trHeight w:val="513"/>
        </w:trPr>
        <w:tc>
          <w:tcPr>
            <w:tcW w:w="576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r>
      <w:tr>
        <w:trPr>
          <w:trHeight w:val="223"/>
        </w:trPr>
        <w:tc>
          <w:tcPr>
            <w:tcW w:w="576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3,607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(4,300)</w:t>
            </w:r>
          </w:p>
        </w:tc>
      </w:tr>
      <w:tr>
        <w:trPr>
          <w:trHeight w:val="513"/>
        </w:trPr>
        <w:tc>
          <w:tcPr>
            <w:tcW w:w="576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3,331</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12,372</w:t>
            </w:r>
          </w:p>
        </w:tc>
      </w:tr>
      <w:tr>
        <w:trPr>
          <w:trHeight w:val="243"/>
        </w:trPr>
        <w:tc>
          <w:tcPr>
            <w:tcW w:w="576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6,938</w:t>
            </w:r>
          </w:p>
        </w:tc>
        <w:tc>
          <w:tcPr>
            <w:tcW w:w="18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8,072</w:t>
            </w:r>
          </w:p>
        </w:tc>
      </w:tr>
      <w:tr>
        <w:trPr>
          <w:trHeight w:val="20"/>
        </w:trPr>
        <w:tc>
          <w:tcPr>
            <w:tcW w:w="5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91" w:right="1440"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SEGMENT DATA</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4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95"/>
              </w:rPr>
              <w:t>2019</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71,785</w:t>
            </w:r>
          </w:p>
        </w:tc>
        <w:tc>
          <w:tcPr>
            <w:tcW w:w="180" w:type="dxa"/>
            <w:vAlign w:val="bottom"/>
          </w:tcPr>
          <w:p>
            <w:pPr>
              <w:spacing w:after="0"/>
              <w:rPr>
                <w:sz w:val="21"/>
                <w:szCs w:val="21"/>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91,071</w:t>
            </w:r>
          </w:p>
        </w:tc>
        <w:tc>
          <w:tcPr>
            <w:tcW w:w="18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204,119</w:t>
            </w:r>
          </w:p>
        </w:tc>
        <w:tc>
          <w:tcPr>
            <w:tcW w:w="180" w:type="dxa"/>
            <w:vAlign w:val="bottom"/>
          </w:tcPr>
          <w:p>
            <w:pPr>
              <w:spacing w:after="0"/>
              <w:rPr>
                <w:sz w:val="21"/>
                <w:szCs w:val="21"/>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235,943</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64,685</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47,743</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170,869</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107,160</w:t>
            </w:r>
          </w:p>
        </w:tc>
        <w:tc>
          <w:tcPr>
            <w:tcW w:w="0" w:type="dxa"/>
            <w:vAlign w:val="bottom"/>
          </w:tcPr>
          <w:p>
            <w:pPr>
              <w:spacing w:after="0"/>
              <w:rPr>
                <w:sz w:val="1"/>
                <w:szCs w:val="1"/>
                <w:color w:val="auto"/>
              </w:rPr>
            </w:pPr>
          </w:p>
        </w:tc>
      </w:tr>
      <w:tr>
        <w:trPr>
          <w:trHeight w:val="256"/>
        </w:trPr>
        <w:tc>
          <w:tcPr>
            <w:tcW w:w="334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6,387</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9,349</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21,363</w:t>
            </w:r>
          </w:p>
        </w:tc>
        <w:tc>
          <w:tcPr>
            <w:tcW w:w="1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35,763</w:t>
            </w:r>
          </w:p>
        </w:tc>
        <w:tc>
          <w:tcPr>
            <w:tcW w:w="0" w:type="dxa"/>
            <w:vAlign w:val="bottom"/>
          </w:tcPr>
          <w:p>
            <w:pPr>
              <w:spacing w:after="0"/>
              <w:rPr>
                <w:sz w:val="1"/>
                <w:szCs w:val="1"/>
                <w:color w:val="auto"/>
              </w:rPr>
            </w:pPr>
          </w:p>
        </w:tc>
      </w:tr>
      <w:tr>
        <w:trPr>
          <w:trHeight w:val="243"/>
        </w:trPr>
        <w:tc>
          <w:tcPr>
            <w:tcW w:w="3340" w:type="dxa"/>
            <w:vAlign w:val="bottom"/>
          </w:tcPr>
          <w:p>
            <w:pPr>
              <w:ind w:left="42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142,857</w:t>
            </w:r>
          </w:p>
        </w:tc>
        <w:tc>
          <w:tcPr>
            <w:tcW w:w="18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148,163</w:t>
            </w:r>
          </w:p>
        </w:tc>
        <w:tc>
          <w:tcPr>
            <w:tcW w:w="18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396,351</w:t>
            </w:r>
          </w:p>
        </w:tc>
        <w:tc>
          <w:tcPr>
            <w:tcW w:w="18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378,866</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3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21,289</w:t>
            </w:r>
          </w:p>
        </w:tc>
        <w:tc>
          <w:tcPr>
            <w:tcW w:w="180" w:type="dxa"/>
            <w:vAlign w:val="bottom"/>
          </w:tcPr>
          <w:p>
            <w:pPr>
              <w:spacing w:after="0"/>
              <w:rPr>
                <w:sz w:val="21"/>
                <w:szCs w:val="21"/>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24,955</w:t>
            </w:r>
          </w:p>
        </w:tc>
        <w:tc>
          <w:tcPr>
            <w:tcW w:w="18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(78,976)</w:t>
            </w:r>
          </w:p>
        </w:tc>
        <w:tc>
          <w:tcPr>
            <w:tcW w:w="180" w:type="dxa"/>
            <w:vAlign w:val="bottom"/>
          </w:tcPr>
          <w:p>
            <w:pPr>
              <w:spacing w:after="0"/>
              <w:rPr>
                <w:sz w:val="21"/>
                <w:szCs w:val="21"/>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51,434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21,517</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17,915</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56,476</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34,308</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(1,478)</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252</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(14,920)</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5,634</w:t>
            </w:r>
          </w:p>
        </w:tc>
        <w:tc>
          <w:tcPr>
            <w:tcW w:w="0" w:type="dxa"/>
            <w:vAlign w:val="bottom"/>
          </w:tcPr>
          <w:p>
            <w:pPr>
              <w:spacing w:after="0"/>
              <w:rPr>
                <w:sz w:val="1"/>
                <w:szCs w:val="1"/>
                <w:color w:val="auto"/>
              </w:rPr>
            </w:pPr>
          </w:p>
        </w:tc>
      </w:tr>
      <w:tr>
        <w:trPr>
          <w:trHeight w:val="256"/>
        </w:trPr>
        <w:tc>
          <w:tcPr>
            <w:tcW w:w="3340" w:type="dxa"/>
            <w:vAlign w:val="bottom"/>
          </w:tcPr>
          <w:p>
            <w:pPr>
              <w:ind w:left="180"/>
              <w:spacing w:after="0"/>
              <w:rPr>
                <w:sz w:val="20"/>
                <w:szCs w:val="20"/>
                <w:color w:val="auto"/>
              </w:rPr>
            </w:pPr>
            <w:r>
              <w:rPr>
                <w:rFonts w:ascii="Arial" w:cs="Arial" w:eastAsia="Arial" w:hAnsi="Arial"/>
                <w:sz w:val="16"/>
                <w:szCs w:val="16"/>
                <w:color w:val="auto"/>
              </w:rPr>
              <w:t>Corporate and eliminations</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(5,310)</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(6,261)</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(17,578)</w:t>
            </w:r>
          </w:p>
        </w:tc>
        <w:tc>
          <w:tcPr>
            <w:tcW w:w="1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(18,653)</w:t>
            </w:r>
          </w:p>
        </w:tc>
        <w:tc>
          <w:tcPr>
            <w:tcW w:w="0" w:type="dxa"/>
            <w:vAlign w:val="bottom"/>
          </w:tcPr>
          <w:p>
            <w:pPr>
              <w:spacing w:after="0"/>
              <w:rPr>
                <w:sz w:val="1"/>
                <w:szCs w:val="1"/>
                <w:color w:val="auto"/>
              </w:rPr>
            </w:pPr>
          </w:p>
        </w:tc>
      </w:tr>
      <w:tr>
        <w:trPr>
          <w:trHeight w:val="243"/>
        </w:trPr>
        <w:tc>
          <w:tcPr>
            <w:tcW w:w="3340" w:type="dxa"/>
            <w:vAlign w:val="bottom"/>
          </w:tcPr>
          <w:p>
            <w:pPr>
              <w:ind w:left="420"/>
              <w:spacing w:after="0"/>
              <w:rPr>
                <w:sz w:val="20"/>
                <w:szCs w:val="20"/>
                <w:color w:val="auto"/>
              </w:rPr>
            </w:pPr>
            <w:r>
              <w:rPr>
                <w:rFonts w:ascii="Arial" w:cs="Arial" w:eastAsia="Arial" w:hAnsi="Arial"/>
                <w:sz w:val="16"/>
                <w:szCs w:val="16"/>
                <w:color w:val="auto"/>
              </w:rPr>
              <w:t>Total EBITDA</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36,018</w:t>
            </w:r>
          </w:p>
        </w:tc>
        <w:tc>
          <w:tcPr>
            <w:tcW w:w="18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36,861</w:t>
            </w:r>
          </w:p>
        </w:tc>
        <w:tc>
          <w:tcPr>
            <w:tcW w:w="18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(54,998)</w:t>
            </w:r>
          </w:p>
        </w:tc>
        <w:tc>
          <w:tcPr>
            <w:tcW w:w="18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72,723</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3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21,289</w:t>
            </w:r>
          </w:p>
        </w:tc>
        <w:tc>
          <w:tcPr>
            <w:tcW w:w="180" w:type="dxa"/>
            <w:vAlign w:val="bottom"/>
          </w:tcPr>
          <w:p>
            <w:pPr>
              <w:spacing w:after="0"/>
              <w:rPr>
                <w:sz w:val="21"/>
                <w:szCs w:val="21"/>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24,955</w:t>
            </w:r>
          </w:p>
        </w:tc>
        <w:tc>
          <w:tcPr>
            <w:tcW w:w="18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48,015</w:t>
            </w:r>
          </w:p>
        </w:tc>
        <w:tc>
          <w:tcPr>
            <w:tcW w:w="180" w:type="dxa"/>
            <w:vAlign w:val="bottom"/>
          </w:tcPr>
          <w:p>
            <w:pPr>
              <w:spacing w:after="0"/>
              <w:rPr>
                <w:sz w:val="21"/>
                <w:szCs w:val="21"/>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51,434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21,517</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17,207</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56,476</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40,070</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(1,478)</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252</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(2,481)</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5,634</w:t>
            </w:r>
          </w:p>
        </w:tc>
        <w:tc>
          <w:tcPr>
            <w:tcW w:w="0" w:type="dxa"/>
            <w:vAlign w:val="bottom"/>
          </w:tcPr>
          <w:p>
            <w:pPr>
              <w:spacing w:after="0"/>
              <w:rPr>
                <w:sz w:val="1"/>
                <w:szCs w:val="1"/>
                <w:color w:val="auto"/>
              </w:rPr>
            </w:pPr>
          </w:p>
        </w:tc>
      </w:tr>
      <w:tr>
        <w:trPr>
          <w:trHeight w:val="256"/>
        </w:trPr>
        <w:tc>
          <w:tcPr>
            <w:tcW w:w="3340" w:type="dxa"/>
            <w:vAlign w:val="bottom"/>
          </w:tcPr>
          <w:p>
            <w:pPr>
              <w:ind w:left="180"/>
              <w:spacing w:after="0"/>
              <w:rPr>
                <w:sz w:val="20"/>
                <w:szCs w:val="20"/>
                <w:color w:val="auto"/>
              </w:rPr>
            </w:pPr>
            <w:r>
              <w:rPr>
                <w:rFonts w:ascii="Arial" w:cs="Arial" w:eastAsia="Arial" w:hAnsi="Arial"/>
                <w:sz w:val="16"/>
                <w:szCs w:val="16"/>
                <w:color w:val="auto"/>
              </w:rPr>
              <w:t>Corporate and eliminations</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(5,310)</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(6,261)</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(17,578)</w:t>
            </w:r>
          </w:p>
        </w:tc>
        <w:tc>
          <w:tcPr>
            <w:tcW w:w="1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(18,653)</w:t>
            </w:r>
          </w:p>
        </w:tc>
        <w:tc>
          <w:tcPr>
            <w:tcW w:w="0" w:type="dxa"/>
            <w:vAlign w:val="bottom"/>
          </w:tcPr>
          <w:p>
            <w:pPr>
              <w:spacing w:after="0"/>
              <w:rPr>
                <w:sz w:val="1"/>
                <w:szCs w:val="1"/>
                <w:color w:val="auto"/>
              </w:rPr>
            </w:pPr>
          </w:p>
        </w:tc>
      </w:tr>
      <w:tr>
        <w:trPr>
          <w:trHeight w:val="243"/>
        </w:trPr>
        <w:tc>
          <w:tcPr>
            <w:tcW w:w="3340" w:type="dxa"/>
            <w:vAlign w:val="bottom"/>
          </w:tcPr>
          <w:p>
            <w:pPr>
              <w:ind w:left="420"/>
              <w:spacing w:after="0"/>
              <w:rPr>
                <w:sz w:val="20"/>
                <w:szCs w:val="20"/>
                <w:color w:val="auto"/>
              </w:rPr>
            </w:pPr>
            <w:r>
              <w:rPr>
                <w:rFonts w:ascii="Arial" w:cs="Arial" w:eastAsia="Arial" w:hAnsi="Arial"/>
                <w:sz w:val="16"/>
                <w:szCs w:val="16"/>
                <w:color w:val="auto"/>
              </w:rPr>
              <w:t>Total adjusted EBITDA</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36,018</w:t>
            </w:r>
          </w:p>
        </w:tc>
        <w:tc>
          <w:tcPr>
            <w:tcW w:w="18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36,153</w:t>
            </w:r>
          </w:p>
        </w:tc>
        <w:tc>
          <w:tcPr>
            <w:tcW w:w="18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84,432</w:t>
            </w:r>
          </w:p>
        </w:tc>
        <w:tc>
          <w:tcPr>
            <w:tcW w:w="18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78,485</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3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1,007</w:t>
            </w:r>
          </w:p>
        </w:tc>
        <w:tc>
          <w:tcPr>
            <w:tcW w:w="180" w:type="dxa"/>
            <w:vAlign w:val="bottom"/>
          </w:tcPr>
          <w:p>
            <w:pPr>
              <w:spacing w:after="0"/>
              <w:rPr>
                <w:sz w:val="21"/>
                <w:szCs w:val="21"/>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2,919</w:t>
            </w:r>
          </w:p>
        </w:tc>
        <w:tc>
          <w:tcPr>
            <w:tcW w:w="18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(142,343)</w:t>
            </w:r>
          </w:p>
        </w:tc>
        <w:tc>
          <w:tcPr>
            <w:tcW w:w="180" w:type="dxa"/>
            <w:vAlign w:val="bottom"/>
          </w:tcPr>
          <w:p>
            <w:pPr>
              <w:spacing w:after="0"/>
              <w:rPr>
                <w:sz w:val="21"/>
                <w:szCs w:val="21"/>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(14,437)</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9,890</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4,662</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24,245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(1,302)</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(3,197)</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(2,167)</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(19,954)</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(4,484)</w:t>
            </w:r>
          </w:p>
        </w:tc>
        <w:tc>
          <w:tcPr>
            <w:tcW w:w="0" w:type="dxa"/>
            <w:vAlign w:val="bottom"/>
          </w:tcPr>
          <w:p>
            <w:pPr>
              <w:spacing w:after="0"/>
              <w:rPr>
                <w:sz w:val="1"/>
                <w:szCs w:val="1"/>
                <w:color w:val="auto"/>
              </w:rPr>
            </w:pPr>
          </w:p>
        </w:tc>
      </w:tr>
      <w:tr>
        <w:trPr>
          <w:trHeight w:val="256"/>
        </w:trPr>
        <w:tc>
          <w:tcPr>
            <w:tcW w:w="3340" w:type="dxa"/>
            <w:vAlign w:val="bottom"/>
          </w:tcPr>
          <w:p>
            <w:pPr>
              <w:ind w:left="180"/>
              <w:spacing w:after="0"/>
              <w:rPr>
                <w:sz w:val="20"/>
                <w:szCs w:val="20"/>
                <w:color w:val="auto"/>
              </w:rPr>
            </w:pPr>
            <w:r>
              <w:rPr>
                <w:rFonts w:ascii="Arial" w:cs="Arial" w:eastAsia="Arial" w:hAnsi="Arial"/>
                <w:sz w:val="16"/>
                <w:szCs w:val="16"/>
                <w:color w:val="auto"/>
              </w:rPr>
              <w:t>Corporate and eliminations</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(2,538)</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(5,768)</w:t>
            </w:r>
          </w:p>
        </w:tc>
        <w:tc>
          <w:tcPr>
            <w:tcW w:w="1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(6,850)</w:t>
            </w:r>
          </w:p>
        </w:tc>
        <w:tc>
          <w:tcPr>
            <w:tcW w:w="0" w:type="dxa"/>
            <w:vAlign w:val="bottom"/>
          </w:tcPr>
          <w:p>
            <w:pPr>
              <w:spacing w:after="0"/>
              <w:rPr>
                <w:sz w:val="1"/>
                <w:szCs w:val="1"/>
                <w:color w:val="auto"/>
              </w:rPr>
            </w:pPr>
          </w:p>
        </w:tc>
      </w:tr>
      <w:tr>
        <w:trPr>
          <w:trHeight w:val="243"/>
        </w:trPr>
        <w:tc>
          <w:tcPr>
            <w:tcW w:w="3340" w:type="dxa"/>
            <w:vAlign w:val="bottom"/>
          </w:tcPr>
          <w:p>
            <w:pPr>
              <w:ind w:left="420"/>
              <w:spacing w:after="0"/>
              <w:rPr>
                <w:sz w:val="20"/>
                <w:szCs w:val="20"/>
                <w:color w:val="auto"/>
              </w:rPr>
            </w:pPr>
            <w:r>
              <w:rPr>
                <w:rFonts w:ascii="Arial" w:cs="Arial" w:eastAsia="Arial" w:hAnsi="Arial"/>
                <w:sz w:val="16"/>
                <w:szCs w:val="16"/>
                <w:color w:val="auto"/>
              </w:rPr>
              <w:t>Total operating income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7,090</w:t>
            </w:r>
          </w:p>
        </w:tc>
        <w:tc>
          <w:tcPr>
            <w:tcW w:w="18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2,876</w:t>
            </w:r>
          </w:p>
        </w:tc>
        <w:tc>
          <w:tcPr>
            <w:tcW w:w="18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(143,820)</w:t>
            </w:r>
          </w:p>
        </w:tc>
        <w:tc>
          <w:tcPr>
            <w:tcW w:w="18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(27,073)</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160"/>
          </w:cols>
          <w:pgMar w:left="1380" w:top="891" w:right="1359" w:bottom="1440" w:gutter="0" w:footer="0" w:header="0"/>
        </w:sectPr>
      </w:pPr>
    </w:p>
    <w:bookmarkStart w:id="12" w:name="page13"/>
    <w:bookmarkEnd w:id="12"/>
    <w:p>
      <w:pPr>
        <w:jc w:val="center"/>
        <w:ind w:right="-5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NON-GAAP RECONCILIATIONS</w:t>
      </w:r>
    </w:p>
    <w:p>
      <w:pPr>
        <w:spacing w:after="0" w:line="5"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(unaudited)</w:t>
      </w:r>
    </w:p>
    <w:p>
      <w:pPr>
        <w:spacing w:after="0" w:line="377" w:lineRule="exact"/>
        <w:rPr>
          <w:sz w:val="20"/>
          <w:szCs w:val="20"/>
          <w:color w:val="auto"/>
        </w:rPr>
      </w:pPr>
    </w:p>
    <w:tbl>
      <w:tblPr>
        <w:tblLayout w:type="fixed"/>
        <w:tblInd w:w="2392" w:type="dxa"/>
        <w:tblCellMar>
          <w:top w:w="0" w:type="dxa"/>
          <w:left w:w="0" w:type="dxa"/>
          <w:bottom w:w="0" w:type="dxa"/>
          <w:right w:w="0" w:type="dxa"/>
        </w:tblCellMar>
      </w:tblPr>
      <w:tr>
        <w:trPr>
          <w:trHeight w:val="189"/>
        </w:trPr>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21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r>
      <w:tr>
        <w:trPr>
          <w:trHeight w:val="256"/>
        </w:trPr>
        <w:tc>
          <w:tcPr>
            <w:tcW w:w="16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r>
      <w:tr>
        <w:trPr>
          <w:trHeight w:val="480"/>
        </w:trPr>
        <w:tc>
          <w:tcPr>
            <w:tcW w:w="1640" w:type="dxa"/>
            <w:vAlign w:val="bottom"/>
          </w:tcPr>
          <w:p>
            <w:pPr>
              <w:spacing w:after="0"/>
              <w:rPr>
                <w:sz w:val="20"/>
                <w:szCs w:val="20"/>
                <w:color w:val="auto"/>
              </w:rPr>
            </w:pPr>
            <w:r>
              <w:rPr>
                <w:rFonts w:ascii="Arial" w:cs="Arial" w:eastAsia="Arial" w:hAnsi="Arial"/>
                <w:sz w:val="16"/>
                <w:szCs w:val="16"/>
                <w:color w:val="auto"/>
              </w:rPr>
              <w:t>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36,018</w:t>
            </w:r>
          </w:p>
        </w:tc>
        <w:tc>
          <w:tcPr>
            <w:tcW w:w="16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36,861</w:t>
            </w:r>
          </w:p>
        </w:tc>
        <w:tc>
          <w:tcPr>
            <w:tcW w:w="16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center"/>
              <w:ind w:left="79"/>
              <w:spacing w:after="0"/>
              <w:rPr>
                <w:sz w:val="20"/>
                <w:szCs w:val="20"/>
                <w:color w:val="auto"/>
              </w:rPr>
            </w:pPr>
            <w:r>
              <w:rPr>
                <w:rFonts w:ascii="Arial" w:cs="Arial" w:eastAsia="Arial" w:hAnsi="Arial"/>
                <w:sz w:val="16"/>
                <w:szCs w:val="16"/>
                <w:color w:val="auto"/>
              </w:rPr>
              <w:t>(54,998)</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72,723</w:t>
            </w:r>
          </w:p>
        </w:tc>
      </w:tr>
      <w:tr>
        <w:trPr>
          <w:trHeight w:val="243"/>
        </w:trPr>
        <w:tc>
          <w:tcPr>
            <w:tcW w:w="1640" w:type="dxa"/>
            <w:vAlign w:val="bottom"/>
          </w:tcPr>
          <w:p>
            <w:pPr>
              <w:spacing w:after="0"/>
              <w:rPr>
                <w:sz w:val="20"/>
                <w:szCs w:val="20"/>
                <w:color w:val="auto"/>
              </w:rPr>
            </w:pPr>
            <w:r>
              <w:rPr>
                <w:rFonts w:ascii="Arial" w:cs="Arial" w:eastAsia="Arial" w:hAnsi="Arial"/>
                <w:sz w:val="16"/>
                <w:szCs w:val="16"/>
                <w:color w:val="auto"/>
              </w:rPr>
              <w:t>Adjusted 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36,018</w:t>
            </w:r>
          </w:p>
        </w:tc>
        <w:tc>
          <w:tcPr>
            <w:tcW w:w="16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36,153</w:t>
            </w:r>
          </w:p>
        </w:tc>
        <w:tc>
          <w:tcPr>
            <w:tcW w:w="16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center"/>
              <w:ind w:left="99"/>
              <w:spacing w:after="0"/>
              <w:rPr>
                <w:sz w:val="20"/>
                <w:szCs w:val="20"/>
                <w:color w:val="auto"/>
              </w:rPr>
            </w:pPr>
            <w:r>
              <w:rPr>
                <w:rFonts w:ascii="Arial" w:cs="Arial" w:eastAsia="Arial" w:hAnsi="Arial"/>
                <w:sz w:val="16"/>
                <w:szCs w:val="16"/>
                <w:color w:val="auto"/>
              </w:rPr>
              <w:t>84,432</w:t>
            </w:r>
          </w:p>
        </w:tc>
        <w:tc>
          <w:tcPr>
            <w:tcW w:w="18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78,485</w:t>
            </w:r>
          </w:p>
        </w:tc>
      </w:tr>
      <w:tr>
        <w:trPr>
          <w:trHeight w:val="243"/>
        </w:trPr>
        <w:tc>
          <w:tcPr>
            <w:tcW w:w="1640" w:type="dxa"/>
            <w:vAlign w:val="bottom"/>
          </w:tcPr>
          <w:p>
            <w:pPr>
              <w:spacing w:after="0"/>
              <w:rPr>
                <w:sz w:val="20"/>
                <w:szCs w:val="20"/>
                <w:color w:val="auto"/>
              </w:rPr>
            </w:pPr>
            <w:r>
              <w:rPr>
                <w:rFonts w:ascii="Arial" w:cs="Arial" w:eastAsia="Arial" w:hAnsi="Arial"/>
                <w:sz w:val="16"/>
                <w:szCs w:val="16"/>
                <w:color w:val="auto"/>
              </w:rPr>
              <w:t>Free Cash Flow (2)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34,399</w:t>
            </w:r>
          </w:p>
        </w:tc>
        <w:tc>
          <w:tcPr>
            <w:tcW w:w="16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20,291</w:t>
            </w:r>
          </w:p>
        </w:tc>
        <w:tc>
          <w:tcPr>
            <w:tcW w:w="16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center"/>
              <w:ind w:left="99"/>
              <w:spacing w:after="0"/>
              <w:rPr>
                <w:sz w:val="20"/>
                <w:szCs w:val="20"/>
                <w:color w:val="auto"/>
              </w:rPr>
            </w:pPr>
            <w:r>
              <w:rPr>
                <w:rFonts w:ascii="Arial" w:cs="Arial" w:eastAsia="Arial" w:hAnsi="Arial"/>
                <w:sz w:val="16"/>
                <w:szCs w:val="16"/>
                <w:color w:val="auto"/>
              </w:rPr>
              <w:t>77,767</w:t>
            </w:r>
          </w:p>
        </w:tc>
        <w:tc>
          <w:tcPr>
            <w:tcW w:w="18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13,491</w:t>
            </w:r>
          </w:p>
        </w:tc>
      </w:tr>
    </w:tbl>
    <w:p>
      <w:pPr>
        <w:spacing w:after="0" w:line="332" w:lineRule="exact"/>
        <w:rPr>
          <w:sz w:val="20"/>
          <w:szCs w:val="20"/>
          <w:color w:val="auto"/>
        </w:rPr>
      </w:pPr>
    </w:p>
    <w:p>
      <w:pPr>
        <w:ind w:left="332" w:hanging="332"/>
        <w:spacing w:after="0" w:line="231" w:lineRule="auto"/>
        <w:tabs>
          <w:tab w:leader="none" w:pos="32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term EBITDA is defined as net income (loss) attributable to Civeo Corporation plus interest, taxes, depreciation and amortization. The term Adjusted EBITDA is defined as EBITDA adjusted to exclude impairment charges, adjustments regarding an asset retirement obligation recorded in the second and third quarter of 2019, proceeds from a representations and warranties claim related to a prior acquisition and certain costs associated with Civeo's acquisition of Action Catering.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the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39" w:lineRule="exact"/>
        <w:rPr>
          <w:rFonts w:ascii="Arial" w:cs="Arial" w:eastAsia="Arial" w:hAnsi="Arial"/>
          <w:sz w:val="16"/>
          <w:szCs w:val="16"/>
          <w:color w:val="auto"/>
        </w:rPr>
      </w:pPr>
    </w:p>
    <w:p>
      <w:pPr>
        <w:ind w:left="332" w:right="200"/>
        <w:spacing w:after="0" w:line="260"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loss attributable to Civeo Corporation, which is the most directly comparable measure of financial performance calculated under generally accepted accounting principles (in thousands) (unaudited):</w:t>
      </w:r>
    </w:p>
    <w:p>
      <w:pPr>
        <w:spacing w:after="0" w:line="351" w:lineRule="exact"/>
        <w:rPr>
          <w:sz w:val="20"/>
          <w:szCs w:val="20"/>
          <w:color w:val="auto"/>
        </w:rPr>
      </w:pPr>
    </w:p>
    <w:tbl>
      <w:tblPr>
        <w:tblLayout w:type="fixed"/>
        <w:tblInd w:w="1432"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18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218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September 30,</w:t>
            </w:r>
          </w:p>
        </w:tc>
      </w:tr>
      <w:tr>
        <w:trPr>
          <w:trHeight w:val="256"/>
        </w:trPr>
        <w:tc>
          <w:tcPr>
            <w:tcW w:w="34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474"/>
        </w:trPr>
        <w:tc>
          <w:tcPr>
            <w:tcW w:w="3400" w:type="dxa"/>
            <w:vAlign w:val="bottom"/>
          </w:tcPr>
          <w:p>
            <w:pPr>
              <w:spacing w:after="0"/>
              <w:rPr>
                <w:sz w:val="20"/>
                <w:szCs w:val="20"/>
                <w:color w:val="auto"/>
              </w:rPr>
            </w:pPr>
            <w:r>
              <w:rPr>
                <w:rFonts w:ascii="Arial" w:cs="Arial" w:eastAsia="Arial" w:hAnsi="Arial"/>
                <w:sz w:val="16"/>
                <w:szCs w:val="16"/>
                <w:color w:val="auto"/>
              </w:rPr>
              <w:t>Net income (loss) attributable to Civeo</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5"/>
        </w:trPr>
        <w:tc>
          <w:tcPr>
            <w:tcW w:w="3400" w:type="dxa"/>
            <w:vAlign w:val="bottom"/>
          </w:tcPr>
          <w:p>
            <w:pPr>
              <w:spacing w:after="0"/>
              <w:rPr>
                <w:sz w:val="20"/>
                <w:szCs w:val="20"/>
                <w:color w:val="auto"/>
              </w:rPr>
            </w:pPr>
            <w:r>
              <w:rPr>
                <w:rFonts w:ascii="Arial" w:cs="Arial" w:eastAsia="Arial" w:hAnsi="Arial"/>
                <w:sz w:val="16"/>
                <w:szCs w:val="16"/>
                <w:color w:val="auto"/>
              </w:rPr>
              <w:t>Corporation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6,989</w:t>
            </w:r>
          </w:p>
        </w:tc>
        <w:tc>
          <w:tcPr>
            <w:tcW w:w="16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4,996</w:t>
            </w:r>
          </w:p>
        </w:tc>
        <w:tc>
          <w:tcPr>
            <w:tcW w:w="18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(132,474)</w:t>
            </w:r>
          </w:p>
        </w:tc>
        <w:tc>
          <w:tcPr>
            <w:tcW w:w="180" w:type="dxa"/>
            <w:vAlign w:val="bottom"/>
          </w:tcPr>
          <w:p>
            <w:pPr>
              <w:spacing w:after="0"/>
              <w:rPr>
                <w:sz w:val="16"/>
                <w:szCs w:val="16"/>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(26,892)</w:t>
            </w:r>
          </w:p>
        </w:tc>
      </w:tr>
      <w:tr>
        <w:trPr>
          <w:trHeight w:val="243"/>
        </w:trPr>
        <w:tc>
          <w:tcPr>
            <w:tcW w:w="340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2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(6,629)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(8,509)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(13,963)</w:t>
            </w:r>
          </w:p>
        </w:tc>
      </w:tr>
      <w:tr>
        <w:trPr>
          <w:trHeight w:val="243"/>
        </w:trPr>
        <w:tc>
          <w:tcPr>
            <w:tcW w:w="34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24,820</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31,196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72,527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92,974</w:t>
            </w:r>
          </w:p>
        </w:tc>
      </w:tr>
      <w:tr>
        <w:trPr>
          <w:trHeight w:val="243"/>
        </w:trPr>
        <w:tc>
          <w:tcPr>
            <w:tcW w:w="340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43"/>
        </w:trPr>
        <w:tc>
          <w:tcPr>
            <w:tcW w:w="340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383</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340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3,646</w:t>
            </w: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7,315</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13,095</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20,670</w:t>
            </w:r>
          </w:p>
        </w:tc>
      </w:tr>
      <w:tr>
        <w:trPr>
          <w:trHeight w:val="236"/>
        </w:trPr>
        <w:tc>
          <w:tcPr>
            <w:tcW w:w="3400" w:type="dxa"/>
            <w:vAlign w:val="bottom"/>
          </w:tcPr>
          <w:p>
            <w:pPr>
              <w:spacing w:after="0"/>
              <w:rPr>
                <w:sz w:val="20"/>
                <w:szCs w:val="20"/>
                <w:color w:val="auto"/>
              </w:rPr>
            </w:pPr>
            <w:r>
              <w:rPr>
                <w:rFonts w:ascii="Arial" w:cs="Arial" w:eastAsia="Arial" w:hAnsi="Arial"/>
                <w:sz w:val="16"/>
                <w:szCs w:val="16"/>
                <w:color w:val="auto"/>
              </w:rPr>
              <w:t>EBITDA</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36,018</w:t>
            </w:r>
          </w:p>
        </w:tc>
        <w:tc>
          <w:tcPr>
            <w:tcW w:w="16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36,861</w:t>
            </w:r>
          </w:p>
        </w:tc>
        <w:tc>
          <w:tcPr>
            <w:tcW w:w="18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(54,998)</w:t>
            </w:r>
          </w:p>
        </w:tc>
        <w:tc>
          <w:tcPr>
            <w:tcW w:w="18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72,723</w:t>
            </w: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Adjustments to EBITDA</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3"/>
        </w:trPr>
        <w:tc>
          <w:tcPr>
            <w:tcW w:w="3400" w:type="dxa"/>
            <w:vAlign w:val="bottom"/>
          </w:tcPr>
          <w:p>
            <w:pPr>
              <w:ind w:left="140"/>
              <w:spacing w:after="0"/>
              <w:rPr>
                <w:sz w:val="20"/>
                <w:szCs w:val="20"/>
                <w:color w:val="auto"/>
              </w:rPr>
            </w:pPr>
            <w:r>
              <w:rPr>
                <w:rFonts w:ascii="Arial" w:cs="Arial" w:eastAsia="Arial" w:hAnsi="Arial"/>
                <w:sz w:val="16"/>
                <w:szCs w:val="16"/>
                <w:color w:val="auto"/>
              </w:rPr>
              <w:t>Impairment of long-lived assets (a)</w:t>
            </w:r>
          </w:p>
        </w:tc>
        <w:tc>
          <w:tcPr>
            <w:tcW w:w="2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50,514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5,546</w:t>
            </w:r>
          </w:p>
        </w:tc>
      </w:tr>
      <w:tr>
        <w:trPr>
          <w:trHeight w:val="243"/>
        </w:trPr>
        <w:tc>
          <w:tcPr>
            <w:tcW w:w="3400" w:type="dxa"/>
            <w:vAlign w:val="bottom"/>
          </w:tcPr>
          <w:p>
            <w:pPr>
              <w:ind w:left="140"/>
              <w:spacing w:after="0"/>
              <w:rPr>
                <w:sz w:val="20"/>
                <w:szCs w:val="20"/>
                <w:color w:val="auto"/>
              </w:rPr>
            </w:pPr>
            <w:r>
              <w:rPr>
                <w:rFonts w:ascii="Arial" w:cs="Arial" w:eastAsia="Arial" w:hAnsi="Arial"/>
                <w:sz w:val="16"/>
                <w:szCs w:val="16"/>
                <w:color w:val="auto"/>
              </w:rPr>
              <w:t>Impairment of goodwill (b)</w:t>
            </w:r>
          </w:p>
        </w:tc>
        <w:tc>
          <w:tcPr>
            <w:tcW w:w="2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93,606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400" w:type="dxa"/>
            <w:vAlign w:val="bottom"/>
          </w:tcPr>
          <w:p>
            <w:pPr>
              <w:ind w:left="120"/>
              <w:spacing w:after="0"/>
              <w:rPr>
                <w:sz w:val="20"/>
                <w:szCs w:val="20"/>
                <w:color w:val="auto"/>
              </w:rPr>
            </w:pPr>
            <w:r>
              <w:rPr>
                <w:rFonts w:ascii="Arial" w:cs="Arial" w:eastAsia="Arial" w:hAnsi="Arial"/>
                <w:sz w:val="16"/>
                <w:szCs w:val="16"/>
                <w:color w:val="auto"/>
              </w:rPr>
              <w:t>Australia ARO adjustment (c)</w:t>
            </w:r>
          </w:p>
        </w:tc>
        <w:tc>
          <w:tcPr>
            <w:tcW w:w="2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400" w:type="dxa"/>
            <w:vAlign w:val="bottom"/>
          </w:tcPr>
          <w:p>
            <w:pPr>
              <w:ind w:left="140"/>
              <w:spacing w:after="0"/>
              <w:rPr>
                <w:sz w:val="20"/>
                <w:szCs w:val="20"/>
                <w:color w:val="auto"/>
              </w:rPr>
            </w:pPr>
            <w:r>
              <w:rPr>
                <w:rFonts w:ascii="Arial" w:cs="Arial" w:eastAsia="Arial" w:hAnsi="Arial"/>
                <w:sz w:val="16"/>
                <w:szCs w:val="16"/>
                <w:color w:val="auto"/>
              </w:rPr>
              <w:t>Representations and warranties settlement</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95"/>
        </w:trPr>
        <w:tc>
          <w:tcPr>
            <w:tcW w:w="3400" w:type="dxa"/>
            <w:vAlign w:val="bottom"/>
          </w:tcPr>
          <w:p>
            <w:pPr>
              <w:spacing w:after="0"/>
              <w:rPr>
                <w:sz w:val="20"/>
                <w:szCs w:val="20"/>
                <w:color w:val="auto"/>
              </w:rPr>
            </w:pPr>
            <w:r>
              <w:rPr>
                <w:rFonts w:ascii="Arial" w:cs="Arial" w:eastAsia="Arial" w:hAnsi="Arial"/>
                <w:sz w:val="16"/>
                <w:szCs w:val="16"/>
                <w:color w:val="auto"/>
              </w:rPr>
              <w:t>(d)</w:t>
            </w:r>
          </w:p>
        </w:tc>
        <w:tc>
          <w:tcPr>
            <w:tcW w:w="24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(4,690)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3400" w:type="dxa"/>
            <w:vAlign w:val="bottom"/>
          </w:tcPr>
          <w:p>
            <w:pPr>
              <w:ind w:left="120"/>
              <w:spacing w:after="0"/>
              <w:rPr>
                <w:sz w:val="20"/>
                <w:szCs w:val="20"/>
                <w:color w:val="auto"/>
              </w:rPr>
            </w:pPr>
            <w:r>
              <w:rPr>
                <w:rFonts w:ascii="Arial" w:cs="Arial" w:eastAsia="Arial" w:hAnsi="Arial"/>
                <w:sz w:val="16"/>
                <w:szCs w:val="16"/>
                <w:color w:val="auto"/>
              </w:rPr>
              <w:t>Action transaction costs (e)</w:t>
            </w:r>
          </w:p>
        </w:tc>
        <w:tc>
          <w:tcPr>
            <w:tcW w:w="24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216</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243"/>
        </w:trPr>
        <w:tc>
          <w:tcPr>
            <w:tcW w:w="340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36,018</w:t>
            </w:r>
          </w:p>
        </w:tc>
        <w:tc>
          <w:tcPr>
            <w:tcW w:w="16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36,153</w:t>
            </w:r>
          </w:p>
        </w:tc>
        <w:tc>
          <w:tcPr>
            <w:tcW w:w="1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84,432</w:t>
            </w:r>
          </w:p>
        </w:tc>
        <w:tc>
          <w:tcPr>
            <w:tcW w:w="1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78,485</w:t>
            </w:r>
          </w:p>
        </w:tc>
      </w:tr>
      <w:tr>
        <w:trPr>
          <w:trHeight w:val="21"/>
        </w:trPr>
        <w:tc>
          <w:tcPr>
            <w:tcW w:w="3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ind w:left="652" w:right="240" w:hanging="328"/>
        <w:spacing w:after="0" w:line="253" w:lineRule="auto"/>
        <w:tabs>
          <w:tab w:leader="none" w:pos="647"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asset impairments in the first quarter of 2020 and the second quarter of 2019. In the first quarter of 2020, we recorded a pre-tax loss related to the impairment of long-lived assets in our Canadian segment of $38.1 million ($38.1 million after-tax, or $0.23 per diluted share) and a pre-tax loss related to the impairment of long-lived assets in our U.S.</w:t>
      </w:r>
    </w:p>
    <w:p>
      <w:pPr>
        <w:sectPr>
          <w:pgSz w:w="11900" w:h="16838" w:orient="portrait"/>
          <w:cols w:equalWidth="0" w:num="1">
            <w:col w:w="11192"/>
          </w:cols>
          <w:pgMar w:left="328" w:top="891" w:right="379" w:bottom="1440" w:gutter="0" w:footer="0" w:header="0"/>
        </w:sectPr>
      </w:pPr>
    </w:p>
    <w:bookmarkStart w:id="13" w:name="page14"/>
    <w:bookmarkEnd w:id="13"/>
    <w:p>
      <w:pPr>
        <w:ind w:left="652" w:right="80"/>
        <w:spacing w:after="0" w:line="260" w:lineRule="auto"/>
        <w:rPr>
          <w:sz w:val="20"/>
          <w:szCs w:val="20"/>
          <w:color w:val="auto"/>
        </w:rPr>
      </w:pPr>
      <w:r>
        <w:rPr>
          <w:rFonts w:ascii="Arial" w:cs="Arial" w:eastAsia="Arial" w:hAnsi="Arial"/>
          <w:sz w:val="16"/>
          <w:szCs w:val="16"/>
          <w:color w:val="auto"/>
        </w:rPr>
        <w:t>segment of $12.4 million ($12.4 million after-tax, or $0.07 per diluted share), which is included in Impairment expense on the unaudited statements of operations.</w:t>
      </w:r>
    </w:p>
    <w:p>
      <w:pPr>
        <w:spacing w:after="0" w:line="222" w:lineRule="exact"/>
        <w:rPr>
          <w:sz w:val="20"/>
          <w:szCs w:val="20"/>
          <w:color w:val="auto"/>
        </w:rPr>
      </w:pPr>
    </w:p>
    <w:p>
      <w:pPr>
        <w:ind w:left="652" w:right="140"/>
        <w:spacing w:after="0" w:line="249" w:lineRule="auto"/>
        <w:rPr>
          <w:sz w:val="20"/>
          <w:szCs w:val="20"/>
          <w:color w:val="auto"/>
        </w:rPr>
      </w:pPr>
      <w:r>
        <w:rPr>
          <w:rFonts w:ascii="Arial" w:cs="Arial" w:eastAsia="Arial" w:hAnsi="Arial"/>
          <w:sz w:val="16"/>
          <w:szCs w:val="16"/>
          <w:color w:val="auto"/>
        </w:rPr>
        <w:t>In the second quarter 2019, we recorded a pre-tax loss related to the impairment of assets in Australia of $5.5 million ($5.5 million after-tax, or $0.03 per diluted share), which is included in Impairment expense on the unaudited statements of operations. This includes $1.0 million of impairment expense related to an error corrected in the second quarter 2019. During the second quarter of 2019, we identified a future liability related to an asset retirement obligation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2019.</w:t>
      </w:r>
    </w:p>
    <w:p>
      <w:pPr>
        <w:spacing w:after="0" w:line="232" w:lineRule="exact"/>
        <w:rPr>
          <w:sz w:val="20"/>
          <w:szCs w:val="20"/>
          <w:color w:val="auto"/>
        </w:rPr>
      </w:pPr>
    </w:p>
    <w:p>
      <w:pPr>
        <w:ind w:left="652" w:right="60" w:hanging="328"/>
        <w:spacing w:after="0" w:line="260" w:lineRule="auto"/>
        <w:tabs>
          <w:tab w:leader="none" w:pos="647" w:val="left"/>
        </w:tabs>
        <w:numPr>
          <w:ilvl w:val="1"/>
          <w:numId w:val="7"/>
        </w:numPr>
        <w:rPr>
          <w:rFonts w:ascii="Arial" w:cs="Arial" w:eastAsia="Arial" w:hAnsi="Arial"/>
          <w:sz w:val="16"/>
          <w:szCs w:val="16"/>
          <w:color w:val="auto"/>
        </w:rPr>
      </w:pPr>
      <w:r>
        <w:rPr>
          <w:rFonts w:ascii="Arial" w:cs="Arial" w:eastAsia="Arial" w:hAnsi="Arial"/>
          <w:sz w:val="16"/>
          <w:szCs w:val="16"/>
          <w:color w:val="auto"/>
        </w:rPr>
        <w:t>Relates to the impairment of goodwill in the first quarter of 2020. The $93.6 million impairment ($93.6 million after-tax, or $0.56 per diluted share) is related to our Canada reporting unit and is included in Impairment expense on the statements of operations.</w:t>
      </w:r>
    </w:p>
    <w:p>
      <w:pPr>
        <w:spacing w:after="0" w:line="222" w:lineRule="exact"/>
        <w:rPr>
          <w:rFonts w:ascii="Arial" w:cs="Arial" w:eastAsia="Arial" w:hAnsi="Arial"/>
          <w:sz w:val="16"/>
          <w:szCs w:val="16"/>
          <w:color w:val="auto"/>
        </w:rPr>
      </w:pPr>
    </w:p>
    <w:p>
      <w:pPr>
        <w:ind w:left="652" w:right="140" w:hanging="328"/>
        <w:spacing w:after="0" w:line="251" w:lineRule="auto"/>
        <w:tabs>
          <w:tab w:leader="none" w:pos="652" w:val="left"/>
        </w:tabs>
        <w:numPr>
          <w:ilvl w:val="1"/>
          <w:numId w:val="7"/>
        </w:numPr>
        <w:rPr>
          <w:rFonts w:ascii="Arial" w:cs="Arial" w:eastAsia="Arial" w:hAnsi="Arial"/>
          <w:sz w:val="16"/>
          <w:szCs w:val="16"/>
          <w:color w:val="auto"/>
        </w:rPr>
      </w:pPr>
      <w:r>
        <w:rPr>
          <w:rFonts w:ascii="Arial" w:cs="Arial" w:eastAsia="Arial" w:hAnsi="Arial"/>
          <w:sz w:val="16"/>
          <w:szCs w:val="16"/>
          <w:color w:val="auto"/>
        </w:rPr>
        <w:t>As noted above, during the second quarter of 2019, we identified a future liability related to an ARO at one of our villages in Australia that should have been recorded in 2011. The correction included a $0.9 million ($0.9 million after-tax, or $0.01 per diluted share) adjustment, which was included in Cost of sales and services on the unaudited statements of operations during the second quarter of 2019. This amount represented the prior period impact of this correction.</w:t>
      </w:r>
    </w:p>
    <w:p>
      <w:pPr>
        <w:spacing w:after="0" w:line="229" w:lineRule="exact"/>
        <w:rPr>
          <w:rFonts w:ascii="Arial" w:cs="Arial" w:eastAsia="Arial" w:hAnsi="Arial"/>
          <w:sz w:val="16"/>
          <w:szCs w:val="16"/>
          <w:color w:val="auto"/>
        </w:rPr>
      </w:pPr>
    </w:p>
    <w:p>
      <w:pPr>
        <w:ind w:left="652" w:right="260"/>
        <w:spacing w:after="0" w:line="250" w:lineRule="auto"/>
        <w:rPr>
          <w:rFonts w:ascii="Arial" w:cs="Arial" w:eastAsia="Arial" w:hAnsi="Arial"/>
          <w:sz w:val="16"/>
          <w:szCs w:val="16"/>
          <w:color w:val="auto"/>
        </w:rPr>
      </w:pPr>
      <w:r>
        <w:rPr>
          <w:rFonts w:ascii="Arial" w:cs="Arial" w:eastAsia="Arial" w:hAnsi="Arial"/>
          <w:sz w:val="16"/>
          <w:szCs w:val="16"/>
          <w:color w:val="auto"/>
        </w:rPr>
        <w:t>In the third quarter 2019, we sold the village in Australia with the ARO noted above. The ARO was assumed by the purchaser. Accordingly, the ARO liability was released and a gain on sale was recognized. As the $0.9 million adjustment in the second quarter 2019 was not included in Adjusted EBITDA, we have added back the corresponding release of the liability. The impact of the adjustment for the three month period ended September 30, 2019 totals $0.9 million ($0.9 million after tax, or $0.01 per diluted share), and is included in Other income on the unaudited statement of operations, resulting in a net impact of zero for the nine months ended September 30, 2019.</w:t>
      </w:r>
    </w:p>
    <w:p>
      <w:pPr>
        <w:spacing w:after="0" w:line="229" w:lineRule="exact"/>
        <w:rPr>
          <w:rFonts w:ascii="Arial" w:cs="Arial" w:eastAsia="Arial" w:hAnsi="Arial"/>
          <w:sz w:val="16"/>
          <w:szCs w:val="16"/>
          <w:color w:val="auto"/>
        </w:rPr>
      </w:pPr>
    </w:p>
    <w:p>
      <w:pPr>
        <w:ind w:left="652" w:right="100" w:hanging="328"/>
        <w:spacing w:after="0" w:line="253" w:lineRule="auto"/>
        <w:tabs>
          <w:tab w:leader="none" w:pos="647" w:val="left"/>
        </w:tabs>
        <w:numPr>
          <w:ilvl w:val="1"/>
          <w:numId w:val="7"/>
        </w:numPr>
        <w:rPr>
          <w:rFonts w:ascii="Arial" w:cs="Arial" w:eastAsia="Arial" w:hAnsi="Arial"/>
          <w:sz w:val="16"/>
          <w:szCs w:val="16"/>
          <w:color w:val="auto"/>
        </w:rPr>
      </w:pPr>
      <w:r>
        <w:rPr>
          <w:rFonts w:ascii="Arial" w:cs="Arial" w:eastAsia="Arial" w:hAnsi="Arial"/>
          <w:sz w:val="16"/>
          <w:szCs w:val="16"/>
          <w:color w:val="auto"/>
        </w:rPr>
        <w:t>In the second quarter of 2020, we recorded $4.7 million of income ($4.7 million after-tax, or $0.03 per diluted share) associated with the settlement of a representations and warranties claim related to the Noralta acquisition, which is included in Other income on the unaudited statements of operations.</w:t>
      </w:r>
    </w:p>
    <w:p>
      <w:pPr>
        <w:spacing w:after="0" w:line="228" w:lineRule="exact"/>
        <w:rPr>
          <w:rFonts w:ascii="Arial" w:cs="Arial" w:eastAsia="Arial" w:hAnsi="Arial"/>
          <w:sz w:val="16"/>
          <w:szCs w:val="16"/>
          <w:color w:val="auto"/>
        </w:rPr>
      </w:pPr>
    </w:p>
    <w:p>
      <w:pPr>
        <w:ind w:left="652" w:right="140" w:hanging="328"/>
        <w:spacing w:after="0" w:line="253" w:lineRule="auto"/>
        <w:tabs>
          <w:tab w:leader="none" w:pos="647" w:val="left"/>
        </w:tabs>
        <w:numPr>
          <w:ilvl w:val="1"/>
          <w:numId w:val="7"/>
        </w:numPr>
        <w:rPr>
          <w:rFonts w:ascii="Arial" w:cs="Arial" w:eastAsia="Arial" w:hAnsi="Arial"/>
          <w:sz w:val="16"/>
          <w:szCs w:val="16"/>
          <w:color w:val="auto"/>
        </w:rPr>
      </w:pPr>
      <w:r>
        <w:rPr>
          <w:rFonts w:ascii="Arial" w:cs="Arial" w:eastAsia="Arial" w:hAnsi="Arial"/>
          <w:sz w:val="16"/>
          <w:szCs w:val="16"/>
          <w:color w:val="auto"/>
        </w:rPr>
        <w:t>Relates to costs incurred associated with Civeo's acquisition of Action. For the three and nine month periods ended September 30, 2019, the $0.2 million of costs ($0.2 million after-tax, or $0.00, per diluted share), are reflected in the Australia reportable segment and are included in Selling, general and administrative expenses on the unaudited statements of operations.</w:t>
      </w:r>
    </w:p>
    <w:p>
      <w:pPr>
        <w:spacing w:after="0" w:line="228" w:lineRule="exact"/>
        <w:rPr>
          <w:rFonts w:ascii="Arial" w:cs="Arial" w:eastAsia="Arial" w:hAnsi="Arial"/>
          <w:sz w:val="16"/>
          <w:szCs w:val="16"/>
          <w:color w:val="auto"/>
        </w:rPr>
      </w:pPr>
    </w:p>
    <w:p>
      <w:pPr>
        <w:ind w:left="332" w:hanging="332"/>
        <w:spacing w:after="0" w:line="248" w:lineRule="auto"/>
        <w:tabs>
          <w:tab w:leader="none" w:pos="32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w:t>
      </w:r>
    </w:p>
    <w:p>
      <w:pPr>
        <w:spacing w:after="0" w:line="235" w:lineRule="exact"/>
        <w:rPr>
          <w:rFonts w:ascii="Arial" w:cs="Arial" w:eastAsia="Arial" w:hAnsi="Arial"/>
          <w:sz w:val="16"/>
          <w:szCs w:val="16"/>
          <w:color w:val="auto"/>
        </w:rPr>
      </w:pPr>
    </w:p>
    <w:p>
      <w:pPr>
        <w:ind w:left="332" w:right="740"/>
        <w:spacing w:after="0" w:line="260"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351" w:lineRule="exact"/>
        <w:rPr>
          <w:sz w:val="20"/>
          <w:szCs w:val="20"/>
          <w:color w:val="auto"/>
        </w:rPr>
      </w:pPr>
    </w:p>
    <w:tbl>
      <w:tblPr>
        <w:tblLayout w:type="fixed"/>
        <w:tblInd w:w="1032"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12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21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r>
      <w:tr>
        <w:trPr>
          <w:trHeight w:val="256"/>
        </w:trPr>
        <w:tc>
          <w:tcPr>
            <w:tcW w:w="43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r>
      <w:tr>
        <w:trPr>
          <w:trHeight w:val="480"/>
        </w:trPr>
        <w:tc>
          <w:tcPr>
            <w:tcW w:w="432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35,357</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23,566</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80,675</w:t>
            </w:r>
          </w:p>
        </w:tc>
        <w:tc>
          <w:tcPr>
            <w:tcW w:w="2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33,526</w:t>
            </w:r>
          </w:p>
        </w:tc>
      </w:tr>
      <w:tr>
        <w:trPr>
          <w:trHeight w:val="243"/>
        </w:trPr>
        <w:tc>
          <w:tcPr>
            <w:tcW w:w="4320" w:type="dxa"/>
            <w:vAlign w:val="bottom"/>
          </w:tcPr>
          <w:p>
            <w:pPr>
              <w:ind w:left="10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(2,397)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(4,309)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(6,244)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(25,517)</w:t>
            </w:r>
          </w:p>
        </w:tc>
      </w:tr>
      <w:tr>
        <w:trPr>
          <w:trHeight w:val="237"/>
        </w:trPr>
        <w:tc>
          <w:tcPr>
            <w:tcW w:w="4320" w:type="dxa"/>
            <w:vAlign w:val="bottom"/>
          </w:tcPr>
          <w:p>
            <w:pPr>
              <w:ind w:left="100"/>
              <w:spacing w:after="0"/>
              <w:rPr>
                <w:sz w:val="20"/>
                <w:szCs w:val="20"/>
                <w:color w:val="auto"/>
              </w:rPr>
            </w:pPr>
            <w:r>
              <w:rPr>
                <w:rFonts w:ascii="Arial" w:cs="Arial" w:eastAsia="Arial" w:hAnsi="Arial"/>
                <w:sz w:val="16"/>
                <w:szCs w:val="16"/>
                <w:color w:val="auto"/>
              </w:rPr>
              <w:t>Proceeds from disposition of property, plant and</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8"/>
        </w:trPr>
        <w:tc>
          <w:tcPr>
            <w:tcW w:w="4320" w:type="dxa"/>
            <w:vAlign w:val="bottom"/>
          </w:tcPr>
          <w:p>
            <w:pPr>
              <w:ind w:left="100"/>
              <w:spacing w:after="0"/>
              <w:rPr>
                <w:sz w:val="20"/>
                <w:szCs w:val="20"/>
                <w:color w:val="auto"/>
              </w:rPr>
            </w:pPr>
            <w:r>
              <w:rPr>
                <w:rFonts w:ascii="Arial" w:cs="Arial" w:eastAsia="Arial" w:hAnsi="Arial"/>
                <w:sz w:val="16"/>
                <w:szCs w:val="16"/>
                <w:color w:val="auto"/>
              </w:rPr>
              <w:t>equipment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1,439</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5,482</w:t>
            </w:r>
          </w:p>
        </w:tc>
      </w:tr>
      <w:tr>
        <w:trPr>
          <w:trHeight w:val="243"/>
        </w:trPr>
        <w:tc>
          <w:tcPr>
            <w:tcW w:w="4320" w:type="dxa"/>
            <w:vAlign w:val="bottom"/>
          </w:tcPr>
          <w:p>
            <w:pPr>
              <w:ind w:left="100"/>
              <w:spacing w:after="0"/>
              <w:rPr>
                <w:sz w:val="20"/>
                <w:szCs w:val="20"/>
                <w:color w:val="auto"/>
              </w:rPr>
            </w:pPr>
            <w:r>
              <w:rPr>
                <w:rFonts w:ascii="Arial" w:cs="Arial" w:eastAsia="Arial" w:hAnsi="Arial"/>
                <w:sz w:val="16"/>
                <w:szCs w:val="16"/>
                <w:color w:val="auto"/>
              </w:rPr>
              <w:t>Free Cash Flow</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34,399</w:t>
            </w:r>
          </w:p>
        </w:tc>
        <w:tc>
          <w:tcPr>
            <w:tcW w:w="1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20,291</w:t>
            </w:r>
          </w:p>
        </w:tc>
        <w:tc>
          <w:tcPr>
            <w:tcW w:w="18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77,767</w:t>
            </w:r>
          </w:p>
        </w:tc>
        <w:tc>
          <w:tcPr>
            <w:tcW w:w="20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13,491</w:t>
            </w:r>
          </w:p>
        </w:tc>
      </w:tr>
      <w:tr>
        <w:trPr>
          <w:trHeight w:val="21"/>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12"/>
          </w:cols>
          <w:pgMar w:left="328" w:top="911" w:right="359" w:bottom="1440" w:gutter="0" w:footer="0" w:header="0"/>
        </w:sectPr>
      </w:pPr>
    </w:p>
    <w:bookmarkStart w:id="14" w:name="page15"/>
    <w:bookmarkEnd w:id="14"/>
    <w:p>
      <w:pPr>
        <w:jc w:val="center"/>
        <w:ind w:right="-33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331"/>
        <w:spacing w:after="0"/>
        <w:rPr>
          <w:sz w:val="20"/>
          <w:szCs w:val="20"/>
          <w:color w:val="auto"/>
        </w:rPr>
      </w:pPr>
      <w:r>
        <w:rPr>
          <w:rFonts w:ascii="Arial" w:cs="Arial" w:eastAsia="Arial" w:hAnsi="Arial"/>
          <w:sz w:val="16"/>
          <w:szCs w:val="16"/>
          <w:b w:val="1"/>
          <w:bCs w:val="1"/>
          <w:color w:val="auto"/>
        </w:rPr>
        <w:t>NON-GAAP RECONCILIATIONS - GUIDANCE</w:t>
      </w:r>
    </w:p>
    <w:p>
      <w:pPr>
        <w:spacing w:after="0" w:line="5" w:lineRule="exact"/>
        <w:rPr>
          <w:sz w:val="20"/>
          <w:szCs w:val="20"/>
          <w:color w:val="auto"/>
        </w:rPr>
      </w:pPr>
    </w:p>
    <w:p>
      <w:pPr>
        <w:ind w:left="5152"/>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5172"/>
        <w:spacing w:after="0"/>
        <w:rPr>
          <w:sz w:val="20"/>
          <w:szCs w:val="20"/>
          <w:color w:val="auto"/>
        </w:rPr>
      </w:pPr>
      <w:r>
        <w:rPr>
          <w:rFonts w:ascii="Arial" w:cs="Arial" w:eastAsia="Arial" w:hAnsi="Arial"/>
          <w:sz w:val="16"/>
          <w:szCs w:val="16"/>
          <w:b w:val="1"/>
          <w:bCs w:val="1"/>
          <w:color w:val="auto"/>
        </w:rPr>
        <w:t>(unaudited)</w:t>
      </w:r>
    </w:p>
    <w:p>
      <w:pPr>
        <w:spacing w:after="0" w:line="282" w:lineRule="exact"/>
        <w:rPr>
          <w:sz w:val="20"/>
          <w:szCs w:val="20"/>
          <w:color w:val="auto"/>
        </w:rPr>
      </w:pPr>
    </w:p>
    <w:tbl>
      <w:tblPr>
        <w:tblLayout w:type="fixed"/>
        <w:tblInd w:w="2072" w:type="dxa"/>
        <w:tblCellMar>
          <w:top w:w="0" w:type="dxa"/>
          <w:left w:w="0" w:type="dxa"/>
          <w:bottom w:w="0" w:type="dxa"/>
          <w:right w:w="0" w:type="dxa"/>
        </w:tblCellMar>
      </w:tblPr>
      <w:tr>
        <w:trPr>
          <w:trHeight w:val="215"/>
        </w:trPr>
        <w:tc>
          <w:tcPr>
            <w:tcW w:w="3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Year Ending December 31, 2020</w:t>
            </w:r>
          </w:p>
        </w:tc>
      </w:tr>
      <w:tr>
        <w:trPr>
          <w:trHeight w:val="337"/>
        </w:trPr>
        <w:tc>
          <w:tcPr>
            <w:tcW w:w="3220" w:type="dxa"/>
            <w:vAlign w:val="bottom"/>
          </w:tcPr>
          <w:p>
            <w:pPr>
              <w:spacing w:after="0"/>
              <w:rPr>
                <w:sz w:val="20"/>
                <w:szCs w:val="20"/>
                <w:color w:val="auto"/>
              </w:rPr>
            </w:pPr>
            <w:r>
              <w:rPr>
                <w:rFonts w:ascii="Arial" w:cs="Arial" w:eastAsia="Arial" w:hAnsi="Arial"/>
                <w:sz w:val="16"/>
                <w:szCs w:val="16"/>
                <w:color w:val="auto"/>
              </w:rPr>
              <w:t>EBITDA Range (1)</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(39.4)</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(34.4)</w:t>
            </w:r>
          </w:p>
        </w:tc>
      </w:tr>
      <w:tr>
        <w:trPr>
          <w:trHeight w:val="243"/>
        </w:trPr>
        <w:tc>
          <w:tcPr>
            <w:tcW w:w="3220" w:type="dxa"/>
            <w:vAlign w:val="bottom"/>
          </w:tcPr>
          <w:p>
            <w:pPr>
              <w:spacing w:after="0"/>
              <w:rPr>
                <w:sz w:val="20"/>
                <w:szCs w:val="20"/>
                <w:color w:val="auto"/>
              </w:rPr>
            </w:pPr>
            <w:r>
              <w:rPr>
                <w:rFonts w:ascii="Arial" w:cs="Arial" w:eastAsia="Arial" w:hAnsi="Arial"/>
                <w:sz w:val="16"/>
                <w:szCs w:val="16"/>
                <w:color w:val="auto"/>
              </w:rPr>
              <w:t>Adjusted EBITDA Range (1)</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105.0</w:t>
            </w:r>
          </w:p>
        </w:tc>
      </w:tr>
    </w:tbl>
    <w:p>
      <w:pPr>
        <w:spacing w:after="0" w:line="359" w:lineRule="exact"/>
        <w:rPr>
          <w:sz w:val="20"/>
          <w:szCs w:val="20"/>
          <w:color w:val="auto"/>
        </w:rPr>
      </w:pPr>
    </w:p>
    <w:p>
      <w:pPr>
        <w:ind w:left="332" w:hanging="332"/>
        <w:spacing w:after="0" w:line="242" w:lineRule="auto"/>
        <w:tabs>
          <w:tab w:leader="none" w:pos="327"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Adjusted EBITDA to estimated net loss, which is the most directly comparable measure of financial performance calculated under generally accepted accounting principles (in million) (unaudited):</w:t>
      </w:r>
    </w:p>
    <w:p>
      <w:pPr>
        <w:spacing w:after="0" w:line="270" w:lineRule="exact"/>
        <w:rPr>
          <w:sz w:val="20"/>
          <w:szCs w:val="20"/>
          <w:color w:val="auto"/>
        </w:rPr>
      </w:pPr>
    </w:p>
    <w:tbl>
      <w:tblPr>
        <w:tblLayout w:type="fixed"/>
        <w:tblInd w:w="1872" w:type="dxa"/>
        <w:tblCellMar>
          <w:top w:w="0" w:type="dxa"/>
          <w:left w:w="0" w:type="dxa"/>
          <w:bottom w:w="0" w:type="dxa"/>
          <w:right w:w="0" w:type="dxa"/>
        </w:tblCellMar>
      </w:tblPr>
      <w:tr>
        <w:trPr>
          <w:trHeight w:val="215"/>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Year Ending December 31, 2020</w:t>
            </w:r>
          </w:p>
        </w:tc>
      </w:tr>
      <w:tr>
        <w:trPr>
          <w:trHeight w:val="243"/>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(estimated)</w:t>
            </w:r>
          </w:p>
        </w:tc>
        <w:tc>
          <w:tcPr>
            <w:tcW w:w="760" w:type="dxa"/>
            <w:vAlign w:val="bottom"/>
          </w:tcPr>
          <w:p>
            <w:pPr>
              <w:spacing w:after="0"/>
              <w:rPr>
                <w:sz w:val="21"/>
                <w:szCs w:val="21"/>
                <w:color w:val="auto"/>
              </w:rPr>
            </w:pPr>
          </w:p>
        </w:tc>
      </w:tr>
      <w:tr>
        <w:trPr>
          <w:trHeight w:val="351"/>
        </w:trPr>
        <w:tc>
          <w:tcPr>
            <w:tcW w:w="4760" w:type="dxa"/>
            <w:vAlign w:val="bottom"/>
          </w:tcPr>
          <w:p>
            <w:pPr>
              <w:spacing w:after="0"/>
              <w:rPr>
                <w:sz w:val="20"/>
                <w:szCs w:val="20"/>
                <w:color w:val="auto"/>
              </w:rPr>
            </w:pPr>
            <w:r>
              <w:rPr>
                <w:rFonts w:ascii="Arial" w:cs="Arial" w:eastAsia="Arial" w:hAnsi="Arial"/>
                <w:sz w:val="16"/>
                <w:szCs w:val="16"/>
                <w:color w:val="auto"/>
              </w:rPr>
              <w:t>Net loss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(145.1)</w:t>
            </w:r>
          </w:p>
        </w:tc>
        <w:tc>
          <w:tcPr>
            <w:tcW w:w="220" w:type="dxa"/>
            <w:vAlign w:val="bottom"/>
          </w:tcPr>
          <w:p>
            <w:pPr>
              <w:spacing w:after="0"/>
              <w:rPr>
                <w:sz w:val="24"/>
                <w:szCs w:val="24"/>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(140.1)</w:t>
            </w:r>
          </w:p>
        </w:tc>
      </w:tr>
      <w:tr>
        <w:trPr>
          <w:trHeight w:val="243"/>
        </w:trPr>
        <w:tc>
          <w:tcPr>
            <w:tcW w:w="4760" w:type="dxa"/>
            <w:vAlign w:val="bottom"/>
          </w:tcPr>
          <w:p>
            <w:pPr>
              <w:spacing w:after="0"/>
              <w:rPr>
                <w:sz w:val="20"/>
                <w:szCs w:val="20"/>
                <w:color w:val="auto"/>
              </w:rPr>
            </w:pPr>
            <w:r>
              <w:rPr>
                <w:rFonts w:ascii="Arial" w:cs="Arial" w:eastAsia="Arial" w:hAnsi="Arial"/>
                <w:sz w:val="16"/>
                <w:szCs w:val="16"/>
                <w:color w:val="auto"/>
              </w:rPr>
              <w:t>Income tax benefit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43"/>
        </w:trPr>
        <w:tc>
          <w:tcPr>
            <w:tcW w:w="47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97.0</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97.0</w:t>
            </w:r>
          </w:p>
        </w:tc>
      </w:tr>
      <w:tr>
        <w:trPr>
          <w:trHeight w:val="256"/>
        </w:trPr>
        <w:tc>
          <w:tcPr>
            <w:tcW w:w="4760" w:type="dxa"/>
            <w:vAlign w:val="bottom"/>
          </w:tcPr>
          <w:p>
            <w:pPr>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2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w:t>
            </w:r>
          </w:p>
        </w:tc>
      </w:tr>
      <w:tr>
        <w:trPr>
          <w:trHeight w:val="236"/>
        </w:trPr>
        <w:tc>
          <w:tcPr>
            <w:tcW w:w="4760" w:type="dxa"/>
            <w:vAlign w:val="bottom"/>
          </w:tcPr>
          <w:p>
            <w:pPr>
              <w:ind w:left="100"/>
              <w:spacing w:after="0"/>
              <w:rPr>
                <w:sz w:val="20"/>
                <w:szCs w:val="20"/>
                <w:color w:val="auto"/>
              </w:rPr>
            </w:pPr>
            <w:r>
              <w:rPr>
                <w:rFonts w:ascii="Arial" w:cs="Arial" w:eastAsia="Arial" w:hAnsi="Arial"/>
                <w:sz w:val="16"/>
                <w:szCs w:val="16"/>
                <w:color w:val="auto"/>
              </w:rPr>
              <w:t>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220" w:type="dxa"/>
            <w:vAlign w:val="bottom"/>
          </w:tcPr>
          <w:p>
            <w:pPr>
              <w:spacing w:after="0"/>
              <w:rPr>
                <w:sz w:val="20"/>
                <w:szCs w:val="20"/>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r>
      <w:tr>
        <w:trPr>
          <w:trHeight w:val="318"/>
        </w:trPr>
        <w:tc>
          <w:tcPr>
            <w:tcW w:w="4760" w:type="dxa"/>
            <w:vAlign w:val="bottom"/>
          </w:tcPr>
          <w:p>
            <w:pPr>
              <w:spacing w:after="0"/>
              <w:rPr>
                <w:sz w:val="20"/>
                <w:szCs w:val="20"/>
                <w:color w:val="auto"/>
              </w:rPr>
            </w:pPr>
            <w:r>
              <w:rPr>
                <w:rFonts w:ascii="Arial" w:cs="Arial" w:eastAsia="Arial" w:hAnsi="Arial"/>
                <w:sz w:val="16"/>
                <w:szCs w:val="16"/>
                <w:color w:val="auto"/>
              </w:rPr>
              <w:t>Adjustments to EBITDA</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4760" w:type="dxa"/>
            <w:vAlign w:val="bottom"/>
          </w:tcPr>
          <w:p>
            <w:pPr>
              <w:ind w:left="100"/>
              <w:spacing w:after="0"/>
              <w:rPr>
                <w:sz w:val="20"/>
                <w:szCs w:val="20"/>
                <w:color w:val="auto"/>
              </w:rPr>
            </w:pPr>
            <w:r>
              <w:rPr>
                <w:rFonts w:ascii="Arial" w:cs="Arial" w:eastAsia="Arial" w:hAnsi="Arial"/>
                <w:sz w:val="16"/>
                <w:szCs w:val="16"/>
                <w:color w:val="auto"/>
              </w:rPr>
              <w:t>Impairment expense</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144.1</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144.1</w:t>
            </w:r>
          </w:p>
        </w:tc>
      </w:tr>
      <w:tr>
        <w:trPr>
          <w:trHeight w:val="256"/>
        </w:trPr>
        <w:tc>
          <w:tcPr>
            <w:tcW w:w="4760" w:type="dxa"/>
            <w:vAlign w:val="bottom"/>
          </w:tcPr>
          <w:p>
            <w:pPr>
              <w:ind w:left="100"/>
              <w:spacing w:after="0"/>
              <w:rPr>
                <w:sz w:val="20"/>
                <w:szCs w:val="20"/>
                <w:color w:val="auto"/>
              </w:rPr>
            </w:pPr>
            <w:r>
              <w:rPr>
                <w:rFonts w:ascii="Arial" w:cs="Arial" w:eastAsia="Arial" w:hAnsi="Arial"/>
                <w:sz w:val="16"/>
                <w:szCs w:val="16"/>
                <w:color w:val="auto"/>
              </w:rPr>
              <w:t>Representations and warranties settlement</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43"/>
        </w:trPr>
        <w:tc>
          <w:tcPr>
            <w:tcW w:w="4760" w:type="dxa"/>
            <w:vAlign w:val="bottom"/>
          </w:tcPr>
          <w:p>
            <w:pPr>
              <w:ind w:left="200"/>
              <w:spacing w:after="0"/>
              <w:rPr>
                <w:sz w:val="20"/>
                <w:szCs w:val="20"/>
                <w:color w:val="auto"/>
              </w:rPr>
            </w:pPr>
            <w:r>
              <w:rPr>
                <w:rFonts w:ascii="Arial" w:cs="Arial" w:eastAsia="Arial" w:hAnsi="Arial"/>
                <w:sz w:val="16"/>
                <w:szCs w:val="16"/>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1"/>
                <w:szCs w:val="21"/>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105.0</w:t>
            </w:r>
          </w:p>
        </w:tc>
      </w:tr>
      <w:tr>
        <w:trPr>
          <w:trHeight w:val="20"/>
        </w:trPr>
        <w:tc>
          <w:tcPr>
            <w:tcW w:w="4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12"/>
          </w:cols>
          <w:pgMar w:left="328" w:top="891" w:right="659" w:bottom="1440" w:gutter="0" w:footer="0" w:header="0"/>
        </w:sectPr>
      </w:pPr>
    </w:p>
    <w:bookmarkStart w:id="15" w:name="page16"/>
    <w:bookmarkEnd w:id="15"/>
    <w:p>
      <w:pPr>
        <w:jc w:val="center"/>
        <w:ind w:right="-17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(unaudited)</w:t>
      </w:r>
    </w:p>
    <w:p>
      <w:pPr>
        <w:spacing w:after="0" w:line="134" w:lineRule="exact"/>
        <w:rPr>
          <w:sz w:val="20"/>
          <w:szCs w:val="20"/>
          <w:color w:val="auto"/>
        </w:rPr>
      </w:pPr>
    </w:p>
    <w:tbl>
      <w:tblPr>
        <w:tblLayout w:type="fixed"/>
        <w:tblInd w:w="1352" w:type="dxa"/>
        <w:tblCellMar>
          <w:top w:w="0" w:type="dxa"/>
          <w:left w:w="0" w:type="dxa"/>
          <w:bottom w:w="0" w:type="dxa"/>
          <w:right w:w="0" w:type="dxa"/>
        </w:tblCellMar>
      </w:tblPr>
      <w:tr>
        <w:trPr>
          <w:trHeight w:val="189"/>
        </w:trPr>
        <w:tc>
          <w:tcPr>
            <w:tcW w:w="3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2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222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September 30,</w:t>
            </w:r>
          </w:p>
        </w:tc>
      </w:tr>
      <w:tr>
        <w:trPr>
          <w:trHeight w:val="256"/>
        </w:trPr>
        <w:tc>
          <w:tcPr>
            <w:tcW w:w="35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292"/>
        </w:trPr>
        <w:tc>
          <w:tcPr>
            <w:tcW w:w="356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5"/>
        </w:trPr>
        <w:tc>
          <w:tcPr>
            <w:tcW w:w="356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356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356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49,798</w:t>
            </w:r>
          </w:p>
        </w:tc>
        <w:tc>
          <w:tcPr>
            <w:tcW w:w="1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79,939</w:t>
            </w:r>
          </w:p>
        </w:tc>
        <w:tc>
          <w:tcPr>
            <w:tcW w:w="1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156,068</w:t>
            </w:r>
          </w:p>
        </w:tc>
        <w:tc>
          <w:tcPr>
            <w:tcW w:w="2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203,774</w:t>
            </w:r>
          </w:p>
        </w:tc>
      </w:tr>
      <w:tr>
        <w:trPr>
          <w:trHeight w:val="243"/>
        </w:trPr>
        <w:tc>
          <w:tcPr>
            <w:tcW w:w="356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13,135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3,048</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21,715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5,648</w:t>
            </w:r>
          </w:p>
        </w:tc>
      </w:tr>
      <w:tr>
        <w:trPr>
          <w:trHeight w:val="243"/>
        </w:trPr>
        <w:tc>
          <w:tcPr>
            <w:tcW w:w="356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8,852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8,084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26,336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25,507</w:t>
            </w:r>
          </w:p>
        </w:tc>
      </w:tr>
      <w:tr>
        <w:trPr>
          <w:trHeight w:val="256"/>
        </w:trPr>
        <w:tc>
          <w:tcPr>
            <w:tcW w:w="3560" w:type="dxa"/>
            <w:vAlign w:val="bottom"/>
          </w:tcPr>
          <w:p>
            <w:pPr>
              <w:ind w:left="460"/>
              <w:spacing w:after="0"/>
              <w:rPr>
                <w:sz w:val="20"/>
                <w:szCs w:val="20"/>
                <w:color w:val="auto"/>
              </w:rPr>
            </w:pPr>
            <w:r>
              <w:rPr>
                <w:rFonts w:ascii="Arial" w:cs="Arial" w:eastAsia="Arial" w:hAnsi="Arial"/>
                <w:sz w:val="16"/>
                <w:szCs w:val="16"/>
                <w:color w:val="auto"/>
              </w:rPr>
              <w:t>Manufacturing revenue (4)</w:t>
            </w:r>
          </w:p>
        </w:tc>
        <w:tc>
          <w:tcPr>
            <w:tcW w:w="2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1,014</w:t>
            </w:r>
          </w:p>
        </w:tc>
      </w:tr>
      <w:tr>
        <w:trPr>
          <w:trHeight w:val="224"/>
        </w:trPr>
        <w:tc>
          <w:tcPr>
            <w:tcW w:w="356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71,785</w:t>
            </w:r>
          </w:p>
        </w:tc>
        <w:tc>
          <w:tcPr>
            <w:tcW w:w="180" w:type="dxa"/>
            <w:vAlign w:val="bottom"/>
          </w:tcPr>
          <w:p>
            <w:pPr>
              <w:spacing w:after="0"/>
              <w:rPr>
                <w:sz w:val="19"/>
                <w:szCs w:val="19"/>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91,071</w:t>
            </w:r>
          </w:p>
        </w:tc>
        <w:tc>
          <w:tcPr>
            <w:tcW w:w="180" w:type="dxa"/>
            <w:vAlign w:val="bottom"/>
          </w:tcPr>
          <w:p>
            <w:pPr>
              <w:spacing w:after="0"/>
              <w:rPr>
                <w:sz w:val="19"/>
                <w:szCs w:val="19"/>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204,119</w:t>
            </w: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235,943</w:t>
            </w:r>
          </w:p>
        </w:tc>
      </w:tr>
      <w:tr>
        <w:trPr>
          <w:trHeight w:val="351"/>
        </w:trPr>
        <w:tc>
          <w:tcPr>
            <w:tcW w:w="3560" w:type="dxa"/>
            <w:vAlign w:val="bottom"/>
          </w:tcPr>
          <w:p>
            <w:pPr>
              <w:ind w:left="18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3"/>
        </w:trPr>
        <w:tc>
          <w:tcPr>
            <w:tcW w:w="356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32,490</w:t>
            </w:r>
          </w:p>
        </w:tc>
        <w:tc>
          <w:tcPr>
            <w:tcW w:w="1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49,377</w:t>
            </w:r>
          </w:p>
        </w:tc>
        <w:tc>
          <w:tcPr>
            <w:tcW w:w="1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109,143</w:t>
            </w:r>
          </w:p>
        </w:tc>
        <w:tc>
          <w:tcPr>
            <w:tcW w:w="2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137,140</w:t>
            </w:r>
          </w:p>
        </w:tc>
      </w:tr>
      <w:tr>
        <w:trPr>
          <w:trHeight w:val="243"/>
        </w:trPr>
        <w:tc>
          <w:tcPr>
            <w:tcW w:w="3560" w:type="dxa"/>
            <w:vAlign w:val="bottom"/>
          </w:tcPr>
          <w:p>
            <w:pPr>
              <w:ind w:left="440"/>
              <w:spacing w:after="0"/>
              <w:rPr>
                <w:sz w:val="20"/>
                <w:szCs w:val="20"/>
                <w:color w:val="auto"/>
              </w:rPr>
            </w:pPr>
            <w:r>
              <w:rPr>
                <w:rFonts w:ascii="Arial" w:cs="Arial" w:eastAsia="Arial" w:hAnsi="Arial"/>
                <w:sz w:val="16"/>
                <w:szCs w:val="16"/>
                <w:color w:val="auto"/>
              </w:rPr>
              <w:t>Mobile facility rental cost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8,557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2,059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17,099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4,735</w:t>
            </w:r>
          </w:p>
        </w:tc>
      </w:tr>
      <w:tr>
        <w:trPr>
          <w:trHeight w:val="243"/>
        </w:trPr>
        <w:tc>
          <w:tcPr>
            <w:tcW w:w="356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7,595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7,319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23,773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23,620</w:t>
            </w:r>
          </w:p>
        </w:tc>
      </w:tr>
      <w:tr>
        <w:trPr>
          <w:trHeight w:val="243"/>
        </w:trPr>
        <w:tc>
          <w:tcPr>
            <w:tcW w:w="3560" w:type="dxa"/>
            <w:vAlign w:val="bottom"/>
          </w:tcPr>
          <w:p>
            <w:pPr>
              <w:ind w:left="440"/>
              <w:spacing w:after="0"/>
              <w:rPr>
                <w:sz w:val="20"/>
                <w:szCs w:val="20"/>
                <w:color w:val="auto"/>
              </w:rPr>
            </w:pPr>
            <w:r>
              <w:rPr>
                <w:rFonts w:ascii="Arial" w:cs="Arial" w:eastAsia="Arial" w:hAnsi="Arial"/>
                <w:sz w:val="16"/>
                <w:szCs w:val="16"/>
                <w:color w:val="auto"/>
              </w:rPr>
              <w:t>Manufacturing cost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1,007</w:t>
            </w:r>
          </w:p>
        </w:tc>
      </w:tr>
      <w:tr>
        <w:trPr>
          <w:trHeight w:val="256"/>
        </w:trPr>
        <w:tc>
          <w:tcPr>
            <w:tcW w:w="356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2,587</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3,372</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7,654</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9,698</w:t>
            </w:r>
          </w:p>
        </w:tc>
      </w:tr>
      <w:tr>
        <w:trPr>
          <w:trHeight w:val="204"/>
        </w:trPr>
        <w:tc>
          <w:tcPr>
            <w:tcW w:w="3560" w:type="dxa"/>
            <w:vAlign w:val="bottom"/>
          </w:tcPr>
          <w:p>
            <w:pPr>
              <w:ind w:left="640"/>
              <w:spacing w:after="0"/>
              <w:rPr>
                <w:sz w:val="20"/>
                <w:szCs w:val="20"/>
                <w:color w:val="auto"/>
              </w:rPr>
            </w:pPr>
            <w:r>
              <w:rPr>
                <w:rFonts w:ascii="Arial" w:cs="Arial" w:eastAsia="Arial" w:hAnsi="Arial"/>
                <w:sz w:val="16"/>
                <w:szCs w:val="16"/>
                <w:color w:val="auto"/>
              </w:rPr>
              <w:t>Total Canadian cost of sales and</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5"/>
        </w:trPr>
        <w:tc>
          <w:tcPr>
            <w:tcW w:w="3560" w:type="dxa"/>
            <w:vAlign w:val="bottom"/>
          </w:tcPr>
          <w:p>
            <w:pPr>
              <w:ind w:left="640"/>
              <w:spacing w:after="0"/>
              <w:rPr>
                <w:sz w:val="20"/>
                <w:szCs w:val="20"/>
                <w:color w:val="auto"/>
              </w:rPr>
            </w:pPr>
            <w:r>
              <w:rPr>
                <w:rFonts w:ascii="Arial" w:cs="Arial" w:eastAsia="Arial" w:hAnsi="Arial"/>
                <w:sz w:val="16"/>
                <w:szCs w:val="16"/>
                <w:color w:val="auto"/>
              </w:rPr>
              <w:t>services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51,393</w:t>
            </w:r>
          </w:p>
        </w:tc>
        <w:tc>
          <w:tcPr>
            <w:tcW w:w="18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62,277</w:t>
            </w:r>
          </w:p>
        </w:tc>
        <w:tc>
          <w:tcPr>
            <w:tcW w:w="18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158,130</w:t>
            </w:r>
          </w:p>
        </w:tc>
        <w:tc>
          <w:tcPr>
            <w:tcW w:w="2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176,200</w:t>
            </w:r>
          </w:p>
        </w:tc>
      </w:tr>
      <w:tr>
        <w:trPr>
          <w:trHeight w:val="351"/>
        </w:trPr>
        <w:tc>
          <w:tcPr>
            <w:tcW w:w="3560" w:type="dxa"/>
            <w:vAlign w:val="bottom"/>
          </w:tcPr>
          <w:p>
            <w:pPr>
              <w:ind w:left="220"/>
              <w:spacing w:after="0"/>
              <w:rPr>
                <w:sz w:val="20"/>
                <w:szCs w:val="20"/>
                <w:color w:val="auto"/>
              </w:rPr>
            </w:pPr>
            <w:r>
              <w:rPr>
                <w:rFonts w:ascii="Arial" w:cs="Arial" w:eastAsia="Arial" w:hAnsi="Arial"/>
                <w:sz w:val="16"/>
                <w:szCs w:val="16"/>
                <w:color w:val="auto"/>
              </w:rPr>
              <w:t>Average daily rates (5)</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96</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91</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95</w:t>
            </w:r>
          </w:p>
        </w:tc>
        <w:tc>
          <w:tcPr>
            <w:tcW w:w="2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351"/>
        </w:trPr>
        <w:tc>
          <w:tcPr>
            <w:tcW w:w="3560" w:type="dxa"/>
            <w:vAlign w:val="bottom"/>
          </w:tcPr>
          <w:p>
            <w:pPr>
              <w:ind w:left="220"/>
              <w:spacing w:after="0"/>
              <w:rPr>
                <w:sz w:val="20"/>
                <w:szCs w:val="20"/>
                <w:color w:val="auto"/>
              </w:rPr>
            </w:pPr>
            <w:r>
              <w:rPr>
                <w:rFonts w:ascii="Arial" w:cs="Arial" w:eastAsia="Arial" w:hAnsi="Arial"/>
                <w:sz w:val="16"/>
                <w:szCs w:val="16"/>
                <w:color w:val="auto"/>
              </w:rPr>
              <w:t>Billed rooms (6)</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508,449</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875,891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1,626,668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2,241,510</w:t>
            </w:r>
          </w:p>
        </w:tc>
      </w:tr>
      <w:tr>
        <w:trPr>
          <w:trHeight w:val="351"/>
        </w:trPr>
        <w:tc>
          <w:tcPr>
            <w:tcW w:w="356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0.751</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0.757</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0.739</w:t>
            </w:r>
          </w:p>
        </w:tc>
        <w:tc>
          <w:tcPr>
            <w:tcW w:w="2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0.752</w:t>
            </w:r>
          </w:p>
        </w:tc>
      </w:tr>
      <w:tr>
        <w:trPr>
          <w:trHeight w:val="487"/>
        </w:trPr>
        <w:tc>
          <w:tcPr>
            <w:tcW w:w="356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5"/>
        </w:trPr>
        <w:tc>
          <w:tcPr>
            <w:tcW w:w="356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356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39,470</w:t>
            </w:r>
          </w:p>
        </w:tc>
        <w:tc>
          <w:tcPr>
            <w:tcW w:w="1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33,056</w:t>
            </w:r>
          </w:p>
        </w:tc>
        <w:tc>
          <w:tcPr>
            <w:tcW w:w="1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106,988</w:t>
            </w:r>
          </w:p>
        </w:tc>
        <w:tc>
          <w:tcPr>
            <w:tcW w:w="2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92,473</w:t>
            </w:r>
          </w:p>
        </w:tc>
      </w:tr>
      <w:tr>
        <w:trPr>
          <w:trHeight w:val="256"/>
        </w:trPr>
        <w:tc>
          <w:tcPr>
            <w:tcW w:w="356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25,215</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14,687</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63,881</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14,687</w:t>
            </w:r>
          </w:p>
        </w:tc>
      </w:tr>
      <w:tr>
        <w:trPr>
          <w:trHeight w:val="223"/>
        </w:trPr>
        <w:tc>
          <w:tcPr>
            <w:tcW w:w="356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64,685</w:t>
            </w:r>
          </w:p>
        </w:tc>
        <w:tc>
          <w:tcPr>
            <w:tcW w:w="18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47,743</w:t>
            </w:r>
          </w:p>
        </w:tc>
        <w:tc>
          <w:tcPr>
            <w:tcW w:w="18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170,869</w:t>
            </w:r>
          </w:p>
        </w:tc>
        <w:tc>
          <w:tcPr>
            <w:tcW w:w="2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107,160</w:t>
            </w:r>
          </w:p>
        </w:tc>
      </w:tr>
      <w:tr>
        <w:trPr>
          <w:trHeight w:val="351"/>
        </w:trPr>
        <w:tc>
          <w:tcPr>
            <w:tcW w:w="3560" w:type="dxa"/>
            <w:vAlign w:val="bottom"/>
          </w:tcPr>
          <w:p>
            <w:pPr>
              <w:ind w:left="18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3"/>
        </w:trPr>
        <w:tc>
          <w:tcPr>
            <w:tcW w:w="356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16,401</w:t>
            </w:r>
          </w:p>
        </w:tc>
        <w:tc>
          <w:tcPr>
            <w:tcW w:w="1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14,954</w:t>
            </w:r>
          </w:p>
        </w:tc>
        <w:tc>
          <w:tcPr>
            <w:tcW w:w="1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46,665</w:t>
            </w:r>
          </w:p>
        </w:tc>
        <w:tc>
          <w:tcPr>
            <w:tcW w:w="2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44,816</w:t>
            </w:r>
          </w:p>
        </w:tc>
      </w:tr>
      <w:tr>
        <w:trPr>
          <w:trHeight w:val="243"/>
        </w:trPr>
        <w:tc>
          <w:tcPr>
            <w:tcW w:w="356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21,161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12,807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53,627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12,807</w:t>
            </w:r>
          </w:p>
        </w:tc>
      </w:tr>
      <w:tr>
        <w:trPr>
          <w:trHeight w:val="256"/>
        </w:trPr>
        <w:tc>
          <w:tcPr>
            <w:tcW w:w="356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2,703</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w:t>
            </w:r>
          </w:p>
        </w:tc>
      </w:tr>
      <w:tr>
        <w:trPr>
          <w:trHeight w:val="204"/>
        </w:trPr>
        <w:tc>
          <w:tcPr>
            <w:tcW w:w="3560" w:type="dxa"/>
            <w:vAlign w:val="bottom"/>
          </w:tcPr>
          <w:p>
            <w:pPr>
              <w:ind w:left="640"/>
              <w:spacing w:after="0"/>
              <w:rPr>
                <w:sz w:val="20"/>
                <w:szCs w:val="20"/>
                <w:color w:val="auto"/>
              </w:rPr>
            </w:pPr>
            <w:r>
              <w:rPr>
                <w:rFonts w:ascii="Arial" w:cs="Arial" w:eastAsia="Arial" w:hAnsi="Arial"/>
                <w:sz w:val="16"/>
                <w:szCs w:val="16"/>
                <w:color w:val="auto"/>
              </w:rPr>
              <w:t>Total Australian cost of sales and</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5"/>
        </w:trPr>
        <w:tc>
          <w:tcPr>
            <w:tcW w:w="3560" w:type="dxa"/>
            <w:vAlign w:val="bottom"/>
          </w:tcPr>
          <w:p>
            <w:pPr>
              <w:ind w:left="640"/>
              <w:spacing w:after="0"/>
              <w:rPr>
                <w:sz w:val="20"/>
                <w:szCs w:val="20"/>
                <w:color w:val="auto"/>
              </w:rPr>
            </w:pPr>
            <w:r>
              <w:rPr>
                <w:rFonts w:ascii="Arial" w:cs="Arial" w:eastAsia="Arial" w:hAnsi="Arial"/>
                <w:sz w:val="16"/>
                <w:szCs w:val="16"/>
                <w:color w:val="auto"/>
              </w:rPr>
              <w:t>services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38,529</w:t>
            </w:r>
          </w:p>
        </w:tc>
        <w:tc>
          <w:tcPr>
            <w:tcW w:w="18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28,664</w:t>
            </w:r>
          </w:p>
        </w:tc>
        <w:tc>
          <w:tcPr>
            <w:tcW w:w="18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102,995</w:t>
            </w:r>
          </w:p>
        </w:tc>
        <w:tc>
          <w:tcPr>
            <w:tcW w:w="2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59,718</w:t>
            </w:r>
          </w:p>
        </w:tc>
      </w:tr>
      <w:tr>
        <w:trPr>
          <w:trHeight w:val="351"/>
        </w:trPr>
        <w:tc>
          <w:tcPr>
            <w:tcW w:w="356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72</w:t>
            </w:r>
          </w:p>
        </w:tc>
        <w:tc>
          <w:tcPr>
            <w:tcW w:w="2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351"/>
        </w:trPr>
        <w:tc>
          <w:tcPr>
            <w:tcW w:w="356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513,587</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454,859</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1,487,819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1,253,856</w:t>
            </w:r>
          </w:p>
        </w:tc>
      </w:tr>
      <w:tr>
        <w:trPr>
          <w:trHeight w:val="351"/>
        </w:trPr>
        <w:tc>
          <w:tcPr>
            <w:tcW w:w="356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0.716</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0.686</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0.677</w:t>
            </w:r>
          </w:p>
        </w:tc>
        <w:tc>
          <w:tcPr>
            <w:tcW w:w="2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0.699</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12" w:hanging="312"/>
        <w:spacing w:after="0"/>
        <w:tabs>
          <w:tab w:leader="none" w:pos="31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revenues related to mobile camps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revenues related to food service,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revenues related to modular construction and offshore manufacturing services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10"/>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10"/>
        </w:numPr>
        <w:rPr>
          <w:rFonts w:ascii="Arial" w:cs="Arial" w:eastAsia="Arial" w:hAnsi="Arial"/>
          <w:sz w:val="16"/>
          <w:szCs w:val="16"/>
          <w:color w:val="auto"/>
        </w:rPr>
      </w:pPr>
      <w:r>
        <w:rPr>
          <w:rFonts w:ascii="Arial" w:cs="Arial" w:eastAsia="Arial" w:hAnsi="Arial"/>
          <w:sz w:val="16"/>
          <w:szCs w:val="16"/>
          <w:color w:val="auto"/>
        </w:rPr>
        <w:t>Billed rooms represents total billed days for the periods presented.</w:t>
      </w:r>
    </w:p>
    <w:p>
      <w:pPr>
        <w:sectPr>
          <w:pgSz w:w="11900" w:h="16838" w:orient="portrait"/>
          <w:cols w:equalWidth="0" w:num="1">
            <w:col w:w="11052"/>
          </w:cols>
          <w:pgMar w:left="328" w:top="1134" w:right="5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CONTACTS: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Carolyn J. 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&amp;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Jeffrey Spittel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FTI Consulting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832-667-5140</w:t>
      </w:r>
    </w:p>
    <w:sectPr>
      <w:pgSz w:w="11900" w:h="16838" w:orient="portrait"/>
      <w:cols w:equalWidth="0" w:num="1">
        <w:col w:w="10139"/>
      </w:cols>
      <w:pgMar w:left="320" w:top="13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844"/>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2"/>
    </w:lvl>
  </w:abstractNum>
  <w:abstractNum w:abstractNumId="7">
    <w:nsid w:val="5BD062C2"/>
    <w:multiLevelType w:val="hybridMultilevel"/>
    <w:lvl w:ilvl="0">
      <w:lvlJc w:val="left"/>
      <w:lvlText w:val="(%1)"/>
      <w:numFmt w:val="decimal"/>
      <w:start w:val="2"/>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2020-10-28T08:36:32Z</dcterms:created>
  <dcterms:modified xsi:type="dcterms:W3CDTF">2020-10-28T08:36:32Z</dcterms:modified>
</cp:coreProperties>
</file>