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3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42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02/19/2015</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80" w:type="dxa"/>
            <w:vAlign w:val="bottom"/>
            <w:gridSpan w:val="2"/>
          </w:tcPr>
          <w:p>
            <w:pPr>
              <w:ind w:left="160"/>
              <w:spacing w:after="0"/>
              <w:rPr>
                <w:sz w:val="20"/>
                <w:szCs w:val="20"/>
                <w:color w:val="auto"/>
              </w:rPr>
            </w:pPr>
            <w:r>
              <w:rPr>
                <w:rFonts w:ascii="Arial" w:cs="Arial" w:eastAsia="Arial" w:hAnsi="Arial"/>
                <w:sz w:val="17"/>
                <w:szCs w:val="17"/>
                <w:color w:val="0000FF"/>
                <w:w w:val="96"/>
              </w:rPr>
              <w:t>14,926</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ind w:left="500"/>
              <w:spacing w:after="0"/>
              <w:rPr>
                <w:sz w:val="20"/>
                <w:szCs w:val="20"/>
                <w:color w:val="auto"/>
              </w:rPr>
            </w:pPr>
            <w:r>
              <w:rPr>
                <w:rFonts w:ascii="Arial" w:cs="Arial" w:eastAsia="Arial" w:hAnsi="Arial"/>
                <w:sz w:val="17"/>
                <w:szCs w:val="17"/>
                <w:color w:val="0000FF"/>
              </w:rPr>
              <w:t>34,056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02/19/2015</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14,926</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14,926</w:t>
            </w:r>
          </w:p>
        </w:tc>
        <w:tc>
          <w:tcPr>
            <w:tcW w:w="78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183,399</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deferred stock represents a contingent right to receive one share of common stock of the Issuer. The deferred stock vests at various times based on the grant date. 14,926 shares vested on February 19, 2015.</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860"/>
        <w:spacing w:after="0" w:line="190"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64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492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2019-12-09T04:26:40Z</dcterms:created>
  <dcterms:modified xsi:type="dcterms:W3CDTF">2019-12-09T04:26:40Z</dcterms:modified>
</cp:coreProperties>
</file>