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15, 2018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CIVEO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5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British Columbia, Canada</w:t>
            </w:r>
          </w:p>
        </w:tc>
        <w:tc>
          <w:tcPr>
            <w:tcW w:w="48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1-36246</w:t>
            </w:r>
          </w:p>
        </w:tc>
        <w:tc>
          <w:tcPr>
            <w:tcW w:w="19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2560" w:type="dxa"/>
            <w:vAlign w:val="bottom"/>
          </w:tcPr>
          <w:p>
            <w:pPr>
              <w:jc w:val="center"/>
              <w:ind w:right="330"/>
              <w:spacing w:after="0"/>
              <w:rPr>
                <w:sz w:val="20"/>
                <w:szCs w:val="20"/>
                <w:color w:val="auto"/>
              </w:rPr>
            </w:pPr>
            <w:r>
              <w:rPr>
                <w:rFonts w:ascii="Arial" w:cs="Arial" w:eastAsia="Arial" w:hAnsi="Arial"/>
                <w:sz w:val="18"/>
                <w:szCs w:val="18"/>
                <w:color w:val="auto"/>
                <w:w w:val="91"/>
              </w:rPr>
              <w:t>(State or Other Jurisdiction of</w:t>
            </w:r>
          </w:p>
        </w:tc>
        <w:tc>
          <w:tcPr>
            <w:tcW w:w="4820" w:type="dxa"/>
            <w:vAlign w:val="bottom"/>
          </w:tcPr>
          <w:p>
            <w:pPr>
              <w:jc w:val="center"/>
              <w:ind w:right="130"/>
              <w:spacing w:after="0"/>
              <w:rPr>
                <w:sz w:val="20"/>
                <w:szCs w:val="20"/>
                <w:color w:val="auto"/>
              </w:rPr>
            </w:pPr>
            <w:r>
              <w:rPr>
                <w:rFonts w:ascii="Arial" w:cs="Arial" w:eastAsia="Arial" w:hAnsi="Arial"/>
                <w:sz w:val="18"/>
                <w:szCs w:val="18"/>
                <w:color w:val="auto"/>
                <w:w w:val="93"/>
              </w:rPr>
              <w:t>(Commission File Number)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right="350"/>
              <w:spacing w:after="0"/>
              <w:rPr>
                <w:sz w:val="20"/>
                <w:szCs w:val="20"/>
                <w:color w:val="auto"/>
              </w:rPr>
            </w:pPr>
            <w:r>
              <w:rPr>
                <w:rFonts w:ascii="Arial" w:cs="Arial" w:eastAsia="Arial" w:hAnsi="Arial"/>
                <w:sz w:val="18"/>
                <w:szCs w:val="18"/>
                <w:color w:val="auto"/>
                <w:w w:val="93"/>
              </w:rPr>
              <w:t>Incorporation)</w:t>
            </w:r>
          </w:p>
        </w:tc>
        <w:tc>
          <w:tcPr>
            <w:tcW w:w="482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560" w:type="dxa"/>
            <w:vAlign w:val="bottom"/>
          </w:tcPr>
          <w:p>
            <w:pPr>
              <w:spacing w:after="0"/>
              <w:rPr>
                <w:sz w:val="24"/>
                <w:szCs w:val="24"/>
                <w:color w:val="auto"/>
              </w:rPr>
            </w:pPr>
          </w:p>
        </w:tc>
        <w:tc>
          <w:tcPr>
            <w:tcW w:w="48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Allen Center,</w:t>
            </w:r>
          </w:p>
        </w:tc>
        <w:tc>
          <w:tcPr>
            <w:tcW w:w="1940" w:type="dxa"/>
            <w:vAlign w:val="bottom"/>
          </w:tcPr>
          <w:p>
            <w:pPr>
              <w:spacing w:after="0"/>
              <w:rPr>
                <w:sz w:val="24"/>
                <w:szCs w:val="24"/>
                <w:color w:val="auto"/>
              </w:rPr>
            </w:pPr>
          </w:p>
        </w:tc>
      </w:tr>
      <w:tr>
        <w:trPr>
          <w:trHeight w:val="220"/>
        </w:trPr>
        <w:tc>
          <w:tcPr>
            <w:tcW w:w="2560" w:type="dxa"/>
            <w:vAlign w:val="bottom"/>
          </w:tcPr>
          <w:p>
            <w:pPr>
              <w:spacing w:after="0"/>
              <w:rPr>
                <w:sz w:val="19"/>
                <w:szCs w:val="19"/>
                <w:color w:val="auto"/>
              </w:rPr>
            </w:pPr>
          </w:p>
        </w:tc>
        <w:tc>
          <w:tcPr>
            <w:tcW w:w="4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333 Clay Street, Suite 4980, Houston, Texas 77002</w:t>
            </w:r>
          </w:p>
        </w:tc>
        <w:tc>
          <w:tcPr>
            <w:tcW w:w="1940" w:type="dxa"/>
            <w:vAlign w:val="bottom"/>
          </w:tcPr>
          <w:p>
            <w:pPr>
              <w:spacing w:after="0"/>
              <w:rPr>
                <w:sz w:val="19"/>
                <w:szCs w:val="19"/>
                <w:color w:val="auto"/>
              </w:rPr>
            </w:pPr>
          </w:p>
        </w:tc>
      </w:tr>
      <w:tr>
        <w:trPr>
          <w:trHeight w:val="230"/>
        </w:trPr>
        <w:tc>
          <w:tcPr>
            <w:tcW w:w="2560" w:type="dxa"/>
            <w:vAlign w:val="bottom"/>
          </w:tcPr>
          <w:p>
            <w:pPr>
              <w:spacing w:after="0"/>
              <w:rPr>
                <w:sz w:val="20"/>
                <w:szCs w:val="20"/>
                <w:color w:val="auto"/>
              </w:rPr>
            </w:pPr>
          </w:p>
        </w:tc>
        <w:tc>
          <w:tcPr>
            <w:tcW w:w="4820" w:type="dxa"/>
            <w:vAlign w:val="bottom"/>
          </w:tcPr>
          <w:p>
            <w:pPr>
              <w:jc w:val="center"/>
              <w:ind w:right="110"/>
              <w:spacing w:after="0"/>
              <w:rPr>
                <w:sz w:val="20"/>
                <w:szCs w:val="20"/>
                <w:color w:val="auto"/>
              </w:rPr>
            </w:pPr>
            <w:r>
              <w:rPr>
                <w:rFonts w:ascii="Arial" w:cs="Arial" w:eastAsia="Arial" w:hAnsi="Arial"/>
                <w:sz w:val="18"/>
                <w:szCs w:val="18"/>
                <w:color w:val="auto"/>
                <w:w w:val="93"/>
              </w:rPr>
              <w:t>(Address of Principal Executive Offices) (Zip Code)</w:t>
            </w:r>
          </w:p>
        </w:tc>
        <w:tc>
          <w:tcPr>
            <w:tcW w:w="19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510-2400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ind w:left="260" w:right="1720"/>
        <w:spacing w:after="0" w:line="51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260"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759460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15, 2018, Civeo Corporation (“Civeo”) entered into an amending agreement (the “Amending Agreement”) by and among Civeo, Noralta Lodge Ltd. (“Noralta”), Torgerson Family Trust (“Torgerson Trust”), 2073357 Alberta Ltd., 2073358 Alberta Ltd., 1818939 Alberta Ltd., 2040618 Alberta Ltd., 2040624 Alberta Ltd., 989677 Alberta Ltd. and Lance Torgerson (collectively, the “Parties”).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Amending Agreement amends the share purchase agreement, dated November 26, 2017 (the “Share Purchase Agreement”), by and among the Parties to, among other things, place an additional C$30 million of the total consideration into an escrow account, comprised of C$14.960 million of cash, 2,340,824 Civeo common shares and 692 Civeo convertible preferred shares (collectively, the “Contingent Consideration”) to be released to Civeo and/or the current shareholders of Noralta based on the actual increased employee compensation costs that may be incurred by Noralta as a result of the recent union certification of certain classes of Noralta employees by UNITE HERE Local 47, as described below.</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March 14, 2018 the Alberta Labour Relations Board (the “ALRB”) approved an application for certification as bargaining agent brought by UNITE HERE Local 47 affecting certain classes of employees of Noralta. As a result of this approval, UNITE HERE Local 47 has been certified as bargaining agent for such Noralta employees and it is expected that a collective bargaining agreement will be entered into between Noralta and UNITE HERE Local 47 for the referenced employees of Noralta. When a collective bargaining agreement is reached, Civeo anticipates that Noralta will be subject to increased employee compensation costs and would experience a decrease in EBITDA from what was previously expected. The actual expected increased employee compensation costs will not be known until a collective bargaining agreement has been reached between Noralta and UNITE HERE Local 47. Accordingly, the Parties have agreed that the Contingent Consideration will be deposited into escrow upon the closing of the transaction contemplated by the Share Purchase Agreement to potentially adjust the purchase price to compensate Civeo for the expected increase in employee compensation costs resulting from collective bargaining agreement with UNITE HERE Local 47.</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Amending Agreement does not purport to be complete and is qualified in its entirety by reference to a copy of the Amending Agreement, which is attached as Exhibit 10.1 hereto.</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Closing of the acquisition of Noralta by Civeo under the Share Purchase Agreement as amended by the Amending Agreement is still subject to Civeo’s shareholders approving the issuance of Civeo shares in connection with the acquisition and other customary closing conditions, including listing of the shares to be issued in the acquisition on the New York Stock Exchange. Civeo has called a special meeting of its shareholders on March 28, 2018 at which shareholders will be asked to approve the share issuance.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extent that information in this Current Report on Form 8-K (the “Form 8-K”) differs from or updates information contained in the proxy statement filed by Civeo on Schedule 14A, file No. 001-36246, on February 2, 2018 (the “Proxy Statement”), the information in this Form 8-K shall supersede or supplement the information in the Proxy Statement.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Form 8-K and the Amending Agreement do not affect the validity of any proxy card or voting instructions that Civeo shareholders may have previously received or delivered. If a shareholder has already submitted a proxy or voting instructions, he or she will be considered to have voted as specified in that proxy or voting instructions and does not need to take any action, unless he or she wishes to revoke his or her proxy or change his or her voting instructions.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shareholder still has the proxy card that was sent along with the Proxy Statement, such shareholder may cause his or her shares to be voted at the Civeo special meeting by signing that proxy card and returning it by mail or by following the instructions on that proxy card for voting by telephone or Internet.</w:t>
      </w:r>
    </w:p>
    <w:p>
      <w:pPr>
        <w:spacing w:after="0" w:line="3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15, 2018, Civeo issued a press release announcing its entry into the Amending Agreement. A copy of the press release is furnished as Exhibit 99.1 to this current report and is incorporated herein by reference. The information furnished in Item 7.01 is not deemed “filed” for purposes of Section 18 of the U.S. Securities Exchange Act of 1934, as amended, is not subject to the liabilities of that section, and is not deemed incorporated by reference in any filing under the Securities Act.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00" w:lineRule="exact"/>
        <w:rPr>
          <w:sz w:val="20"/>
          <w:szCs w:val="20"/>
          <w:color w:val="auto"/>
        </w:rPr>
      </w:pPr>
    </w:p>
    <w:p>
      <w:pPr>
        <w:spacing w:after="0" w:line="2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Statements included in this Form 8-K regarding the impact of the recent union certification of certain classes of Noralta employees by UNITE HERE Local 47 and other statements that are not historical facts are forward-looking statements (including within the meaning of Section 21E of the Securities Exchange Act of 1934 and Section 27A of the Securities Act). Forward-looking statements include words or phrases such as “anticipate,” “believe,” “contemplate,” “estimate,” “expect,” “intend,” “plan,” “project,” “could,” “may,” “might,” “should,” “will” and words and phrases of similar import. The forward-looking statements included herein are based on current expectations and entail various risks and uncertainties that could cause actual results to differ materially from those expressed or implied by these forward-looking statements.</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Risks and uncertainties with respect to any forward-looking statement included herein also include, among other things, the risk that the terms of any collective bargaining agreement will be less favorable to Noralta than expected, which may result in the Contingent Consideration not being sufficient to compensate Civeo for an increase in employee compensation costs resulting from the collective bargaining agreement, and other factors discussed in the “Management’s Discussion and Analysis of Financial Condition and Results of Operations” and “Risk Factors” sections of Civeo’s annual report on Form 10-K for the year ended December 31, 2017, the Proxy Statement and other reports Civeo may file from time to time with the U.S. Securities and Exchange Commission. Each forward-looking statement contained in this report speaks only as of the date of this release. Except as required by law, Civeo expressly disclaims any intention or obligation to revise or update any forward-looking statements,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List of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240" w:type="dxa"/>
            <w:vAlign w:val="bottom"/>
          </w:tcPr>
          <w:p>
            <w:pPr>
              <w:spacing w:after="0"/>
              <w:rPr>
                <w:sz w:val="20"/>
                <w:szCs w:val="20"/>
                <w:color w:val="auto"/>
              </w:rPr>
            </w:pPr>
          </w:p>
        </w:tc>
        <w:tc>
          <w:tcPr>
            <w:tcW w:w="10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tcPr>
          <w:p>
            <w:pPr>
              <w:spacing w:after="0" w:line="170"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4"/>
                <w:szCs w:val="14"/>
                <w:color w:val="auto"/>
              </w:rPr>
            </w:pPr>
          </w:p>
        </w:tc>
        <w:tc>
          <w:tcPr>
            <w:tcW w:w="10160" w:type="dxa"/>
            <w:vAlign w:val="bottom"/>
            <w:tcBorders>
              <w:bottom w:val="single" w:sz="8" w:color="0000EE"/>
            </w:tcBorders>
            <w:gridSpan w:val="3"/>
          </w:tcPr>
          <w:p>
            <w:pPr>
              <w:spacing w:after="0" w:line="170"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Amending Agreement, dated March 15, 2018, among Civeo Corporation, the Torgerson Family Trust, 989677 Alberta Ltd., 1818939 Alberta</w:t>
              </w:r>
            </w:hyperlink>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4"/>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Ltd., 2040618 Alberta Ltd., 2040624 Alberta Ltd., 2073357 Alberta Ltd., 2073358 Alberta Ltd., Lance Torgerson and Noralta Lodge Ltd.</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9900" w:type="dxa"/>
            <w:vAlign w:val="bottom"/>
            <w:tcBorders>
              <w:top w:val="single" w:sz="8" w:color="0000EE"/>
            </w:tcBorders>
            <w:gridSpan w:val="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Press Release dated March 15, 2018, issued by Civeo Corporation.</w:t>
              </w:r>
            </w:hyperlink>
          </w:p>
        </w:tc>
        <w:tc>
          <w:tcPr>
            <w:tcW w:w="360" w:type="dxa"/>
            <w:vAlign w:val="bottom"/>
            <w:gridSpan w:val="2"/>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Borders>
              <w:top w:val="single" w:sz="8" w:color="0000EE"/>
            </w:tcBorders>
          </w:tcPr>
          <w:p>
            <w:pPr>
              <w:ind w:left="4500"/>
              <w:spacing w:after="0"/>
              <w:rPr>
                <w:sz w:val="20"/>
                <w:szCs w:val="20"/>
                <w:color w:val="auto"/>
              </w:rPr>
            </w:pPr>
            <w:r>
              <w:rPr>
                <w:rFonts w:ascii="Arial" w:cs="Arial" w:eastAsia="Arial" w:hAnsi="Arial"/>
                <w:sz w:val="18"/>
                <w:szCs w:val="18"/>
                <w:color w:val="auto"/>
              </w:rPr>
              <w:t>2</w:t>
            </w:r>
          </w:p>
        </w:tc>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5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Frank C. Steininger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Name:Frank C. Steininger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Executive Vice President, Chief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2018</w:t>
      </w:r>
    </w:p>
    <w:p>
      <w:pPr>
        <w:sectPr>
          <w:pgSz w:w="11900" w:h="16838" w:orient="portrait"/>
          <w:cols w:equalWidth="0" w:num="1">
            <w:col w:w="10940"/>
          </w:cols>
          <w:pgMar w:left="240" w:top="580"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AMENDING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AMENDING AGREEMENT is made effective the 15th day of March, 2018, among Civeo Corporation (the "</w:t>
      </w:r>
      <w:r>
        <w:rPr>
          <w:rFonts w:ascii="Arial" w:cs="Arial" w:eastAsia="Arial" w:hAnsi="Arial"/>
          <w:sz w:val="18"/>
          <w:szCs w:val="18"/>
          <w:b w:val="1"/>
          <w:bCs w:val="1"/>
          <w:color w:val="auto"/>
        </w:rPr>
        <w:t>Purchaser</w:t>
      </w:r>
      <w:r>
        <w:rPr>
          <w:rFonts w:ascii="Arial" w:cs="Arial" w:eastAsia="Arial" w:hAnsi="Arial"/>
          <w:sz w:val="18"/>
          <w:szCs w:val="18"/>
          <w:color w:val="auto"/>
        </w:rPr>
        <w:t>"), the Torgerson Family Trust, 989677 Alberta Ltd., 1818939 Alberta Ltd., 2040618 Alberta Ltd., 2040624 Alberta Ltd., 2073357 Alberta Ltd., 2073358 Alberta Ltd., Lance Torgerson (“</w:t>
      </w:r>
      <w:r>
        <w:rPr>
          <w:rFonts w:ascii="Arial" w:cs="Arial" w:eastAsia="Arial" w:hAnsi="Arial"/>
          <w:sz w:val="18"/>
          <w:szCs w:val="18"/>
          <w:b w:val="1"/>
          <w:bCs w:val="1"/>
          <w:color w:val="auto"/>
        </w:rPr>
        <w:t>Torgerson</w:t>
      </w:r>
      <w:r>
        <w:rPr>
          <w:rFonts w:ascii="Arial" w:cs="Arial" w:eastAsia="Arial" w:hAnsi="Arial"/>
          <w:sz w:val="18"/>
          <w:szCs w:val="18"/>
          <w:color w:val="auto"/>
        </w:rPr>
        <w:t>”) and Noralta Lodge Ltd. (the “</w:t>
      </w:r>
      <w:r>
        <w:rPr>
          <w:rFonts w:ascii="Arial" w:cs="Arial" w:eastAsia="Arial" w:hAnsi="Arial"/>
          <w:sz w:val="18"/>
          <w:szCs w:val="18"/>
          <w:b w:val="1"/>
          <w:bCs w:val="1"/>
          <w:color w:val="auto"/>
        </w:rPr>
        <w:t>Corporation</w:t>
      </w:r>
      <w:r>
        <w:rPr>
          <w:rFonts w:ascii="Arial" w:cs="Arial" w:eastAsia="Arial" w:hAnsi="Arial"/>
          <w:sz w:val="18"/>
          <w:szCs w:val="18"/>
          <w:color w:val="auto"/>
        </w:rPr>
        <w:t>”), each of such parties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have previously entered into an Share Purchase Agreement dated effective November 26, 2017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following the date of execution of the Purchase Agreement and prior to the Closing Date the Alberta Labour Relations Board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an application for certification as bargaining agent brought by the UNITE HERE Local 47 affecting certain classes of employees of the Corporation (the "</w:t>
      </w:r>
      <w:r>
        <w:rPr>
          <w:rFonts w:ascii="Arial" w:cs="Arial" w:eastAsia="Arial" w:hAnsi="Arial"/>
          <w:sz w:val="18"/>
          <w:szCs w:val="18"/>
          <w:b w:val="1"/>
          <w:bCs w:val="1"/>
          <w:color w:val="auto"/>
        </w:rPr>
        <w:t>Certification Application</w:t>
      </w:r>
      <w:r>
        <w:rPr>
          <w:rFonts w:ascii="Arial" w:cs="Arial" w:eastAsia="Arial" w:hAnsi="Arial"/>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UNITE HERE Local 47 was certified as the bargaining agent for certain classes of employees of the Corporation and it is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that the Corporation may be subject to increased employee compensation, pension and benefit costs;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in light of such Certification Application the Parties wish to amend the terms of the Purchase Agreement;</w:t>
      </w:r>
    </w:p>
    <w:p>
      <w:pPr>
        <w:spacing w:after="0" w:line="225" w:lineRule="exact"/>
        <w:rPr>
          <w:sz w:val="20"/>
          <w:szCs w:val="20"/>
          <w:color w:val="auto"/>
        </w:rPr>
      </w:pPr>
    </w:p>
    <w:p>
      <w:pPr>
        <w:jc w:val="both"/>
        <w:ind w:firstLine="616"/>
        <w:spacing w:after="0" w:line="266" w:lineRule="auto"/>
        <w:rPr>
          <w:sz w:val="20"/>
          <w:szCs w:val="20"/>
          <w:color w:val="auto"/>
        </w:rPr>
      </w:pPr>
      <w:r>
        <w:rPr>
          <w:rFonts w:ascii="Arial" w:cs="Arial" w:eastAsia="Arial" w:hAnsi="Arial"/>
          <w:sz w:val="18"/>
          <w:szCs w:val="18"/>
          <w:b w:val="1"/>
          <w:bCs w:val="1"/>
          <w:color w:val="auto"/>
        </w:rPr>
        <w:t xml:space="preserve">NOW THEREFORE THIS AGREEMENT WITNESSES </w:t>
      </w:r>
      <w:r>
        <w:rPr>
          <w:rFonts w:ascii="Arial" w:cs="Arial" w:eastAsia="Arial" w:hAnsi="Arial"/>
          <w:sz w:val="18"/>
          <w:szCs w:val="18"/>
          <w:color w:val="auto"/>
        </w:rPr>
        <w:t>that, in consideration of this Agreement and the mutual terms and conditions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other good and valuable consideration (the receipt and sufficiency of which is hereby acknowledged by each of the parties hereto), the parties hereto agree as follows:</w:t>
      </w:r>
    </w:p>
    <w:p>
      <w:pPr>
        <w:spacing w:after="0" w:line="180" w:lineRule="exact"/>
        <w:rPr>
          <w:sz w:val="20"/>
          <w:szCs w:val="20"/>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defined terms used in this Amending Agreement which are not otherwise defined herein shall have the meaning given thereto in the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Respecting Defined Terms</w:t>
      </w:r>
    </w:p>
    <w:p>
      <w:pPr>
        <w:spacing w:after="0" w:line="225"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"Ancillary Transaction Documents" contained at Section 1.1(h) of the Purchase Agreement shall be deleted and replaced with the following:</w:t>
      </w:r>
    </w:p>
    <w:p>
      <w:pPr>
        <w:spacing w:after="0" w:line="166"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Transaction Documents</w:t>
      </w:r>
      <w:r>
        <w:rPr>
          <w:rFonts w:ascii="Arial" w:cs="Arial" w:eastAsia="Arial" w:hAnsi="Arial"/>
          <w:sz w:val="18"/>
          <w:szCs w:val="18"/>
          <w:color w:val="auto"/>
        </w:rPr>
        <w:t>" means the Escrow Agreement, Escrowed Shares Escrow Agreement, Supplemental Escrow Agreement, Non-Competition Agreements and Registration Rights Agreement;"</w:t>
      </w:r>
    </w:p>
    <w:p>
      <w:pPr>
        <w:spacing w:after="0" w:line="16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definition of "Escrow Agent" contained at Section 1.1(ddd) of the Purchase Agreement shall be deleted and replaced with the following:</w:t>
      </w:r>
    </w:p>
    <w:p>
      <w:pPr>
        <w:spacing w:after="0" w:line="232" w:lineRule="exact"/>
        <w:rPr>
          <w:rFonts w:ascii="Arial" w:cs="Arial" w:eastAsia="Arial" w:hAnsi="Arial"/>
          <w:sz w:val="17"/>
          <w:szCs w:val="17"/>
          <w:color w:val="auto"/>
        </w:rPr>
      </w:pPr>
    </w:p>
    <w:p>
      <w:pPr>
        <w:ind w:left="660"/>
        <w:spacing w:after="0" w:line="282"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means Alliance Trust Company, acting as escrow agent pursuant to the Escrow Agreement, the Escrowed Shares Escrow Agreement and the Supplemental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52" w:hanging="652"/>
        <w:spacing w:after="0"/>
        <w:tabs>
          <w:tab w:leader="none" w:pos="65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definition of "Escrow Agreement" contained at Section 1.1(eee) of the Purchase Agreement shall be deleted and replaced with the following:</w:t>
      </w:r>
    </w:p>
    <w:p>
      <w:pPr>
        <w:spacing w:after="0" w:line="244" w:lineRule="exact"/>
        <w:rPr>
          <w:rFonts w:ascii="Arial" w:cs="Arial" w:eastAsia="Arial" w:hAnsi="Arial"/>
          <w:sz w:val="16"/>
          <w:szCs w:val="16"/>
          <w:color w:val="auto"/>
        </w:rPr>
      </w:pPr>
    </w:p>
    <w:p>
      <w:pPr>
        <w:ind w:left="652"/>
        <w:spacing w:after="0" w:line="313"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Agreement</w:t>
      </w:r>
      <w:r>
        <w:rPr>
          <w:rFonts w:ascii="Arial" w:cs="Arial" w:eastAsia="Arial" w:hAnsi="Arial"/>
          <w:sz w:val="17"/>
          <w:szCs w:val="17"/>
          <w:color w:val="auto"/>
        </w:rPr>
        <w:t>" means the escrow agreement in respect of Cdn.$28,500,000 of the Escrow Amount to be entered into by and between the Purchaser, the Vendors and the Escrow Agent as at the Closing Time, substantially in the form attached hereto as Exhibit "1";</w:t>
      </w:r>
    </w:p>
    <w:p>
      <w:pPr>
        <w:spacing w:after="0" w:line="142" w:lineRule="exact"/>
        <w:rPr>
          <w:rFonts w:ascii="Arial" w:cs="Arial" w:eastAsia="Arial" w:hAnsi="Arial"/>
          <w:sz w:val="16"/>
          <w:szCs w:val="16"/>
          <w:color w:val="auto"/>
        </w:rPr>
      </w:pPr>
    </w:p>
    <w:p>
      <w:pPr>
        <w:ind w:left="652" w:right="1920" w:hanging="652"/>
        <w:spacing w:after="0" w:line="501"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definition of "Escrowed Common Shares" shall be inserted as Section 1.1(fff.1) of the Purchase Agreement: "</w:t>
      </w:r>
      <w:r>
        <w:rPr>
          <w:rFonts w:ascii="Arial" w:cs="Arial" w:eastAsia="Arial" w:hAnsi="Arial"/>
          <w:sz w:val="18"/>
          <w:szCs w:val="18"/>
          <w:b w:val="1"/>
          <w:bCs w:val="1"/>
          <w:color w:val="auto"/>
        </w:rPr>
        <w:t>Escrowed Common Shares</w:t>
      </w:r>
      <w:r>
        <w:rPr>
          <w:rFonts w:ascii="Arial" w:cs="Arial" w:eastAsia="Arial" w:hAnsi="Arial"/>
          <w:sz w:val="18"/>
          <w:szCs w:val="18"/>
          <w:color w:val="auto"/>
        </w:rPr>
        <w:t>" has the meaning given in Section 2.3(a)(ii);</w:t>
      </w:r>
    </w:p>
    <w:p>
      <w:pPr>
        <w:ind w:left="652" w:right="1920" w:hanging="652"/>
        <w:spacing w:after="0" w:line="501"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definition of "Escrowed Preferred Shares" shall be inserted as Section 1.1(fff.2) of the Purchase Agreement: "</w:t>
      </w:r>
      <w:r>
        <w:rPr>
          <w:rFonts w:ascii="Arial" w:cs="Arial" w:eastAsia="Arial" w:hAnsi="Arial"/>
          <w:sz w:val="18"/>
          <w:szCs w:val="18"/>
          <w:b w:val="1"/>
          <w:bCs w:val="1"/>
          <w:color w:val="auto"/>
        </w:rPr>
        <w:t>Escrowed Preferred Shares</w:t>
      </w:r>
      <w:r>
        <w:rPr>
          <w:rFonts w:ascii="Arial" w:cs="Arial" w:eastAsia="Arial" w:hAnsi="Arial"/>
          <w:sz w:val="18"/>
          <w:szCs w:val="18"/>
          <w:color w:val="auto"/>
        </w:rPr>
        <w:t>" has the meaning given in Section 2.3(a)(iii);</w:t>
      </w:r>
    </w:p>
    <w:p>
      <w:pPr>
        <w:ind w:left="652" w:right="360" w:hanging="652"/>
        <w:spacing w:after="0" w:line="501"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"Escrowed Shares " contained at Section 1.1(ggg) of the Purchase Agreement shall be deleted and replaced with the following: "</w:t>
      </w:r>
      <w:r>
        <w:rPr>
          <w:rFonts w:ascii="Arial" w:cs="Arial" w:eastAsia="Arial" w:hAnsi="Arial"/>
          <w:sz w:val="18"/>
          <w:szCs w:val="18"/>
          <w:b w:val="1"/>
          <w:bCs w:val="1"/>
          <w:color w:val="auto"/>
        </w:rPr>
        <w:t>Escrowed Shares</w:t>
      </w:r>
      <w:r>
        <w:rPr>
          <w:rFonts w:ascii="Arial" w:cs="Arial" w:eastAsia="Arial" w:hAnsi="Arial"/>
          <w:sz w:val="18"/>
          <w:szCs w:val="18"/>
          <w:color w:val="auto"/>
        </w:rPr>
        <w:t>" means the Escrowed Common Shares and the Escrowed Preferred Shares;</w:t>
      </w:r>
    </w:p>
    <w:p>
      <w:pPr>
        <w:ind w:left="652" w:hanging="652"/>
        <w:spacing w:after="0" w:line="277"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"Escrowed Shares Escrow Agreement" contained at Section 1.1(hhh) of the Purchase Agreement shall be deleted and replaced with the following:</w:t>
      </w:r>
    </w:p>
    <w:p>
      <w:pPr>
        <w:spacing w:after="0" w:line="166" w:lineRule="exact"/>
        <w:rPr>
          <w:rFonts w:ascii="Arial" w:cs="Arial" w:eastAsia="Arial" w:hAnsi="Arial"/>
          <w:sz w:val="18"/>
          <w:szCs w:val="18"/>
          <w:color w:val="auto"/>
        </w:rPr>
      </w:pPr>
    </w:p>
    <w:p>
      <w:pPr>
        <w:jc w:val="both"/>
        <w:ind w:left="652"/>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Escrowed Shares Escrow Agreement</w:t>
      </w:r>
      <w:r>
        <w:rPr>
          <w:rFonts w:ascii="Arial" w:cs="Arial" w:eastAsia="Arial" w:hAnsi="Arial"/>
          <w:sz w:val="18"/>
          <w:szCs w:val="18"/>
          <w:color w:val="auto"/>
        </w:rPr>
        <w:t>" means the escrow agreement in respect of 13,491,100 Escrowed Common Shares to be entered into by and between the Purchaser, the Vendors and the Escrow Agent as at the Closing Time, in the form mutually agreed upon by the Vendors and the Purchaser;</w:t>
      </w:r>
    </w:p>
    <w:p>
      <w:pPr>
        <w:spacing w:after="0" w:line="18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"Registration Rights Agreement" contained at Section 1.1(iiii) of the Purchase Agreement shall be deleted and replaced with the following:</w:t>
      </w:r>
    </w:p>
    <w:p>
      <w:pPr>
        <w:spacing w:after="0" w:line="166" w:lineRule="exact"/>
        <w:rPr>
          <w:rFonts w:ascii="Arial" w:cs="Arial" w:eastAsia="Arial" w:hAnsi="Arial"/>
          <w:sz w:val="18"/>
          <w:szCs w:val="18"/>
          <w:color w:val="auto"/>
        </w:rPr>
      </w:pPr>
    </w:p>
    <w:p>
      <w:pPr>
        <w:jc w:val="both"/>
        <w:ind w:left="652"/>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Rights, Lock-Up and Standstill Agreement to be entered into between the Purchaser and each of the Vendors, at Closing, in the form attached hereto as Exhibit “4”, with any revisions to such form that are required in order to conform the defined terms used therein with the defined terms which are amended by or added to this Agreement by the amending agreement dated March 15, 2018 among the Parties;</w:t>
      </w:r>
    </w:p>
    <w:p>
      <w:pPr>
        <w:spacing w:after="0" w:line="184"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definition of "Supplemental Escrow Agreement" shall be inserted as Section 1.1(zzzzz.1) of the Purchase Agreement:</w:t>
      </w:r>
    </w:p>
    <w:p>
      <w:pPr>
        <w:spacing w:after="0" w:line="221" w:lineRule="exact"/>
        <w:rPr>
          <w:rFonts w:ascii="Arial" w:cs="Arial" w:eastAsia="Arial" w:hAnsi="Arial"/>
          <w:sz w:val="18"/>
          <w:szCs w:val="18"/>
          <w:color w:val="auto"/>
        </w:rPr>
      </w:pPr>
    </w:p>
    <w:p>
      <w:pPr>
        <w:jc w:val="both"/>
        <w:ind w:left="652"/>
        <w:spacing w:after="0" w:line="28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Supplemental Escrow Agreement</w:t>
      </w:r>
      <w:r>
        <w:rPr>
          <w:rFonts w:ascii="Arial" w:cs="Arial" w:eastAsia="Arial" w:hAnsi="Arial"/>
          <w:sz w:val="17"/>
          <w:szCs w:val="17"/>
          <w:color w:val="auto"/>
        </w:rPr>
        <w:t>" means the escrow agreement in respect of Cdn.$14,959,749 of the Escrow Amount in cash, 2,340,824 of the Escrowed Common Shares, and the 692 Escrowed Preferred Shares to be entered into by and between the Purchaser, the Vendors and the Escrow Agent as at the Closing Time, in the form mutually agreed upon by the Vendors and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Payment of Purchase Consideration</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2.3(a)(ii)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72" w:lineRule="auto"/>
        <w:rPr>
          <w:rFonts w:ascii="Arial" w:cs="Arial" w:eastAsia="Arial" w:hAnsi="Arial"/>
          <w:sz w:val="18"/>
          <w:szCs w:val="18"/>
          <w:color w:val="auto"/>
        </w:rPr>
      </w:pPr>
      <w:r>
        <w:rPr>
          <w:rFonts w:ascii="Arial" w:cs="Arial" w:eastAsia="Arial" w:hAnsi="Arial"/>
          <w:sz w:val="17"/>
          <w:szCs w:val="17"/>
          <w:color w:val="auto"/>
        </w:rPr>
        <w:t>"Thirty Two Million Seven Hundred Ninety Thousand Eight Hundred and Sixty Eight (32,790,868) Purchaser Common Shares shall be issued to the applicable Vendors in accordance with the allocation set forth in Schedule "A", of which an aggregate of Fifteen Million Eight Hundred Thirty One Thousand Nine Hundred Twenty Four (15,831,924) Purchaser Common Shares (the "</w:t>
      </w:r>
      <w:r>
        <w:rPr>
          <w:rFonts w:ascii="Arial" w:cs="Arial" w:eastAsia="Arial" w:hAnsi="Arial"/>
          <w:sz w:val="17"/>
          <w:szCs w:val="17"/>
          <w:b w:val="1"/>
          <w:bCs w:val="1"/>
          <w:color w:val="auto"/>
        </w:rPr>
        <w:t>Escrowed Common Shares</w:t>
      </w:r>
      <w:r>
        <w:rPr>
          <w:rFonts w:ascii="Arial" w:cs="Arial" w:eastAsia="Arial" w:hAnsi="Arial"/>
          <w:sz w:val="17"/>
          <w:szCs w:val="17"/>
          <w:color w:val="auto"/>
        </w:rPr>
        <w:t>") shall be deposited with the Escrow Agent on the Closing Date. For greater certainty, Thirteen Million Four Hundred Ninety One Thousand One Hundred (13,491,100) of such Escrowed Common Shares shall be deposited with the Escrow Agent pursuant to the terms of the Escrowed Shares Escrow Agreement and Two Million Three Hundred Forty Thousand Eight Hundred and Twenty Four (2,340,824) of such Escrowed Common Shares shall be deposited with the Escrow Agent pursuant to the terms of the Supplemental Escrow Agreement;"</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2.3(a)(iii)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"Nine Thousand Six Hundred and Seventy Nine (9,679) Purchaser Preferred Shares shall be issued to the Torgerson Trust, of which an aggregate of Six Hundred and Ninety Two (692) Purchaser Preferred Shares shall be deposited with the Escrow Agent on the Closing Date pursuant to the terms of the Supplemental Escrow Agreement (the "</w:t>
      </w:r>
      <w:r>
        <w:rPr>
          <w:rFonts w:ascii="Arial" w:cs="Arial" w:eastAsia="Arial" w:hAnsi="Arial"/>
          <w:sz w:val="18"/>
          <w:szCs w:val="18"/>
          <w:b w:val="1"/>
          <w:bCs w:val="1"/>
          <w:color w:val="auto"/>
        </w:rPr>
        <w:t>Escrowed Preferred Shares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2.3(a)(v)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"Cdn.$43,459,749 in cash shall be deposited with the Escrow Agent as at the Closing Date pursuant to the terms of the Escrow Agreement and the Supplemental Escrow Agreement (the "</w:t>
      </w:r>
      <w:r>
        <w:rPr>
          <w:rFonts w:ascii="Arial" w:cs="Arial" w:eastAsia="Arial" w:hAnsi="Arial"/>
          <w:sz w:val="18"/>
          <w:szCs w:val="18"/>
          <w:b w:val="1"/>
          <w:bCs w:val="1"/>
          <w:color w:val="auto"/>
        </w:rPr>
        <w:t>Escrow Amount</w:t>
      </w:r>
      <w:r>
        <w:rPr>
          <w:rFonts w:ascii="Arial" w:cs="Arial" w:eastAsia="Arial" w:hAnsi="Arial"/>
          <w:sz w:val="18"/>
          <w:szCs w:val="18"/>
          <w:color w:val="auto"/>
        </w:rPr>
        <w:t>"), of which Cdn.$28,500,000 shall be deposited with the Escrow Agent pursuant to the terms of the Escrow Agreement and Cdn.$14,959,749 shall be deposited with the Escrow Agent pursuant to the terms of the Supplemental Escrow Agreement;"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2.5(a)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"the Escrowed Shares referenced in Sections 2.3(a)(ii) and (iii) will be delivered in certificated form at Closing, and in the case of the Escrowed Common Shares registered in the name of the applicable Vendors, as allocated in accordance with Schedule "A", and in the case of the Escrowed Preferred Shares registered in the name of the Torgerson Trust, and shall be deposited with the Escrow Agent on Closing;"</w:t>
      </w:r>
    </w:p>
    <w:p>
      <w:pPr>
        <w:spacing w:after="0" w:line="16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2.5(c) of the Purchase Agreement is hereby deleted and replaced with the following:</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Consideration Shares referenced in Section 2.3(a)(iii) (being the Purchaser Preferred Shares) other than the Escrowed Preferred Shares will be delivered in certificated form at Closing, registered in the name of the Torgerson Trust."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2.6(d)(i)(A)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"less than the Estimated Working Capital, the Escrow Agent shall promptly, and in any event, within fifteen (15) days of acceptance of the Closing Balance Sheet and the Closing Statement by the Vendors or the date of final determination pursuant to Section 2.6(c) hereof, as applicable, pay from the Escrow Amount by certified cheque or wire transfer to Purchaser, an amount equal to the lesser of: (I) the difference between the Working Capital as finally determined in accordance with the provisions in Section 2.6(c) and the Estimated Working Capital (the "</w:t>
      </w:r>
      <w:r>
        <w:rPr>
          <w:rFonts w:ascii="Arial" w:cs="Arial" w:eastAsia="Arial" w:hAnsi="Arial"/>
          <w:sz w:val="18"/>
          <w:szCs w:val="18"/>
          <w:b w:val="1"/>
          <w:bCs w:val="1"/>
          <w:color w:val="auto"/>
        </w:rPr>
        <w:t>Final Working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Deficiency</w:t>
      </w:r>
      <w:r>
        <w:rPr>
          <w:rFonts w:ascii="Arial" w:cs="Arial" w:eastAsia="Arial" w:hAnsi="Arial"/>
          <w:sz w:val="18"/>
          <w:szCs w:val="18"/>
          <w:color w:val="auto"/>
        </w:rPr>
        <w:t>"); and (II) Cdn$28,500,000. If the Final Working Capital Deficiency is greater than Cdn.$28,500,000, then, in addition to payment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Escrow Agent of Cdn.$28,500,000 of the Escrow Amount to the Purchaser, the Vendors shall also pay by certified cheque or wire transfer to the Purchaser within such fifteen (15) day period, an amount equal to the difference between Cdn.$28,500,000 and the Final Working Capital Deficiency;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2.6(d)(vi)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67" w:lineRule="auto"/>
        <w:rPr>
          <w:rFonts w:ascii="Arial" w:cs="Arial" w:eastAsia="Arial" w:hAnsi="Arial"/>
          <w:sz w:val="18"/>
          <w:szCs w:val="18"/>
          <w:color w:val="auto"/>
        </w:rPr>
      </w:pPr>
      <w:r>
        <w:rPr>
          <w:rFonts w:ascii="Arial" w:cs="Arial" w:eastAsia="Arial" w:hAnsi="Arial"/>
          <w:sz w:val="17"/>
          <w:szCs w:val="17"/>
          <w:color w:val="auto"/>
        </w:rPr>
        <w:t>"The Purchaser shall use their reasonable efforts to complete the Required Work by no later than 18 months from the Closing Date. On and after the Closing Time, the Purchaser shall promptly provide the Vendors with evidence of all expenditures made by the Corporation or the Purchaser in respect of the Required Work. The amount of any expenditures to complete the Required Work to a maximum of Cdn.$3,400,000.00 (the "</w:t>
      </w:r>
      <w:r>
        <w:rPr>
          <w:rFonts w:ascii="Arial" w:cs="Arial" w:eastAsia="Arial" w:hAnsi="Arial"/>
          <w:sz w:val="17"/>
          <w:szCs w:val="17"/>
          <w:b w:val="1"/>
          <w:bCs w:val="1"/>
          <w:color w:val="auto"/>
        </w:rPr>
        <w:t>Required</w:t>
      </w:r>
      <w:r>
        <w:rPr>
          <w:rFonts w:ascii="Arial" w:cs="Arial" w:eastAsia="Arial" w:hAnsi="Arial"/>
          <w:sz w:val="17"/>
          <w:szCs w:val="17"/>
          <w:color w:val="auto"/>
        </w:rPr>
        <w:t xml:space="preserve"> </w:t>
      </w:r>
      <w:r>
        <w:rPr>
          <w:rFonts w:ascii="Arial" w:cs="Arial" w:eastAsia="Arial" w:hAnsi="Arial"/>
          <w:sz w:val="17"/>
          <w:szCs w:val="17"/>
          <w:b w:val="1"/>
          <w:bCs w:val="1"/>
          <w:color w:val="auto"/>
        </w:rPr>
        <w:t>Work Cap</w:t>
      </w:r>
      <w:r>
        <w:rPr>
          <w:rFonts w:ascii="Arial" w:cs="Arial" w:eastAsia="Arial" w:hAnsi="Arial"/>
          <w:sz w:val="17"/>
          <w:szCs w:val="17"/>
          <w:color w:val="auto"/>
        </w:rPr>
        <w:t>") shall constitute a deduction from the Escrow Amount held pursuant to the Escrow Agreement, and shall be the sole and 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remedy of the Purchaser for such expenditures on Required Work, and, within fifteen (15) days of delivery of evidence of such paid expenditures for the Required Work, the Escrow Agent shall pay (and shall be jointly instructed by the Purchaser and the Vendors to pay) from the Escrow Amount held pursuant to the Escrow Agreement by certified cheque or wire transfer to the Purchaser, an amount equal to such paid expenditures for the Required Work to a maximum of the Required Work Cap. If expenditures for Required Work equal to at least the Required Work Portion of the Escrow Amount held pursuant to the Escrow Agreement is not completed by the date that is 18 months from the Closing Date, then an amount equal to the Required Work Portion of the Escrow Amount held pursuant to the Escrow Agreement, less any amounts previously released to the Purchaser in respect of any Required Work, shall be paid and released by the Escrow Agent to the Vendors (and the Escrow Agent shall be jointly instructed by the Purchaser and the Vendors to do so) from the Escrow Amount held pursuant to the Escrow Agreement by certified cheque or wire transfer. There shall be no deduction to the Escrow Amount held pursuant to the Escrow Agreement, the Escrow Amount held pursuant pursuant to the Supplemental Escrow Agreement, or the Purchase Price for any amount by which the actual expenditures for the Required Work exceed the Required Work Cap (the "</w:t>
      </w:r>
      <w:r>
        <w:rPr>
          <w:rFonts w:ascii="Arial" w:cs="Arial" w:eastAsia="Arial" w:hAnsi="Arial"/>
          <w:sz w:val="17"/>
          <w:szCs w:val="17"/>
          <w:b w:val="1"/>
          <w:bCs w:val="1"/>
          <w:color w:val="auto"/>
        </w:rPr>
        <w:t>Excess Expenditures</w:t>
      </w:r>
      <w:r>
        <w:rPr>
          <w:rFonts w:ascii="Arial" w:cs="Arial" w:eastAsia="Arial" w:hAnsi="Arial"/>
          <w:sz w:val="17"/>
          <w:szCs w:val="17"/>
          <w:color w:val="auto"/>
        </w:rPr>
        <w:t>") and the Purchaser shall not be entitled make any claim against the Vendors or Torgerson pursuant to Article 10 for any of the Excess Expenditures. Any Dispute in relation to whether or not the Required Work has been completed, or the amount of any expenditure in respect of the Required Work by the Purchaser, shall be determined in accordance with Article 15. For greater certainty, the Parties acknowledge and agree that the condition of the carpets or general aesthetics at the Corporation's locations shall not constitute Required Work."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10.2(f)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"in respect of any amount in excess of the Required Work Portion of the Escrow Amount held under the Escrow Agreement to a maximum of the Required Work Cap incurred by the Purchaser in connection with the Required Work on or before the date that is 18 months from the Closing Date; and"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10.3(k)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“a Party is not entitled to double recovery even though they may have resulted from the breach of more than one of the representations, warranties, covenants and obligations of another Party in this Agreement. No Party has any liability or obligation with respect to any claim for indemnification to the extent that such matter was reflected as a Working Capital adjustment pursuant to Section 2.6 of this Agreement, or as a deduction or set-off to the Purchase Price, including from the portion of the Escrow Amount that is held pursuant to the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10.3(l) of the Purchase Agreement is hereby deleted and replaced with the following:</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seeking any recovery of indemnifiable Losses under Section 10.2(a) or 10.2(d), the Purchaser shall first exhaust all funds available from that portion of the Escrow Amount that is held pursuant to the Escrow Agreement, and thereafter shall seek recovery from the Representation and Warranty Insurance, if available, before making any claims against the Vendors or Torgerson personally;"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Precedent and Closing Deliveries</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11.2(g) of the Purchase Agreement is hereby deleted and replaced with the following:</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Purchaser shall have received the Escrow Agreement, the Escrowed Shares Escrow Agreement and the Supplemental Escrow Agreement, each duly executed by the Vendors and the Escrow Agent;"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11.3(f)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"the Consideration Shares shall have been (i) duly authorized and validly issued as fully paid and non-assessable Purchaser Shares; (ii) issued to the Vendors as contemplated herein with good and marketable title, free and clear of all Encumbrances other than Encumbrances arising under the Registration Rights Agreement, Escrowed Shares Escrow Agreement, Supplemental Escrow Agreement and applicable securities Laws; and (iii) assuming the accuracy of the representations and warranties of the Vendors set forth in Section 5.2, issued in compliance with all applicable securities Laws and not issued in violation of any purchase option, call option, right of first refusal, first offer, co-sale or participation preemptive right, subscription right or any similar right;"</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11.3(h) of the Purchase Agreement is hereby deleted and replaced with the following:</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Vendors shall have received the Escrow Agreement, the Escrowed Shares Escrow Agreement and the Supplemental Escrow Agreement, each duly executed by the Purchaser and the Escrow Agent;"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12.2(a)(xiv) of the Purchase Agreement is hereby deleted and replaced with the following:</w:t>
      </w:r>
    </w:p>
    <w:p>
      <w:pPr>
        <w:spacing w:after="0" w:line="225"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"the Escrow Agreement, the Escrowed Shares Escrow Agreement, the Supplemental Escrow Agreement and the Registration Rights Agreement, each duly executed by Vendors;"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12.2(b)(iv) of the Purchase Agreement is hereby deleted and replaced with the following:</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"evidence that the Consideration Shares have been registered in the name of each of the Vendors, as applicable, or such other name as each such Vendor may direct, and that the Escrowed Shares have been deposited with the Escrow Agent in accordance with the Escrowed Shares Escrow Agreement and the Supplemental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12.2(b)(viii) of the Purchase Agreement is hereby deleted and replaced with the following:</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Escrow Agreement, Escrowed Shares Escrow Agreement, Supplemental Escrow Agreement, Non-Competition Agreements and Registration Rights Agreement, duly executed by the Purchaser;"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 Application</w:t>
      </w:r>
    </w:p>
    <w:p>
      <w:pPr>
        <w:spacing w:after="0" w:line="225" w:lineRule="exact"/>
        <w:rPr>
          <w:sz w:val="20"/>
          <w:szCs w:val="20"/>
          <w:color w:val="auto"/>
        </w:rPr>
      </w:pPr>
    </w:p>
    <w:p>
      <w:pPr>
        <w:jc w:val="both"/>
        <w:ind w:left="660" w:hanging="652"/>
        <w:spacing w:after="0" w:line="28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Corporation hereby covenants, acknowledges and agrees that, prior to Closing: (a) it shall not enter into any collective bargaining agreement with UNITE HERE Local 47 without the prior written consent of the Purchaser, which consent shall not be unreasonably withheld, conditioned or delayed; (b) the Corporation shall advise the Purchaser of any and all negotiations with UNITE HERE Local 47; and (c) it shall allow the Purchaser to fully participate with the Corporation in any and all negotiations with UNITE HERE Local 47. For greater certainty, each of the Parties hereby acknowledges and agrees that the Corporation’s and Purchaser's communication with, or participation in any negotiation with, UNITE HERE Local 47 (i) shall not constitute an incorrectness in or breach of or non-fulfillment of any covenant or of any representation or warranty of the Corporation, the Vendors, Torgerson, or the Purchaser, as applicable, contained in the Purchase Agreement (or in any agreement, instrument, certificate or other document delivered by any of them pursuant to the Purchase Agreement, including, without limitation, any Ancillary Transaction Documents) and</w:t>
      </w:r>
    </w:p>
    <w:p>
      <w:pPr>
        <w:spacing w:after="0" w:line="1" w:lineRule="exact"/>
        <w:rPr>
          <w:rFonts w:ascii="Arial" w:cs="Arial" w:eastAsia="Arial" w:hAnsi="Arial"/>
          <w:sz w:val="16"/>
          <w:szCs w:val="16"/>
          <w:color w:val="auto"/>
        </w:rPr>
      </w:pPr>
    </w:p>
    <w:p>
      <w:pPr>
        <w:jc w:val="both"/>
        <w:ind w:left="660" w:hanging="4"/>
        <w:spacing w:after="0" w:line="255" w:lineRule="auto"/>
        <w:tabs>
          <w:tab w:leader="none" w:pos="9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shall not give rise to any rights to indemnification for the benefit of any Purchaser Indemnified Parties or the benefit of any Vendor Indemnified Parties under Article 10 of the Purchase Agreement. The Vendors and the Purchaser each hereby waive any and all conditions for their benefit contained in Article 11 of the Purchase Agreement that relate to such communication or negotiation.</w:t>
      </w:r>
    </w:p>
    <w:p>
      <w:pPr>
        <w:spacing w:after="0" w:line="1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Purchaser hereby covenants, acknowledges and agrees that from and after Closing, the Corporation and the Purchaser shall provide to the Vendors all documentation (including any collective agreements) that are reasonably necessary to allow the Vendors to verify any and all matters and releases under the Supplemental Escrow Agreement.</w:t>
      </w:r>
    </w:p>
    <w:p>
      <w:pPr>
        <w:spacing w:after="0" w:line="18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Purchaser hereby covenants, acknowledges and agrees that it shall, and after Closing shall cause the Corporation to, in good faith use commercially reasonable efforts to negotiate the terms and conditions of any collective agreement with UNITE HERE Local 47 in a manner that seeks to mitigate and minimize, to the extent reasonably possible, any release from the portion of the Escrow Amount that is held pursuant to the Supplemental Escrow Agreement.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Purchaser hereby acknowledges and agrees that: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Certification Application;</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certification of UNITE HERE Local 47 as the collective bargaining agent for employees of the Corporation;</w:t>
      </w:r>
    </w:p>
    <w:p>
      <w:pPr>
        <w:spacing w:after="0" w:line="225" w:lineRule="exact"/>
        <w:rPr>
          <w:rFonts w:ascii="Arial" w:cs="Arial" w:eastAsia="Arial" w:hAnsi="Arial"/>
          <w:sz w:val="18"/>
          <w:szCs w:val="18"/>
          <w:color w:val="auto"/>
        </w:rPr>
      </w:pPr>
    </w:p>
    <w:p>
      <w:pPr>
        <w:ind w:left="1620" w:right="80" w:hanging="315"/>
        <w:spacing w:after="0" w:line="277" w:lineRule="auto"/>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execution of any collective bargaining agreement which the Purchaser has consented to in writing in accordance with Section 27 of this Amending Agreement;</w:t>
      </w:r>
    </w:p>
    <w:p>
      <w:pPr>
        <w:spacing w:after="0" w:line="170"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facts, circumstances or events arising as a result of any conduct or actions taken by or on behalf of the Purchaser or the Corporation pursuant to Section 27 of this Amending Agreement (including any meetings, negotiations or other communications with UNITE HERE Local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left="1620" w:hanging="315"/>
        <w:spacing w:after="0"/>
        <w:tabs>
          <w:tab w:leader="none" w:pos="16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facts, circumstances or events arising as a result of the Corporation’s withdrawal of its objection to the Certification Application; or</w:t>
      </w:r>
    </w:p>
    <w:p>
      <w:pPr>
        <w:spacing w:after="0" w:line="248" w:lineRule="exact"/>
        <w:rPr>
          <w:rFonts w:ascii="Arial" w:cs="Arial" w:eastAsia="Arial" w:hAnsi="Arial"/>
          <w:sz w:val="16"/>
          <w:szCs w:val="16"/>
          <w:color w:val="auto"/>
        </w:rPr>
      </w:pPr>
    </w:p>
    <w:p>
      <w:pPr>
        <w:ind w:left="1620" w:hanging="315"/>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unfair labour practice complaints raised by UNITE HERE Local 47 or any employees of the Corporation in relation to negotiations described in Section 29 or the matters set out in Section 30 of this Amending Agreement,</w:t>
      </w:r>
    </w:p>
    <w:p>
      <w:pPr>
        <w:spacing w:after="0" w:line="170" w:lineRule="exact"/>
        <w:rPr>
          <w:rFonts w:ascii="Arial" w:cs="Arial" w:eastAsia="Arial" w:hAnsi="Arial"/>
          <w:sz w:val="18"/>
          <w:szCs w:val="18"/>
          <w:color w:val="auto"/>
        </w:rPr>
      </w:pPr>
    </w:p>
    <w:p>
      <w:pPr>
        <w:jc w:val="both"/>
        <w:ind w:left="660" w:hanging="4"/>
        <w:spacing w:after="0" w:line="255" w:lineRule="auto"/>
        <w:tabs>
          <w:tab w:leader="none" w:pos="8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shall be deemed to not constitute a breach or non-fulfillment by the Corporation or any of the Vendors or Torgerson of any covenant or agreement, or a breach of or incorrectness in any representation or warranty of the Vendors or Torgerson, contained in the Purchase Agreement (or in any agreement, instrument, certificate or other document delivered pursuant to the Purchase Agreement, including, without limitation, any Ancillary Transaction Documents) and (ii) shall not give rise to any rights to indemnification for the benefit of any Purchaser Indemnified Parties under Article 10 of the Purchase Agreement. The Purchaser hereby waives any and all conditions for its benefit contained in Article 11 of the Purchase Agreement and relating to the above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on Purchase Agreement</w:t>
      </w:r>
    </w:p>
    <w:p>
      <w:pPr>
        <w:spacing w:after="0" w:line="225" w:lineRule="exact"/>
        <w:rPr>
          <w:sz w:val="20"/>
          <w:szCs w:val="20"/>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to the extent amended by this Agreement or any subsequent written consent, waiver or amending agreement among the Parties, the Parties hereby confirm the terms and provisions of the Purchase Agreement, which agreement shall continue in full force and effect in accordance with the terms thereof.</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Amending Agreement may be executed in counterparts and delivered by facsimile or other electronic means, each of which shall be deemed an original and all of which taken together shall constitute one and the same instrument.</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and delivered this Amending Agreement as of the date and year first written above.</w:t>
      </w:r>
    </w:p>
    <w:p>
      <w:pPr>
        <w:spacing w:after="0" w:line="23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color w:val="auto"/>
        </w:rPr>
        <w:t>/s/ Bradley J. Dodson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President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i w:val="1"/>
          <w:iCs w:val="1"/>
          <w:color w:val="auto"/>
        </w:rPr>
        <w:t>Counterpart Signature Page to the Amending Agreement among Civeo Corporation, the Torgerson Family Trust, 989677 Alberta Ltd., 1818939 Alberta Ltd., 2040618 Alberta Ltd., 2040624 Alberta Ltd., 2073357 Alberta Ltd., 2073358 Alberta Ltd., Lance Torgerson and Noralta Lodge Ltd. dated effective 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left="5080"/>
        <w:spacing w:after="0"/>
        <w:rPr>
          <w:sz w:val="20"/>
          <w:szCs w:val="20"/>
          <w:color w:val="auto"/>
        </w:rPr>
      </w:pPr>
      <w:r>
        <w:rPr>
          <w:rFonts w:ascii="Arial" w:cs="Arial" w:eastAsia="Arial" w:hAnsi="Arial"/>
          <w:sz w:val="18"/>
          <w:szCs w:val="18"/>
          <w:b w:val="1"/>
          <w:bCs w:val="1"/>
          <w:color w:val="auto"/>
        </w:rPr>
        <w:t>TORGERSON FAMILY TRUST</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color w:val="auto"/>
        </w:rPr>
        <w:t>/s/ Lance Torgerson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tab/>
        <w:t>Trustee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2073357 ALBERTA LTD.</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Lance Torgerson</w:t>
      </w:r>
    </w:p>
    <w:p>
      <w:pPr>
        <w:spacing w:after="0" w:line="2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2073358 ALBERTA LTD.</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color w:val="auto"/>
        </w:rPr>
        <w:t>/s/ Corey Smith</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Corey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1818939 ALBERTA LTD.</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color w:val="auto"/>
        </w:rPr>
        <w:t>/s/ Lance Torgerson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2040618 ALBERTA LTD.</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color w:val="auto"/>
        </w:rPr>
        <w:t>/s/ Lance Torgerson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2040624 ALBERTA LTD.</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color w:val="auto"/>
        </w:rPr>
        <w:t>/s/ Lance Torgerson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center"/>
        <w:ind w:left="740" w:right="739"/>
        <w:spacing w:after="0" w:line="259" w:lineRule="auto"/>
        <w:rPr>
          <w:sz w:val="20"/>
          <w:szCs w:val="20"/>
          <w:color w:val="auto"/>
        </w:rPr>
      </w:pPr>
      <w:r>
        <w:rPr>
          <w:rFonts w:ascii="Arial" w:cs="Arial" w:eastAsia="Arial" w:hAnsi="Arial"/>
          <w:sz w:val="18"/>
          <w:szCs w:val="18"/>
          <w:b w:val="1"/>
          <w:bCs w:val="1"/>
          <w:i w:val="1"/>
          <w:iCs w:val="1"/>
          <w:color w:val="auto"/>
        </w:rPr>
        <w:t>Counterpart Signature Page to the Amending Agreement among Civeo Corporation, the Torgerson Family Trust, 989677 Alberta Ltd., 1818939 Alberta Ltd., 2040618 Alberta Ltd., 2040624 Alberta Ltd., 2073357 Alberta Ltd., 2073358 Alberta Ltd., Lance Torgerson and Noralta Lodge Ltd. dated effective 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350520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2" w:name="page13"/>
    <w:bookmarkEnd w:id="12"/>
    <w:p>
      <w:pPr>
        <w:ind w:left="5400"/>
        <w:spacing w:after="0"/>
        <w:rPr>
          <w:sz w:val="20"/>
          <w:szCs w:val="20"/>
          <w:color w:val="auto"/>
        </w:rPr>
      </w:pPr>
      <w:r>
        <w:rPr>
          <w:rFonts w:ascii="Arial" w:cs="Arial" w:eastAsia="Arial" w:hAnsi="Arial"/>
          <w:sz w:val="18"/>
          <w:szCs w:val="18"/>
          <w:b w:val="1"/>
          <w:bCs w:val="1"/>
          <w:color w:val="auto"/>
        </w:rPr>
        <w:t>989677 ALBERTA LTD.</w:t>
      </w:r>
    </w:p>
    <w:p>
      <w:pPr>
        <w:spacing w:after="0" w:line="200" w:lineRule="exact"/>
        <w:rPr>
          <w:sz w:val="20"/>
          <w:szCs w:val="20"/>
          <w:color w:val="auto"/>
        </w:rPr>
      </w:pPr>
    </w:p>
    <w:p>
      <w:pPr>
        <w:spacing w:after="0" w:line="245"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color w:val="auto"/>
        </w:rPr>
        <w:t>/s/ Lance Torgerson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NORALTA LODGE LTD.</w:t>
      </w:r>
    </w:p>
    <w:p>
      <w:pPr>
        <w:spacing w:after="0" w:line="200" w:lineRule="exact"/>
        <w:rPr>
          <w:sz w:val="20"/>
          <w:szCs w:val="20"/>
          <w:color w:val="auto"/>
        </w:rPr>
      </w:pPr>
    </w:p>
    <w:p>
      <w:pPr>
        <w:spacing w:after="0" w:line="245"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color w:val="auto"/>
        </w:rPr>
        <w:t>/s/ Lance Torgerson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-130810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Chairman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Tammy Torgerson</w:t>
            </w:r>
          </w:p>
        </w:tc>
        <w:tc>
          <w:tcPr>
            <w:tcW w:w="1760" w:type="dxa"/>
            <w:vAlign w:val="bottom"/>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28"/>
        </w:trPr>
        <w:tc>
          <w:tcPr>
            <w:tcW w:w="4400" w:type="dxa"/>
            <w:vAlign w:val="bottom"/>
          </w:tcPr>
          <w:p>
            <w:pPr>
              <w:spacing w:after="0"/>
              <w:rPr>
                <w:sz w:val="20"/>
                <w:szCs w:val="20"/>
                <w:color w:val="auto"/>
              </w:rPr>
            </w:pPr>
            <w:r>
              <w:rPr>
                <w:rFonts w:ascii="Arial" w:cs="Arial" w:eastAsia="Arial" w:hAnsi="Arial"/>
                <w:sz w:val="18"/>
                <w:szCs w:val="18"/>
                <w:b w:val="1"/>
                <w:bCs w:val="1"/>
                <w:color w:val="auto"/>
              </w:rPr>
              <w:t>WITNESS</w:t>
            </w:r>
          </w:p>
        </w:tc>
        <w:tc>
          <w:tcPr>
            <w:tcW w:w="17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LANCE TORGERSON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80"/>
        <w:spacing w:after="0" w:line="259" w:lineRule="auto"/>
        <w:rPr>
          <w:sz w:val="20"/>
          <w:szCs w:val="20"/>
          <w:color w:val="auto"/>
        </w:rPr>
      </w:pPr>
      <w:r>
        <w:rPr>
          <w:rFonts w:ascii="Arial" w:cs="Arial" w:eastAsia="Arial" w:hAnsi="Arial"/>
          <w:sz w:val="18"/>
          <w:szCs w:val="18"/>
          <w:b w:val="1"/>
          <w:bCs w:val="1"/>
          <w:i w:val="1"/>
          <w:iCs w:val="1"/>
          <w:color w:val="auto"/>
        </w:rPr>
        <w:t>Counterpart Signature Page to the Amending Agreement among Civeo Corporation, the Torgerson Family Trust, 989677 Alberta Ltd., 1818939 Alberta Ltd., 2040618 Alberta Ltd., 2040624 Alberta Ltd., 2073357 Alberta Ltd., 2073358 Alberta Ltd., Lance Torgerson and Noralta Lodge Ltd. dated effective March 15, 2018.</w:t>
      </w:r>
    </w:p>
    <w:p>
      <w:pPr>
        <w:sectPr>
          <w:pgSz w:w="11900" w:h="16838" w:orient="portrait"/>
          <w:cols w:equalWidth="0" w:num="1">
            <w:col w:w="10540"/>
          </w:cols>
          <w:pgMar w:left="1120" w:top="5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32205" cy="582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220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Civeo Amends Share Purchase Agreement With Noralta Lodge</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HOUSTON, Mar. 15, 2018 (GLOBE NEWSWIRE) – Civeo Corporation ("Civeo" or the "Company") (NYSE:CVEO), one of the largest global providers of workforce accommodations, logistics and facility management services to the natural resource industry, announced today that it has entered into an amendment (the “Amending Agreement”) with Noralta Lodge Ltd. (“Noralta”) and the other parties to the share purchase agreement, dated November 26, 2017 (the “Share Purchase Agreement”).</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Amending Agreement amends the Share Purchase Agreement to, among other things, place an additional C$30 million of the total consideration into an escrow account, comprised of C$14.960 million of cash, 2,340,824 Civeo common shares and 692 Civeo convertible preferred shares (collectively, the “Contingent Consideration”) to be released to Civeo and/or the current shareholders of Noralta based on the actual increased employee compensation costs that may be incurred by Noralta as a result of the recent union certification of certain classes of Noralta employees by UNITE HERE Local 47 (“Local 47”), as described below.</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March 14, 2018, the Alberta Labour Relations Board (the “ALRB”) approved an application for certification as bargaining agent brought by Local 47 affecting certain classes of employees of Noralta. As a result of this approval, Local 47 has been certified as bargaining agent for such Noralta employees and it is expected that a collective bargaining agreement will be entered into between Noralta and Local 47 for the referenced employees of Noralta. When a collective bargaining agreement is reached, Civeo anticipates that Noralta will be subject to increased employee compensation costs and would experience a decrease in EBITDA from what was previously expected. The actual expected increased employee compensation costs will not be known until a collective bargaining agreement has been reached between Noralta and Local 47. Accordingly, the parties have agreed that the Contingent Consideration will be deposited into escrow upon the closing of the transaction contemplated by the Share Purchase Agreement to potentially adjust the purchase price to compensate Civeo for the expected increase in employee compensation costs resulting from collective bargaining agreement with Local 47.</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Closing of the acquisition of Noralta by Civeo under the Share Purchase Agreement, as amended by the Amending Agreement, is still subject to Civeo’s shareholders approving the issuance of Civeo shares in connection with the acquisition and other customary closing conditions, including listing of the shares to be issued in the acquisition on the New York Stock Exchange. Civeo has called a special meeting of its shareholders on March 28, 2018 at which shareholders will be asked to approve the share issuance.</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Amending Agreement does not affect the validity of any proxy card or voting instructions that Civeo shareholders may have previously received or delivered. If a shareholder has already submitted a proxy or voting instructions, he or she will be considered to have voted as specified in that proxy or voting instructions and does not need to take any action, unless he or she wishes to revoke his or her proxy or change his or her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right="80"/>
        <w:spacing w:after="0" w:line="264" w:lineRule="auto"/>
        <w:rPr>
          <w:sz w:val="20"/>
          <w:szCs w:val="20"/>
          <w:color w:val="auto"/>
        </w:rPr>
      </w:pPr>
      <w:r>
        <w:rPr>
          <w:rFonts w:ascii="Arial" w:cs="Arial" w:eastAsia="Arial" w:hAnsi="Arial"/>
          <w:sz w:val="18"/>
          <w:szCs w:val="18"/>
          <w:color w:val="auto"/>
        </w:rPr>
        <w:t>If a shareholder still has the proxy card that was sent along with the proxy statement filed by Civeo on Schedule 14A, file No. 001-36246, on February 2, 2018 (the “Proxy Statement”), such shareholder may cause his or her shares to be voted at the Civeo special meeting by signing that proxy card and returning it by mail or by following the instructions on that proxy card for voting by telephone or Internet.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24,000 rooms. Civeo is publicly traded under the symbol CVEO on the New York Stock Exchange. For more information, please visit Civeo's website at </w:t>
      </w:r>
      <w:r>
        <w:rPr>
          <w:rFonts w:ascii="Arial" w:cs="Arial" w:eastAsia="Arial" w:hAnsi="Arial"/>
          <w:sz w:val="18"/>
          <w:szCs w:val="18"/>
          <w:u w:val="single" w:color="auto"/>
          <w:color w:val="auto"/>
        </w:rPr>
        <w:t>www.civeo.com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Statements included in this release regarding the impact of the recent union certification of certain classes of Noralta employees by Local 47 and other statements that are not historical facts are forward-looking statements (including within the meaning of Section 21E of the Securities Exchange Act of 1934 and Section 27A of the Securities Act). Forward-looking statements include words or phrases such as “anticipate,” “believe,” “contemplate,” “estimate,” “expect,” “intend,” “plan,” “project,” “could,” “may,” “might,” “should,” “will” and words and phrases of similar import. The forward-looking statements included herein are based on current expectations and entail various risks and uncertainties that could cause actual results to differ materially from those expressed or implied by these forward-looking statements. Risks and uncertainties with respect to any forward-looking statement included herein also include, among other things, the risk that the terms of any collective bargaining agreement will be less favorable to Noralta than expected, which may result in the Contingent Consideration not being sufficient to compensate Civeo for an increase in employee compensation costs resulting from the collective bargaining agreement, and other factors discussed in the “Management’s Discussion and Analysis of Financial Condition and Results of Operations” and “Risk Factors” sections of Civeo’s annual report on Form 10-K for the year ended December 31, 2017, the Proxy Statement and other reports Civeo may file from time to time with the U.S. Securities and Exchange Commission. Each forward-looking statement contained in this report speaks only as of the date of this release. Except as required by law, Civeo expressly disclaims any intention or obligation to revise or update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Frank C. Steininger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 Cunningham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713-353-5407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7"/>
    </w:lvl>
  </w:abstractNum>
  <w:abstractNum w:abstractNumId="7">
    <w:nsid w:val="1190CDE7"/>
    <w:multiLevelType w:val="hybridMultilevel"/>
    <w:lvl w:ilvl="0">
      <w:lvlJc w:val="left"/>
      <w:lvlText w:val="%1."/>
      <w:numFmt w:val="decimal"/>
      <w:start w:val="18"/>
    </w:lvl>
  </w:abstractNum>
  <w:abstractNum w:abstractNumId="8">
    <w:nsid w:val="66EF438D"/>
    <w:multiLevelType w:val="hybridMultilevel"/>
    <w:lvl w:ilvl="0">
      <w:lvlJc w:val="left"/>
      <w:lvlText w:val="%1."/>
      <w:numFmt w:val="decimal"/>
      <w:start w:val="20"/>
    </w:lvl>
  </w:abstractNum>
  <w:abstractNum w:abstractNumId="9">
    <w:nsid w:val="140E0F76"/>
    <w:multiLevelType w:val="hybridMultilevel"/>
    <w:lvl w:ilvl="0">
      <w:lvlJc w:val="left"/>
      <w:lvlText w:val="%1."/>
      <w:numFmt w:val="decimal"/>
      <w:start w:val="21"/>
    </w:lvl>
  </w:abstractNum>
  <w:abstractNum w:abstractNumId="10">
    <w:nsid w:val="3352255A"/>
    <w:multiLevelType w:val="hybridMultilevel"/>
    <w:lvl w:ilvl="0">
      <w:lvlJc w:val="left"/>
      <w:lvlText w:val="%1."/>
      <w:numFmt w:val="decimal"/>
      <w:start w:val="26"/>
    </w:lvl>
  </w:abstractNum>
  <w:abstractNum w:abstractNumId="11">
    <w:nsid w:val="109CF92E"/>
    <w:multiLevelType w:val="hybridMultilevel"/>
    <w:lvl w:ilvl="0">
      <w:lvlJc w:val="left"/>
      <w:lvlText w:val="%1."/>
      <w:numFmt w:val="decimal"/>
      <w:start w:val="27"/>
    </w:lvl>
    <w:lvl w:ilvl="1">
      <w:lvlJc w:val="left"/>
      <w:lvlText w:val="(%2)"/>
      <w:numFmt w:val="lowerLetter"/>
      <w:start w:val="35"/>
    </w:lvl>
    <w:lvl w:ilvl="2">
      <w:lvlJc w:val="left"/>
      <w:lvlText w:val="(%3)"/>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Letter"/>
      <w:start w:val="5"/>
    </w:lvl>
  </w:abstractNum>
  <w:abstractNum w:abstractNumId="13">
    <w:nsid w:val="7FDCC233"/>
    <w:multiLevelType w:val="hybridMultilevel"/>
    <w:lvl w:ilvl="0">
      <w:lvlJc w:val="left"/>
      <w:lvlText w:val="(%1)"/>
      <w:numFmt w:val="lowerLetter"/>
      <w:start w:val="9"/>
    </w:lvl>
    <w:lvl w:ilvl="1">
      <w:lvlJc w:val="left"/>
      <w:lvlText w:val="%2"/>
      <w:numFmt w:val="lowerLetter"/>
      <w:start w:val="1"/>
    </w:lvl>
  </w:abstractNum>
  <w:abstractNum w:abstractNumId="14">
    <w:nsid w:val="1BEFD79F"/>
    <w:multiLevelType w:val="hybridMultilevel"/>
    <w:lvl w:ilvl="0">
      <w:lvlJc w:val="left"/>
      <w:lvlText w:val="%1."/>
      <w:numFmt w:val="decimal"/>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2019-12-28T23:38:03Z</dcterms:created>
  <dcterms:modified xsi:type="dcterms:W3CDTF">2019-12-28T23:38:03Z</dcterms:modified>
</cp:coreProperties>
</file>