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April 27, 2018</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Civeo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British Columbia Canada</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1-36246</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98-1253716</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510-2400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724" w:right="359" w:bottom="1440" w:gutter="0" w:footer="0" w:header="0"/>
          <w:type w:val="continuous"/>
        </w:sectPr>
      </w:pP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April 27, 2018, Civeo Corporation (“Civeo”) issued a press release announcing its financial condition and results of operations as of and for the quarter ended March 31, 2018. A copy of the press release is furnished as Exhibit 99.1 to this report on Form 8-K, and is incorporated herein by reference.</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40" w:hanging="484"/>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ind w:left="20"/>
        <w:spacing w:after="0"/>
        <w:tabs>
          <w:tab w:leader="none" w:pos="7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dated April 27,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3"/>
          </w:tcPr>
          <w:p>
            <w:pPr>
              <w:ind w:left="2020"/>
              <w:spacing w:after="0"/>
              <w:rPr>
                <w:sz w:val="20"/>
                <w:szCs w:val="20"/>
                <w:color w:val="auto"/>
              </w:rPr>
            </w:pPr>
            <w:r>
              <w:rPr>
                <w:rFonts w:ascii="Arial" w:cs="Arial" w:eastAsia="Arial" w:hAnsi="Arial"/>
                <w:sz w:val="18"/>
                <w:szCs w:val="18"/>
                <w:b w:val="1"/>
                <w:bCs w:val="1"/>
                <w:color w:val="auto"/>
              </w:rPr>
              <w:t>Civeo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April 27, 2018</w:t>
            </w:r>
          </w:p>
        </w:tc>
        <w:tc>
          <w:tcPr>
            <w:tcW w:w="7900" w:type="dxa"/>
            <w:vAlign w:val="bottom"/>
            <w:gridSpan w:val="3"/>
          </w:tcPr>
          <w:p>
            <w:pPr>
              <w:ind w:left="2020"/>
              <w:spacing w:after="0"/>
              <w:rPr>
                <w:sz w:val="20"/>
                <w:szCs w:val="20"/>
                <w:color w:val="auto"/>
              </w:rPr>
            </w:pPr>
            <w:r>
              <w:rPr>
                <w:rFonts w:ascii="Arial" w:cs="Arial" w:eastAsia="Arial" w:hAnsi="Arial"/>
                <w:sz w:val="18"/>
                <w:szCs w:val="18"/>
                <w:color w:val="auto"/>
              </w:rPr>
              <w:t>By: /s/ Frank C. Steininger</w:t>
            </w:r>
          </w:p>
        </w:tc>
      </w:tr>
      <w:tr>
        <w:trPr>
          <w:trHeight w:val="222"/>
        </w:trPr>
        <w:tc>
          <w:tcPr>
            <w:tcW w:w="3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Frank C. Steininger</w:t>
            </w:r>
          </w:p>
        </w:tc>
        <w:tc>
          <w:tcPr>
            <w:tcW w:w="3520" w:type="dxa"/>
            <w:vAlign w:val="bottom"/>
          </w:tcPr>
          <w:p>
            <w:pPr>
              <w:spacing w:after="0"/>
              <w:rPr>
                <w:sz w:val="19"/>
                <w:szCs w:val="19"/>
                <w:color w:val="auto"/>
              </w:rPr>
            </w:pP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Executive Vice President, Chief Financial</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Description of Document</w:t>
      </w:r>
    </w:p>
    <w:p>
      <w:pPr>
        <w:spacing w:after="0" w:line="292"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dated April 27, 2018</w:t>
        </w:r>
      </w:hyperlink>
    </w:p>
    <w:p>
      <w:pPr>
        <w:sectPr>
          <w:pgSz w:w="11900" w:h="16838" w:orient="portrait"/>
          <w:cols w:equalWidth="0" w:num="1">
            <w:col w:w="10199"/>
          </w:cols>
          <w:pgMar w:left="26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Civeo Reports First Quarter 2018 Results</w:t>
      </w:r>
    </w:p>
    <w:p>
      <w:pPr>
        <w:spacing w:after="0" w:line="21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HOUSTON, April 27, 2018 (GLOBE NEWSWIRE) -- Civeo Corporation (NYSE:CVEO) today reported financial and operating results for the first quarter ended March 31,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Highlights since year-end include:</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Delivered first quarter revenues of $101.5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180"/>
        <w:spacing w:after="0" w:line="251" w:lineRule="auto"/>
        <w:rPr>
          <w:sz w:val="20"/>
          <w:szCs w:val="20"/>
          <w:color w:val="auto"/>
        </w:rPr>
      </w:pPr>
      <w:r>
        <w:rPr>
          <w:rFonts w:ascii="Arial" w:cs="Arial" w:eastAsia="Arial" w:hAnsi="Arial"/>
          <w:sz w:val="22"/>
          <w:szCs w:val="22"/>
          <w:color w:val="auto"/>
        </w:rPr>
        <w:t>Completed acquisition of Noralta Lodge, a premier accommodations provider in the Canadian Oil Sands region, on 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Completed acquisition of a 400 room accommodation facility near Lake Charles,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9"/>
          <w:szCs w:val="19"/>
          <w:color w:val="auto"/>
        </w:rPr>
        <w:t>Amended and restated the credit facility, extending the maturity date by 18 months to November 2020, on 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-76835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had a strategically successful start to 2018 highlighted by the close of two important acquisitions for our Company, strengthening our respective positions in the Canadian Oil Sands and U.S. Gulf Coast markets. Our teams are diligently advancing integration efforts as we continue to focus on providing best-in-class service levels for our customers and delivering value for all of our stakeholders. These acquisitions will deliver increased cash flows and further delever our balance sheet. The completion of an amendment to our credit facility was another important milestone for Civeo as we take steps to optimize our capital structure for growth in an increasingly healthy commodity price environment,” said Bradley J. Dodson, President and Chief Executive Officer.</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Mr. Dodson continued, “In Canada, the first quarter of 2018 was softer than anticipated with lower average daily rates related to the new McClelland Lake Ft. Hills contract and lower margins from our mobile camp business. However, our Canadian occupancy in March and outlook for April and May is optimistic due to strong turnaround activity. In Australia, we also experienced some extended holiday downtime to start the year followed by progressively stronger performance each month. And finally, the results for our U.S. segment continue to strengthen, driven by robust drilling activity in the Permian Basin and the addition of our new location on the U.S. Gulf Coast. We believe that the U.S. segment will achieve positive EBITDA in the second quarter. Against this encouraging fundamental backdrop, we will continue to focus on our strategic mandates of generating free cash flow, managing capital, and pursuing growth opportunities across our core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First Quarter 2018 Results</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In the first quarter of 2018, Civeo generated revenues of $101.5 million and reported a net loss of $55.5 million, or $0.42 per share. The loss represents a $56.0 million pre-tax loss resulting in part from a $28.7 million impairment charge as well as roughly $1.0 million in costs associated with the Noralta acquisition. During the first quarter of 2018, Civeo produced operating cash flow of $2.8 million, Adjusted EBITDA of $10.0 million and free cash flow of $2.9 million.</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(EBITDA is a non-GAAP financial measure that is defined as net income (loss) plus interest, taxes, depreciation and amortization, and Adjusted EBITDA is defined as EBITDA adjusted to exclude impairment charges and certain other costs.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43"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By comparison, in the first quarter of 2017, Civeo generated revenues of $91.4 million and reported a net loss of $21.0 million, or $0.17 per share. During the first quarter of 2017, Civeo generated operating cash flow of $9.8 million, Adjusted EBITDA of $15.2 million and free cash flow of $6.5 million.</w:t>
      </w:r>
    </w:p>
    <w:p>
      <w:pPr>
        <w:spacing w:after="0" w:line="186"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decline in Adjusted EBITDA was the result of lower EBITDA margins in Canada from reduced daily rates and a shift in revenue mix towards catering, mobile and open camp revenues and increased selling, general, and administrative expenses primarily associated with higher incentive compensation costs. The increase in net loss in the first quarter of 2018 compared to 2017 was primarily due to the aforementioned items, a $28.7 million pre-tax impairment charge and $1 million in costs associated with the Noralta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Business Segment Results</w:t>
      </w:r>
    </w:p>
    <w:p>
      <w:pPr>
        <w:spacing w:after="0" w:line="206"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(Unless otherwise noted, the following discussion compares the quarterly results for the first quarter of 2018 to the results for the first quarter of 2017. The Adjusted EBITDA amounts discussed below exclude the fixed asset impairment and Noralta-related expenses noted above.)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Canada</w:t>
      </w:r>
    </w:p>
    <w:p>
      <w:pPr>
        <w:spacing w:after="0" w:line="206"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During the first quarter of 2018, the Canadian segment generated revenues of $63.4 million, operating loss, including the impairment discussed above, of $39.9 million and Adjusted EBITDA of $9.3 million, compared to revenues of $60.5 million, operating loss of $5.0 million and Adjusted EBITDA of $13.2 million in the first quarter of 2017. The first quarter of 2018 results reflect the impact of a strengthened Canadian dollar relative to the U.S. dollar, which increased revenues by $2.8 million. On a constant currency basis, revenues were roughly flat due to a decrease in average daily rates, which was partially offset by an</w:t>
      </w:r>
    </w:p>
    <w:p>
      <w:pPr>
        <w:sectPr>
          <w:pgSz w:w="11900" w:h="16838" w:orient="portrait"/>
          <w:cols w:equalWidth="0" w:num="1">
            <w:col w:w="11420"/>
          </w:cols>
          <w:pgMar w:left="240" w:top="112" w:right="239" w:bottom="0" w:gutter="0" w:footer="0" w:header="0"/>
        </w:sectPr>
      </w:pPr>
    </w:p>
    <w:bookmarkStart w:id="5" w:name="page6"/>
    <w:bookmarkEnd w:id="5"/>
    <w:p>
      <w:pPr>
        <w:spacing w:after="0" w:line="258" w:lineRule="auto"/>
        <w:rPr>
          <w:sz w:val="20"/>
          <w:szCs w:val="20"/>
          <w:color w:val="auto"/>
        </w:rPr>
      </w:pPr>
      <w:r>
        <w:rPr>
          <w:rFonts w:ascii="Arial" w:cs="Arial" w:eastAsia="Arial" w:hAnsi="Arial"/>
          <w:sz w:val="21"/>
          <w:szCs w:val="21"/>
          <w:color w:val="auto"/>
        </w:rPr>
        <w:t>increase in catering, mobile and open camp revenues. The shift in revenue mix towards catering, mobile and open camp revenues resulted in compressed margins in the first quarter of 2018 compared to the first quarter 2017. Adjusted EBITDA for 2018 was also positively impacted by a $2.1 million gain on sale of assets related to unused units.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Australia</w:t>
      </w:r>
    </w:p>
    <w:p>
      <w:pPr>
        <w:spacing w:after="0" w:line="20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Revenue for the Australian segment was $27.9 million, operating loss was $3.2 million and Adjusted EBITDA was $9.1 million in the first quarter of 2018, compared to revenues of $27.0 million, operating loss of $1.2 million and Adjusted EBITDA of $10.6 million in the first quarter of 2017, respectively.</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first quarter results reflect the impact of a strengthened Australian dollar relative to the U.S. dollar, which increased revenues by $1.0 million. On a constant currency basis, revenue for the Australian segment was roughly flat with a slower than usual start to 2018, which was offset by a strong March. Additionally, reduced take-or-pay contract termination revenue compared to the first quarter of 2017 was largely offset by increased occupancy.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U.S.</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The U.S. segment generated revenues of $10.2 million, operating loss of $3.3 million and an Adjusted EBITDA loss of $0.7 million in the first quarter of 2018, compared to revenues of $3.9 million, operating loss of $2.8 million and an Adjusted EBITDA loss of $1.3 million in the first quarter of 2017. The revenue increase was primarily due to higher activity in the U.S. unconventional plays, and the addition of one month of revenues at our new location near Lake Charles, Louisiana.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Taxes</w:t>
      </w:r>
    </w:p>
    <w:p>
      <w:pPr>
        <w:spacing w:after="0" w:line="206"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Civeo recognized an income tax benefit of $0.7 million, which resulted in an effective tax rate of 1.2% in the first quarter of 2018. During the first quarter of 2017, Civeo recognized an income tax benefit of $2.9 million, which resulted in an effective tax rate of 12.4%.</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As of March 31, 2018, Civeo had total liquidity of approximately $243.7 million, consisting of $201.7 million available under its revolving credit facilities and $42.0 million of cash on hand, including $30 million of cash from credit facility borrowings in late March to fund a portion of the cash consideration in the Noralta acquisition.</w:t>
      </w:r>
    </w:p>
    <w:p>
      <w:pPr>
        <w:spacing w:after="0" w:line="186" w:lineRule="exact"/>
        <w:rPr>
          <w:sz w:val="20"/>
          <w:szCs w:val="20"/>
          <w:color w:val="auto"/>
        </w:rPr>
      </w:pPr>
    </w:p>
    <w:p>
      <w:pPr>
        <w:ind w:right="500"/>
        <w:spacing w:after="0" w:line="274" w:lineRule="auto"/>
        <w:rPr>
          <w:sz w:val="20"/>
          <w:szCs w:val="20"/>
          <w:color w:val="auto"/>
        </w:rPr>
      </w:pPr>
      <w:r>
        <w:rPr>
          <w:rFonts w:ascii="Arial" w:cs="Arial" w:eastAsia="Arial" w:hAnsi="Arial"/>
          <w:sz w:val="21"/>
          <w:szCs w:val="21"/>
          <w:color w:val="auto"/>
        </w:rPr>
        <w:t>Civeo’s total debt outstanding on March 31, 2018 was $320.8 million, a $23.2 million increase since December 31, 2017. The increase resulted from borrowings in anticipation of the April 2, 2018 funding of the Noralta acquisition.</w:t>
      </w:r>
    </w:p>
    <w:p>
      <w:pPr>
        <w:spacing w:after="0" w:line="151"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On April 2, 2018 we amended our credit agreement to extend the facility for 18 months to November 2020. Further, our aggregate revolving loan commitments were reduced $35.5 million to a maximum principal amount of $239.5 million.</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During the first quarter of 2018, Civeo invested $2.7 million in maintenance related capital expenditures, down from $3.9 million during the first quarter of 2017, which included investments in an enterprise information system. Civeo also invested $23.5 million of cash in the Louisiana accommodation facility acquisition during the first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Second Quarter and Full Year 2018 Guidance</w:t>
      </w:r>
    </w:p>
    <w:p>
      <w:pPr>
        <w:spacing w:after="0" w:line="206"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For the second quarter of 2018, Civeo expects revenues of $136 million to $144 million and EBITDA of $28 million to $30 million. For the full year of 2018, Civeo expects revenues of $490 million to $512 million and EBITDA of $93 million to $100 million, inclusive of the operations acquired in the Noralta and Louisiana acquisitions. Civeo expects capital expenditures of approximately $20 to $25 million for the full year 2018.</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Conference Call</w:t>
      </w:r>
    </w:p>
    <w:p>
      <w:pPr>
        <w:spacing w:after="0" w:line="206"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Civeo will host a conference call to discuss its first quarter 2018 financial results today at 11:00 a.m. Eastern time. This call is being webcast and can be accessed at Civeo's website at www.civeo.com. Participants may also join the conference call by dialing (866)-548-4713 in the United States or (323)-794-2093 internationally and using the conference ID 8849759. A replay will be available after the call by dialing (844) 512-2921 in the United States or (412) 317-6671 internationally and using the conference ID 8849759#.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Civeo</w:t>
      </w:r>
    </w:p>
    <w:p>
      <w:pPr>
        <w:spacing w:after="0" w:line="206" w:lineRule="exact"/>
        <w:rPr>
          <w:sz w:val="20"/>
          <w:szCs w:val="20"/>
          <w:color w:val="auto"/>
        </w:rPr>
      </w:pPr>
    </w:p>
    <w:p>
      <w:pPr>
        <w:ind w:right="140"/>
        <w:spacing w:after="0" w:line="248" w:lineRule="auto"/>
        <w:rPr>
          <w:sz w:val="20"/>
          <w:szCs w:val="20"/>
          <w:color w:val="auto"/>
        </w:rPr>
      </w:pPr>
      <w:r>
        <w:rPr>
          <w:rFonts w:ascii="Arial" w:cs="Arial" w:eastAsia="Arial" w:hAnsi="Arial"/>
          <w:sz w:val="21"/>
          <w:szCs w:val="21"/>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operates a total of 30 lodges and villages in operation in Canada and Australia, with an aggregate of approximately 32,000 rooms. Civeo is publicly traded under the symbol CVEO on the New York Stock Exchange. For more information, please visit Civeo's website at www.civeo.com.</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 Looking Statements</w:t>
      </w:r>
    </w:p>
    <w:p>
      <w:pPr>
        <w:sectPr>
          <w:pgSz w:w="11900" w:h="16838" w:orient="portrait"/>
          <w:cols w:equalWidth="0" w:num="1">
            <w:col w:w="11380"/>
          </w:cols>
          <w:pgMar w:left="240" w:top="118" w:right="279" w:bottom="0" w:gutter="0" w:footer="0" w:header="0"/>
        </w:sectPr>
      </w:pPr>
    </w:p>
    <w:bookmarkStart w:id="6" w:name="page7"/>
    <w:bookmarkEnd w:id="6"/>
    <w:p>
      <w:pPr>
        <w:spacing w:after="0" w:line="270" w:lineRule="auto"/>
        <w:rPr>
          <w:sz w:val="20"/>
          <w:szCs w:val="20"/>
          <w:color w:val="auto"/>
        </w:rPr>
      </w:pPr>
      <w:r>
        <w:rPr>
          <w:rFonts w:ascii="Arial" w:cs="Arial" w:eastAsia="Arial" w:hAnsi="Arial"/>
          <w:sz w:val="19"/>
          <w:szCs w:val="19"/>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 looking statements in this news release include the statements regarding Civeo’s future plans, priorities and borrowing needs; growth opportunities; optimism about activity, market demand and commodity price environment in 2018; and second quarter and full year 2018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2017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UNAUDITED CONSOLIDATED STATEMENTS OF OPERATIONS</w:t>
      </w:r>
    </w:p>
    <w:p>
      <w:pPr>
        <w:jc w:val="center"/>
        <w:ind w:right="10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263"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4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76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530"/>
        </w:trPr>
        <w:tc>
          <w:tcPr>
            <w:tcW w:w="7600" w:type="dxa"/>
            <w:vAlign w:val="bottom"/>
          </w:tcPr>
          <w:p>
            <w:pPr>
              <w:spacing w:after="0"/>
              <w:rPr>
                <w:sz w:val="20"/>
                <w:szCs w:val="20"/>
                <w:color w:val="auto"/>
              </w:rPr>
            </w:pPr>
            <w:r>
              <w:rPr>
                <w:rFonts w:ascii="Arial" w:cs="Arial" w:eastAsia="Arial" w:hAnsi="Arial"/>
                <w:sz w:val="22"/>
                <w:szCs w:val="22"/>
                <w:color w:val="auto"/>
              </w:rPr>
              <w:t>Revenues</w:t>
            </w:r>
          </w:p>
        </w:tc>
        <w:tc>
          <w:tcPr>
            <w:tcW w:w="4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101,504</w:t>
            </w:r>
          </w:p>
        </w:tc>
        <w:tc>
          <w:tcPr>
            <w:tcW w:w="120" w:type="dxa"/>
            <w:vAlign w:val="bottom"/>
          </w:tcPr>
          <w:p>
            <w:pPr>
              <w:spacing w:after="0"/>
              <w:rPr>
                <w:sz w:val="24"/>
                <w:szCs w:val="24"/>
                <w:color w:val="auto"/>
              </w:rPr>
            </w:pP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91,429</w:t>
            </w:r>
          </w:p>
        </w:tc>
        <w:tc>
          <w:tcPr>
            <w:tcW w:w="0" w:type="dxa"/>
            <w:vAlign w:val="bottom"/>
          </w:tcPr>
          <w:p>
            <w:pPr>
              <w:spacing w:after="0"/>
              <w:rPr>
                <w:sz w:val="1"/>
                <w:szCs w:val="1"/>
                <w:color w:val="auto"/>
              </w:rPr>
            </w:pPr>
          </w:p>
        </w:tc>
      </w:tr>
      <w:tr>
        <w:trPr>
          <w:trHeight w:val="536"/>
        </w:trPr>
        <w:tc>
          <w:tcPr>
            <w:tcW w:w="7600" w:type="dxa"/>
            <w:vAlign w:val="bottom"/>
          </w:tcPr>
          <w:p>
            <w:pPr>
              <w:spacing w:after="0"/>
              <w:rPr>
                <w:sz w:val="20"/>
                <w:szCs w:val="20"/>
                <w:color w:val="auto"/>
              </w:rPr>
            </w:pPr>
            <w:r>
              <w:rPr>
                <w:rFonts w:ascii="Arial" w:cs="Arial" w:eastAsia="Arial" w:hAnsi="Arial"/>
                <w:sz w:val="22"/>
                <w:szCs w:val="22"/>
                <w:color w:val="auto"/>
              </w:rPr>
              <w:t>Costs and expenses:</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Cost of sales and services</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77,328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61,672</w:t>
            </w: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Selling, general and administrative expenses</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16,887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14,210</w:t>
            </w: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Depreciation and amortization expense</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30,764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32,829</w:t>
            </w: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Impairment expense</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6"/>
        </w:trPr>
        <w:tc>
          <w:tcPr>
            <w:tcW w:w="7600" w:type="dxa"/>
            <w:vAlign w:val="bottom"/>
          </w:tcPr>
          <w:p>
            <w:pPr>
              <w:ind w:left="100"/>
              <w:spacing w:after="0"/>
              <w:rPr>
                <w:sz w:val="20"/>
                <w:szCs w:val="20"/>
                <w:color w:val="auto"/>
              </w:rPr>
            </w:pPr>
            <w:r>
              <w:rPr>
                <w:rFonts w:ascii="Arial" w:cs="Arial" w:eastAsia="Arial" w:hAnsi="Arial"/>
                <w:sz w:val="22"/>
                <w:szCs w:val="22"/>
                <w:color w:val="auto"/>
              </w:rPr>
              <w:t>Other operating expense</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379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450</w:t>
            </w:r>
          </w:p>
        </w:tc>
        <w:tc>
          <w:tcPr>
            <w:tcW w:w="0" w:type="dxa"/>
            <w:vAlign w:val="bottom"/>
          </w:tcPr>
          <w:p>
            <w:pPr>
              <w:spacing w:after="0"/>
              <w:rPr>
                <w:sz w:val="1"/>
                <w:szCs w:val="1"/>
                <w:color w:val="auto"/>
              </w:rPr>
            </w:pPr>
          </w:p>
        </w:tc>
      </w:tr>
      <w:tr>
        <w:trPr>
          <w:trHeight w:val="265"/>
        </w:trPr>
        <w:tc>
          <w:tcPr>
            <w:tcW w:w="76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154,019</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109,161</w:t>
            </w:r>
          </w:p>
        </w:tc>
        <w:tc>
          <w:tcPr>
            <w:tcW w:w="0" w:type="dxa"/>
            <w:vAlign w:val="bottom"/>
          </w:tcPr>
          <w:p>
            <w:pPr>
              <w:spacing w:after="0"/>
              <w:rPr>
                <w:sz w:val="1"/>
                <w:szCs w:val="1"/>
                <w:color w:val="auto"/>
              </w:rPr>
            </w:pPr>
          </w:p>
        </w:tc>
      </w:tr>
      <w:tr>
        <w:trPr>
          <w:trHeight w:val="268"/>
        </w:trPr>
        <w:tc>
          <w:tcPr>
            <w:tcW w:w="7600" w:type="dxa"/>
            <w:vAlign w:val="bottom"/>
          </w:tcPr>
          <w:p>
            <w:pPr>
              <w:spacing w:after="0"/>
              <w:rPr>
                <w:sz w:val="20"/>
                <w:szCs w:val="20"/>
                <w:color w:val="auto"/>
              </w:rPr>
            </w:pPr>
            <w:r>
              <w:rPr>
                <w:rFonts w:ascii="Arial" w:cs="Arial" w:eastAsia="Arial" w:hAnsi="Arial"/>
                <w:sz w:val="22"/>
                <w:szCs w:val="22"/>
                <w:color w:val="auto"/>
              </w:rPr>
              <w:t>Operating loss</w:t>
            </w:r>
          </w:p>
        </w:tc>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(52,515)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(17,732)</w:t>
            </w:r>
          </w:p>
        </w:tc>
        <w:tc>
          <w:tcPr>
            <w:tcW w:w="0" w:type="dxa"/>
            <w:vAlign w:val="bottom"/>
          </w:tcPr>
          <w:p>
            <w:pPr>
              <w:spacing w:after="0"/>
              <w:rPr>
                <w:sz w:val="1"/>
                <w:szCs w:val="1"/>
                <w:color w:val="auto"/>
              </w:rPr>
            </w:pPr>
          </w:p>
        </w:tc>
      </w:tr>
      <w:tr>
        <w:trPr>
          <w:trHeight w:val="528"/>
        </w:trPr>
        <w:tc>
          <w:tcPr>
            <w:tcW w:w="7600" w:type="dxa"/>
            <w:vAlign w:val="bottom"/>
          </w:tcPr>
          <w:p>
            <w:pPr>
              <w:spacing w:after="0"/>
              <w:rPr>
                <w:sz w:val="20"/>
                <w:szCs w:val="20"/>
                <w:color w:val="auto"/>
              </w:rPr>
            </w:pPr>
            <w:r>
              <w:rPr>
                <w:rFonts w:ascii="Arial" w:cs="Arial" w:eastAsia="Arial" w:hAnsi="Arial"/>
                <w:sz w:val="22"/>
                <w:szCs w:val="22"/>
                <w:color w:val="auto"/>
              </w:rPr>
              <w:t>Interest expense, net of capitalized interest</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(5,822)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(5,504)</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40" w:type="dxa"/>
            <w:vAlign w:val="bottom"/>
          </w:tcPr>
          <w:p>
            <w:pPr>
              <w:spacing w:after="0"/>
              <w:rPr>
                <w:sz w:val="23"/>
                <w:szCs w:val="23"/>
                <w:color w:val="auto"/>
              </w:rPr>
            </w:pPr>
          </w:p>
        </w:tc>
        <w:tc>
          <w:tcPr>
            <w:tcW w:w="134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(842)</w:t>
            </w:r>
          </w:p>
        </w:tc>
        <w:tc>
          <w:tcPr>
            <w:tcW w:w="0" w:type="dxa"/>
            <w:vAlign w:val="bottom"/>
          </w:tcPr>
          <w:p>
            <w:pPr>
              <w:spacing w:after="0"/>
              <w:rPr>
                <w:sz w:val="1"/>
                <w:szCs w:val="1"/>
                <w:color w:val="auto"/>
              </w:rPr>
            </w:pPr>
          </w:p>
        </w:tc>
      </w:tr>
      <w:tr>
        <w:trPr>
          <w:trHeight w:val="270"/>
        </w:trPr>
        <w:tc>
          <w:tcPr>
            <w:tcW w:w="7600" w:type="dxa"/>
            <w:vAlign w:val="bottom"/>
          </w:tcPr>
          <w:p>
            <w:pPr>
              <w:spacing w:after="0"/>
              <w:rPr>
                <w:sz w:val="20"/>
                <w:szCs w:val="20"/>
                <w:color w:val="auto"/>
              </w:rPr>
            </w:pPr>
            <w:r>
              <w:rPr>
                <w:rFonts w:ascii="Arial" w:cs="Arial" w:eastAsia="Arial" w:hAnsi="Arial"/>
                <w:sz w:val="22"/>
                <w:szCs w:val="22"/>
                <w:color w:val="auto"/>
              </w:rPr>
              <w:t>Interest income</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58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22"/>
                <w:szCs w:val="22"/>
                <w:color w:val="auto"/>
              </w:rPr>
              <w:t>Other income</w:t>
            </w: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2,259</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254</w:t>
            </w:r>
          </w:p>
        </w:tc>
        <w:tc>
          <w:tcPr>
            <w:tcW w:w="0" w:type="dxa"/>
            <w:vAlign w:val="bottom"/>
          </w:tcPr>
          <w:p>
            <w:pPr>
              <w:spacing w:after="0"/>
              <w:rPr>
                <w:sz w:val="1"/>
                <w:szCs w:val="1"/>
                <w:color w:val="auto"/>
              </w:rPr>
            </w:pPr>
          </w:p>
        </w:tc>
      </w:tr>
      <w:tr>
        <w:trPr>
          <w:trHeight w:val="259"/>
        </w:trPr>
        <w:tc>
          <w:tcPr>
            <w:tcW w:w="7600" w:type="dxa"/>
            <w:vAlign w:val="bottom"/>
          </w:tcPr>
          <w:p>
            <w:pPr>
              <w:ind w:left="100"/>
              <w:spacing w:after="0"/>
              <w:rPr>
                <w:sz w:val="20"/>
                <w:szCs w:val="20"/>
                <w:color w:val="auto"/>
              </w:rPr>
            </w:pPr>
            <w:r>
              <w:rPr>
                <w:rFonts w:ascii="Arial" w:cs="Arial" w:eastAsia="Arial" w:hAnsi="Arial"/>
                <w:sz w:val="22"/>
                <w:szCs w:val="22"/>
                <w:color w:val="auto"/>
              </w:rPr>
              <w:t>Loss before income taxes</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(56,020)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(23,814)</w:t>
            </w: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22"/>
                <w:szCs w:val="22"/>
                <w:color w:val="auto"/>
              </w:rPr>
              <w:t>Income tax benefit</w:t>
            </w: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685</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2,948</w:t>
            </w:r>
          </w:p>
        </w:tc>
        <w:tc>
          <w:tcPr>
            <w:tcW w:w="0" w:type="dxa"/>
            <w:vAlign w:val="bottom"/>
          </w:tcPr>
          <w:p>
            <w:pPr>
              <w:spacing w:after="0"/>
              <w:rPr>
                <w:sz w:val="1"/>
                <w:szCs w:val="1"/>
                <w:color w:val="auto"/>
              </w:rPr>
            </w:pPr>
          </w:p>
        </w:tc>
      </w:tr>
      <w:tr>
        <w:trPr>
          <w:trHeight w:val="259"/>
        </w:trPr>
        <w:tc>
          <w:tcPr>
            <w:tcW w:w="7600" w:type="dxa"/>
            <w:vAlign w:val="bottom"/>
          </w:tcPr>
          <w:p>
            <w:pPr>
              <w:spacing w:after="0"/>
              <w:rPr>
                <w:sz w:val="20"/>
                <w:szCs w:val="20"/>
                <w:color w:val="auto"/>
              </w:rPr>
            </w:pPr>
            <w:r>
              <w:rPr>
                <w:rFonts w:ascii="Arial" w:cs="Arial" w:eastAsia="Arial" w:hAnsi="Arial"/>
                <w:sz w:val="22"/>
                <w:szCs w:val="22"/>
                <w:color w:val="auto"/>
              </w:rPr>
              <w:t>Net loss</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(55,335)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(20,866)</w:t>
            </w:r>
          </w:p>
        </w:tc>
        <w:tc>
          <w:tcPr>
            <w:tcW w:w="0" w:type="dxa"/>
            <w:vAlign w:val="bottom"/>
          </w:tcPr>
          <w:p>
            <w:pPr>
              <w:spacing w:after="0"/>
              <w:rPr>
                <w:sz w:val="1"/>
                <w:szCs w:val="1"/>
                <w:color w:val="auto"/>
              </w:rPr>
            </w:pPr>
          </w:p>
        </w:tc>
      </w:tr>
      <w:tr>
        <w:trPr>
          <w:trHeight w:val="276"/>
        </w:trPr>
        <w:tc>
          <w:tcPr>
            <w:tcW w:w="7600" w:type="dxa"/>
            <w:vAlign w:val="bottom"/>
          </w:tcPr>
          <w:p>
            <w:pPr>
              <w:ind w:left="100"/>
              <w:spacing w:after="0"/>
              <w:rPr>
                <w:sz w:val="20"/>
                <w:szCs w:val="20"/>
                <w:color w:val="auto"/>
              </w:rPr>
            </w:pPr>
            <w:r>
              <w:rPr>
                <w:rFonts w:ascii="Arial" w:cs="Arial" w:eastAsia="Arial" w:hAnsi="Arial"/>
                <w:sz w:val="22"/>
                <w:szCs w:val="22"/>
                <w:color w:val="auto"/>
              </w:rPr>
              <w:t>Less: Net income attributable to noncontrolling interest</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121</w:t>
            </w:r>
          </w:p>
        </w:tc>
        <w:tc>
          <w:tcPr>
            <w:tcW w:w="0" w:type="dxa"/>
            <w:vAlign w:val="bottom"/>
          </w:tcPr>
          <w:p>
            <w:pPr>
              <w:spacing w:after="0"/>
              <w:rPr>
                <w:sz w:val="1"/>
                <w:szCs w:val="1"/>
                <w:color w:val="auto"/>
              </w:rPr>
            </w:pPr>
          </w:p>
        </w:tc>
      </w:tr>
      <w:tr>
        <w:trPr>
          <w:trHeight w:val="265"/>
        </w:trPr>
        <w:tc>
          <w:tcPr>
            <w:tcW w:w="7600" w:type="dxa"/>
            <w:vAlign w:val="bottom"/>
          </w:tcPr>
          <w:p>
            <w:pPr>
              <w:spacing w:after="0"/>
              <w:rPr>
                <w:sz w:val="20"/>
                <w:szCs w:val="20"/>
                <w:color w:val="auto"/>
              </w:rPr>
            </w:pPr>
            <w:r>
              <w:rPr>
                <w:rFonts w:ascii="Arial" w:cs="Arial" w:eastAsia="Arial" w:hAnsi="Arial"/>
                <w:sz w:val="22"/>
                <w:szCs w:val="22"/>
                <w:color w:val="auto"/>
              </w:rPr>
              <w:t>Net loss attributable to Civeo Corporation</w:t>
            </w: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(55,457)</w:t>
            </w:r>
          </w:p>
        </w:tc>
        <w:tc>
          <w:tcPr>
            <w:tcW w:w="120" w:type="dxa"/>
            <w:vAlign w:val="bottom"/>
          </w:tcPr>
          <w:p>
            <w:pPr>
              <w:spacing w:after="0"/>
              <w:rPr>
                <w:sz w:val="23"/>
                <w:szCs w:val="23"/>
                <w:color w:val="auto"/>
              </w:rPr>
            </w:pP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(20,987)</w:t>
            </w:r>
          </w:p>
        </w:tc>
        <w:tc>
          <w:tcPr>
            <w:tcW w:w="0" w:type="dxa"/>
            <w:vAlign w:val="bottom"/>
          </w:tcPr>
          <w:p>
            <w:pPr>
              <w:spacing w:after="0"/>
              <w:rPr>
                <w:sz w:val="1"/>
                <w:szCs w:val="1"/>
                <w:color w:val="auto"/>
              </w:rPr>
            </w:pPr>
          </w:p>
        </w:tc>
      </w:tr>
      <w:tr>
        <w:trPr>
          <w:trHeight w:val="21"/>
        </w:trPr>
        <w:tc>
          <w:tcPr>
            <w:tcW w:w="7600" w:type="dxa"/>
            <w:vAlign w:val="bottom"/>
            <w:vMerge w:val="restart"/>
          </w:tcPr>
          <w:p>
            <w:pPr>
              <w:spacing w:after="0"/>
              <w:rPr>
                <w:sz w:val="20"/>
                <w:szCs w:val="20"/>
                <w:color w:val="auto"/>
              </w:rPr>
            </w:pPr>
            <w:r>
              <w:rPr>
                <w:rFonts w:ascii="Arial" w:cs="Arial" w:eastAsia="Arial" w:hAnsi="Arial"/>
                <w:sz w:val="22"/>
                <w:szCs w:val="22"/>
                <w:color w:val="auto"/>
              </w:rPr>
              <w:t>Net loss per share attributable to Civeo Corporation common shareholders:</w:t>
            </w: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76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Basic</w:t>
            </w:r>
          </w:p>
        </w:tc>
        <w:tc>
          <w:tcPr>
            <w:tcW w:w="4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(0.42)</w:t>
            </w:r>
          </w:p>
        </w:tc>
        <w:tc>
          <w:tcPr>
            <w:tcW w:w="12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(0.17)</w:t>
            </w:r>
          </w:p>
        </w:tc>
        <w:tc>
          <w:tcPr>
            <w:tcW w:w="0" w:type="dxa"/>
            <w:vAlign w:val="bottom"/>
          </w:tcPr>
          <w:p>
            <w:pPr>
              <w:spacing w:after="0"/>
              <w:rPr>
                <w:sz w:val="1"/>
                <w:szCs w:val="1"/>
                <w:color w:val="auto"/>
              </w:rPr>
            </w:pPr>
          </w:p>
        </w:tc>
      </w:tr>
      <w:tr>
        <w:trPr>
          <w:trHeight w:val="275"/>
        </w:trPr>
        <w:tc>
          <w:tcPr>
            <w:tcW w:w="7600" w:type="dxa"/>
            <w:vAlign w:val="bottom"/>
          </w:tcPr>
          <w:p>
            <w:pPr>
              <w:ind w:left="100"/>
              <w:spacing w:after="0"/>
              <w:rPr>
                <w:sz w:val="20"/>
                <w:szCs w:val="20"/>
                <w:color w:val="auto"/>
              </w:rPr>
            </w:pPr>
            <w:r>
              <w:rPr>
                <w:rFonts w:ascii="Arial" w:cs="Arial" w:eastAsia="Arial" w:hAnsi="Arial"/>
                <w:sz w:val="22"/>
                <w:szCs w:val="22"/>
                <w:color w:val="auto"/>
              </w:rPr>
              <w:t>Diluted</w:t>
            </w:r>
          </w:p>
        </w:tc>
        <w:tc>
          <w:tcPr>
            <w:tcW w:w="4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(0.42)</w:t>
            </w:r>
          </w:p>
        </w:tc>
        <w:tc>
          <w:tcPr>
            <w:tcW w:w="120" w:type="dxa"/>
            <w:vAlign w:val="bottom"/>
          </w:tcPr>
          <w:p>
            <w:pPr>
              <w:spacing w:after="0"/>
              <w:rPr>
                <w:sz w:val="23"/>
                <w:szCs w:val="23"/>
                <w:color w:val="auto"/>
              </w:rPr>
            </w:pPr>
          </w:p>
        </w:tc>
        <w:tc>
          <w:tcPr>
            <w:tcW w:w="4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(0.17)</w:t>
            </w:r>
          </w:p>
        </w:tc>
        <w:tc>
          <w:tcPr>
            <w:tcW w:w="0" w:type="dxa"/>
            <w:vAlign w:val="bottom"/>
          </w:tcPr>
          <w:p>
            <w:pPr>
              <w:spacing w:after="0"/>
              <w:rPr>
                <w:sz w:val="1"/>
                <w:szCs w:val="1"/>
                <w:color w:val="auto"/>
              </w:rPr>
            </w:pPr>
          </w:p>
        </w:tc>
      </w:tr>
      <w:tr>
        <w:trPr>
          <w:trHeight w:val="536"/>
        </w:trPr>
        <w:tc>
          <w:tcPr>
            <w:tcW w:w="7600" w:type="dxa"/>
            <w:vAlign w:val="bottom"/>
          </w:tcPr>
          <w:p>
            <w:pPr>
              <w:spacing w:after="0"/>
              <w:rPr>
                <w:sz w:val="20"/>
                <w:szCs w:val="20"/>
                <w:color w:val="auto"/>
              </w:rPr>
            </w:pPr>
            <w:r>
              <w:rPr>
                <w:rFonts w:ascii="Arial" w:cs="Arial" w:eastAsia="Arial" w:hAnsi="Arial"/>
                <w:sz w:val="22"/>
                <w:szCs w:val="22"/>
                <w:color w:val="auto"/>
              </w:rPr>
              <w:t>Weighted average number of common shares outstanding:</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00"/>
              <w:spacing w:after="0"/>
              <w:rPr>
                <w:sz w:val="20"/>
                <w:szCs w:val="20"/>
                <w:color w:val="auto"/>
              </w:rPr>
            </w:pPr>
            <w:r>
              <w:rPr>
                <w:rFonts w:ascii="Arial" w:cs="Arial" w:eastAsia="Arial" w:hAnsi="Arial"/>
                <w:sz w:val="22"/>
                <w:szCs w:val="22"/>
                <w:color w:val="auto"/>
              </w:rPr>
              <w:t>Basic</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131,631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120,846</w:t>
            </w:r>
          </w:p>
        </w:tc>
        <w:tc>
          <w:tcPr>
            <w:tcW w:w="0" w:type="dxa"/>
            <w:vAlign w:val="bottom"/>
          </w:tcPr>
          <w:p>
            <w:pPr>
              <w:spacing w:after="0"/>
              <w:rPr>
                <w:sz w:val="1"/>
                <w:szCs w:val="1"/>
                <w:color w:val="auto"/>
              </w:rPr>
            </w:pPr>
          </w:p>
        </w:tc>
      </w:tr>
      <w:tr>
        <w:trPr>
          <w:trHeight w:val="275"/>
        </w:trPr>
        <w:tc>
          <w:tcPr>
            <w:tcW w:w="7600" w:type="dxa"/>
            <w:vAlign w:val="bottom"/>
          </w:tcPr>
          <w:p>
            <w:pPr>
              <w:ind w:left="100"/>
              <w:spacing w:after="0"/>
              <w:rPr>
                <w:sz w:val="20"/>
                <w:szCs w:val="20"/>
                <w:color w:val="auto"/>
              </w:rPr>
            </w:pPr>
            <w:r>
              <w:rPr>
                <w:rFonts w:ascii="Arial" w:cs="Arial" w:eastAsia="Arial" w:hAnsi="Arial"/>
                <w:sz w:val="22"/>
                <w:szCs w:val="22"/>
                <w:color w:val="auto"/>
              </w:rPr>
              <w:t>Diluted</w:t>
            </w:r>
          </w:p>
        </w:tc>
        <w:tc>
          <w:tcPr>
            <w:tcW w:w="440" w:type="dxa"/>
            <w:vAlign w:val="bottom"/>
          </w:tcPr>
          <w:p>
            <w:pPr>
              <w:spacing w:after="0"/>
              <w:rPr>
                <w:sz w:val="23"/>
                <w:szCs w:val="23"/>
                <w:color w:val="auto"/>
              </w:rPr>
            </w:pP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131,631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22"/>
                <w:szCs w:val="22"/>
                <w:color w:val="auto"/>
              </w:rPr>
              <w:t>120,846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CONSOLIDATED BALANCE SHEETS</w:t>
      </w:r>
    </w:p>
    <w:p>
      <w:pPr>
        <w:sectPr>
          <w:pgSz w:w="11900" w:h="16838" w:orient="portrait"/>
          <w:cols w:equalWidth="0" w:num="1">
            <w:col w:w="11400"/>
          </w:cols>
          <w:pgMar w:left="240" w:top="118"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4620" w:type="dxa"/>
            <w:vAlign w:val="bottom"/>
          </w:tcPr>
          <w:p>
            <w:pPr>
              <w:spacing w:after="0"/>
              <w:rPr>
                <w:sz w:val="24"/>
                <w:szCs w:val="24"/>
                <w:color w:val="auto"/>
              </w:rPr>
            </w:pPr>
          </w:p>
        </w:tc>
        <w:tc>
          <w:tcPr>
            <w:tcW w:w="2180" w:type="dxa"/>
            <w:vAlign w:val="bottom"/>
            <w:gridSpan w:val="2"/>
          </w:tcPr>
          <w:p>
            <w:pPr>
              <w:jc w:val="right"/>
              <w:ind w:right="412"/>
              <w:spacing w:after="0"/>
              <w:rPr>
                <w:sz w:val="20"/>
                <w:szCs w:val="20"/>
                <w:color w:val="auto"/>
              </w:rPr>
            </w:pPr>
            <w:r>
              <w:rPr>
                <w:rFonts w:ascii="Arial" w:cs="Arial" w:eastAsia="Arial" w:hAnsi="Arial"/>
                <w:sz w:val="22"/>
                <w:szCs w:val="22"/>
                <w:b w:val="1"/>
                <w:bCs w:val="1"/>
                <w:color w:val="auto"/>
              </w:rPr>
              <w:t>(in thousands)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2"/>
          </w:tcPr>
          <w:p>
            <w:pPr>
              <w:ind w:left="240"/>
              <w:spacing w:after="0"/>
              <w:rPr>
                <w:sz w:val="20"/>
                <w:szCs w:val="20"/>
                <w:color w:val="auto"/>
              </w:rPr>
            </w:pPr>
            <w:r>
              <w:rPr>
                <w:rFonts w:ascii="Arial" w:cs="Arial" w:eastAsia="Arial" w:hAnsi="Arial"/>
                <w:sz w:val="22"/>
                <w:szCs w:val="22"/>
                <w:b w:val="1"/>
                <w:bCs w:val="1"/>
                <w:color w:val="auto"/>
              </w:rPr>
              <w:t>MARCH 31,</w:t>
            </w:r>
          </w:p>
        </w:tc>
        <w:tc>
          <w:tcPr>
            <w:tcW w:w="340" w:type="dxa"/>
            <w:vAlign w:val="bottom"/>
          </w:tcPr>
          <w:p>
            <w:pPr>
              <w:spacing w:after="0"/>
              <w:rPr>
                <w:sz w:val="24"/>
                <w:szCs w:val="24"/>
                <w:color w:val="auto"/>
              </w:rPr>
            </w:pPr>
          </w:p>
        </w:tc>
        <w:tc>
          <w:tcPr>
            <w:tcW w:w="2080" w:type="dxa"/>
            <w:vAlign w:val="bottom"/>
          </w:tcPr>
          <w:p>
            <w:pPr>
              <w:jc w:val="right"/>
              <w:ind w:right="312"/>
              <w:spacing w:after="0"/>
              <w:rPr>
                <w:sz w:val="20"/>
                <w:szCs w:val="20"/>
                <w:color w:val="auto"/>
              </w:rPr>
            </w:pPr>
            <w:r>
              <w:rPr>
                <w:rFonts w:ascii="Arial" w:cs="Arial" w:eastAsia="Arial" w:hAnsi="Arial"/>
                <w:sz w:val="22"/>
                <w:szCs w:val="22"/>
                <w:b w:val="1"/>
                <w:bCs w:val="1"/>
                <w:color w:val="auto"/>
              </w:rPr>
              <w:t>DECEMBER 31,</w:t>
            </w:r>
          </w:p>
        </w:tc>
        <w:tc>
          <w:tcPr>
            <w:tcW w:w="0" w:type="dxa"/>
            <w:vAlign w:val="bottom"/>
          </w:tcPr>
          <w:p>
            <w:pPr>
              <w:spacing w:after="0"/>
              <w:rPr>
                <w:sz w:val="1"/>
                <w:szCs w:val="1"/>
                <w:color w:val="auto"/>
              </w:rPr>
            </w:pPr>
          </w:p>
        </w:tc>
      </w:tr>
      <w:tr>
        <w:trPr>
          <w:trHeight w:val="281"/>
        </w:trPr>
        <w:tc>
          <w:tcPr>
            <w:tcW w:w="4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b w:val="1"/>
                <w:bCs w:val="1"/>
                <w:color w:val="auto"/>
              </w:rPr>
              <w:t>2017</w:t>
            </w:r>
          </w:p>
        </w:tc>
        <w:tc>
          <w:tcPr>
            <w:tcW w:w="0" w:type="dxa"/>
            <w:vAlign w:val="bottom"/>
          </w:tcPr>
          <w:p>
            <w:pPr>
              <w:spacing w:after="0"/>
              <w:rPr>
                <w:sz w:val="1"/>
                <w:szCs w:val="1"/>
                <w:color w:val="auto"/>
              </w:rPr>
            </w:pPr>
          </w:p>
        </w:tc>
      </w:tr>
      <w:tr>
        <w:trPr>
          <w:trHeight w:val="278"/>
        </w:trPr>
        <w:tc>
          <w:tcPr>
            <w:tcW w:w="4620" w:type="dxa"/>
            <w:vAlign w:val="bottom"/>
            <w:vMerge w:val="restart"/>
          </w:tcPr>
          <w:p>
            <w:pPr>
              <w:spacing w:after="0"/>
              <w:rPr>
                <w:sz w:val="20"/>
                <w:szCs w:val="20"/>
                <w:color w:val="auto"/>
              </w:rPr>
            </w:pPr>
            <w:r>
              <w:rPr>
                <w:rFonts w:ascii="Arial" w:cs="Arial" w:eastAsia="Arial" w:hAnsi="Arial"/>
                <w:sz w:val="22"/>
                <w:szCs w:val="22"/>
                <w:color w:val="auto"/>
              </w:rPr>
              <w:t>Current assets: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jc w:val="right"/>
              <w:ind w:right="272"/>
              <w:spacing w:after="0"/>
              <w:rPr>
                <w:sz w:val="20"/>
                <w:szCs w:val="20"/>
                <w:color w:val="auto"/>
              </w:rPr>
            </w:pPr>
            <w:r>
              <w:rPr>
                <w:rFonts w:ascii="Arial" w:cs="Arial" w:eastAsia="Arial" w:hAnsi="Arial"/>
                <w:sz w:val="22"/>
                <w:szCs w:val="22"/>
                <w:b w:val="1"/>
                <w:bCs w:val="1"/>
                <w:color w:val="auto"/>
              </w:rPr>
              <w:t>(UNAUDITED)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620" w:type="dxa"/>
            <w:vAlign w:val="bottom"/>
            <w:vMerge w:val="continue"/>
          </w:tcPr>
          <w:p>
            <w:pPr>
              <w:spacing w:after="0"/>
              <w:rPr>
                <w:sz w:val="21"/>
                <w:szCs w:val="21"/>
                <w:color w:val="auto"/>
              </w:rPr>
            </w:pPr>
          </w:p>
        </w:tc>
        <w:tc>
          <w:tcPr>
            <w:tcW w:w="1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Cash and cash equivalents</w:t>
            </w:r>
          </w:p>
        </w:tc>
        <w:tc>
          <w:tcPr>
            <w:tcW w:w="21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41,977</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32,647</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Accounts receivable, net</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60,882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66,823</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Inventories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4,929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7,246</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Assets held for sale</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9,059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9,462</w:t>
            </w:r>
          </w:p>
        </w:tc>
        <w:tc>
          <w:tcPr>
            <w:tcW w:w="0" w:type="dxa"/>
            <w:vAlign w:val="bottom"/>
          </w:tcPr>
          <w:p>
            <w:pPr>
              <w:spacing w:after="0"/>
              <w:rPr>
                <w:sz w:val="1"/>
                <w:szCs w:val="1"/>
                <w:color w:val="auto"/>
              </w:rPr>
            </w:pPr>
          </w:p>
        </w:tc>
      </w:tr>
      <w:tr>
        <w:trPr>
          <w:trHeight w:val="275"/>
        </w:trPr>
        <w:tc>
          <w:tcPr>
            <w:tcW w:w="4620" w:type="dxa"/>
            <w:vAlign w:val="bottom"/>
          </w:tcPr>
          <w:p>
            <w:pPr>
              <w:ind w:left="100"/>
              <w:spacing w:after="0"/>
              <w:rPr>
                <w:sz w:val="20"/>
                <w:szCs w:val="20"/>
                <w:color w:val="auto"/>
              </w:rPr>
            </w:pPr>
            <w:r>
              <w:rPr>
                <w:rFonts w:ascii="Arial" w:cs="Arial" w:eastAsia="Arial" w:hAnsi="Arial"/>
                <w:sz w:val="22"/>
                <w:szCs w:val="22"/>
                <w:color w:val="auto"/>
              </w:rPr>
              <w:t>Prepaid expenses and other current assets</w:t>
            </w:r>
          </w:p>
        </w:tc>
        <w:tc>
          <w:tcPr>
            <w:tcW w:w="1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12,856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16,034</w:t>
            </w:r>
          </w:p>
        </w:tc>
        <w:tc>
          <w:tcPr>
            <w:tcW w:w="0" w:type="dxa"/>
            <w:vAlign w:val="bottom"/>
          </w:tcPr>
          <w:p>
            <w:pPr>
              <w:spacing w:after="0"/>
              <w:rPr>
                <w:sz w:val="1"/>
                <w:szCs w:val="1"/>
                <w:color w:val="auto"/>
              </w:rPr>
            </w:pPr>
          </w:p>
        </w:tc>
      </w:tr>
      <w:tr>
        <w:trPr>
          <w:trHeight w:val="272"/>
        </w:trPr>
        <w:tc>
          <w:tcPr>
            <w:tcW w:w="4620" w:type="dxa"/>
            <w:vAlign w:val="bottom"/>
          </w:tcPr>
          <w:p>
            <w:pPr>
              <w:ind w:left="220"/>
              <w:spacing w:after="0"/>
              <w:rPr>
                <w:sz w:val="20"/>
                <w:szCs w:val="20"/>
                <w:color w:val="auto"/>
              </w:rPr>
            </w:pPr>
            <w:r>
              <w:rPr>
                <w:rFonts w:ascii="Arial" w:cs="Arial" w:eastAsia="Arial" w:hAnsi="Arial"/>
                <w:sz w:val="22"/>
                <w:szCs w:val="22"/>
                <w:color w:val="auto"/>
              </w:rPr>
              <w:t>Total current assets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129,703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132,212</w:t>
            </w:r>
          </w:p>
        </w:tc>
        <w:tc>
          <w:tcPr>
            <w:tcW w:w="0" w:type="dxa"/>
            <w:vAlign w:val="bottom"/>
          </w:tcPr>
          <w:p>
            <w:pPr>
              <w:spacing w:after="0"/>
              <w:rPr>
                <w:sz w:val="1"/>
                <w:szCs w:val="1"/>
                <w:color w:val="auto"/>
              </w:rPr>
            </w:pPr>
          </w:p>
        </w:tc>
      </w:tr>
      <w:tr>
        <w:trPr>
          <w:trHeight w:val="528"/>
        </w:trPr>
        <w:tc>
          <w:tcPr>
            <w:tcW w:w="4620" w:type="dxa"/>
            <w:vAlign w:val="bottom"/>
          </w:tcPr>
          <w:p>
            <w:pPr>
              <w:spacing w:after="0"/>
              <w:rPr>
                <w:sz w:val="20"/>
                <w:szCs w:val="20"/>
                <w:color w:val="auto"/>
              </w:rPr>
            </w:pPr>
            <w:r>
              <w:rPr>
                <w:rFonts w:ascii="Arial" w:cs="Arial" w:eastAsia="Arial" w:hAnsi="Arial"/>
                <w:sz w:val="22"/>
                <w:szCs w:val="22"/>
                <w:color w:val="auto"/>
              </w:rPr>
              <w:t>Property, plant and equipment, net</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647,028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693,833</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0"/>
                <w:szCs w:val="20"/>
                <w:color w:val="auto"/>
              </w:rPr>
            </w:pPr>
            <w:r>
              <w:rPr>
                <w:rFonts w:ascii="Arial" w:cs="Arial" w:eastAsia="Arial" w:hAnsi="Arial"/>
                <w:sz w:val="22"/>
                <w:szCs w:val="22"/>
                <w:color w:val="auto"/>
              </w:rPr>
              <w:t>Other intangible assets, net</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29,152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22,753</w:t>
            </w:r>
          </w:p>
        </w:tc>
        <w:tc>
          <w:tcPr>
            <w:tcW w:w="0" w:type="dxa"/>
            <w:vAlign w:val="bottom"/>
          </w:tcPr>
          <w:p>
            <w:pPr>
              <w:spacing w:after="0"/>
              <w:rPr>
                <w:sz w:val="1"/>
                <w:szCs w:val="1"/>
                <w:color w:val="auto"/>
              </w:rPr>
            </w:pPr>
          </w:p>
        </w:tc>
      </w:tr>
      <w:tr>
        <w:trPr>
          <w:trHeight w:val="276"/>
        </w:trPr>
        <w:tc>
          <w:tcPr>
            <w:tcW w:w="462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1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1,088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5,114</w:t>
            </w:r>
          </w:p>
        </w:tc>
        <w:tc>
          <w:tcPr>
            <w:tcW w:w="0" w:type="dxa"/>
            <w:vAlign w:val="bottom"/>
          </w:tcPr>
          <w:p>
            <w:pPr>
              <w:spacing w:after="0"/>
              <w:rPr>
                <w:sz w:val="1"/>
                <w:szCs w:val="1"/>
                <w:color w:val="auto"/>
              </w:rPr>
            </w:pPr>
          </w:p>
        </w:tc>
      </w:tr>
      <w:tr>
        <w:trPr>
          <w:trHeight w:val="265"/>
        </w:trPr>
        <w:tc>
          <w:tcPr>
            <w:tcW w:w="4620" w:type="dxa"/>
            <w:vAlign w:val="bottom"/>
          </w:tcPr>
          <w:p>
            <w:pPr>
              <w:ind w:left="220"/>
              <w:spacing w:after="0"/>
              <w:rPr>
                <w:sz w:val="20"/>
                <w:szCs w:val="20"/>
                <w:color w:val="auto"/>
              </w:rPr>
            </w:pPr>
            <w:r>
              <w:rPr>
                <w:rFonts w:ascii="Arial" w:cs="Arial" w:eastAsia="Arial" w:hAnsi="Arial"/>
                <w:sz w:val="22"/>
                <w:szCs w:val="22"/>
                <w:color w:val="auto"/>
              </w:rPr>
              <w:t>Total assets</w:t>
            </w:r>
          </w:p>
        </w:tc>
        <w:tc>
          <w:tcPr>
            <w:tcW w:w="1900" w:type="dxa"/>
            <w:vAlign w:val="bottom"/>
          </w:tcPr>
          <w:p>
            <w:pPr>
              <w:spacing w:after="0"/>
              <w:rPr>
                <w:sz w:val="23"/>
                <w:szCs w:val="2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806,971</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4620" w:type="dxa"/>
            <w:vAlign w:val="bottom"/>
            <w:vMerge w:val="restart"/>
          </w:tcPr>
          <w:p>
            <w:pPr>
              <w:spacing w:after="0"/>
              <w:rPr>
                <w:sz w:val="20"/>
                <w:szCs w:val="20"/>
                <w:color w:val="auto"/>
              </w:rPr>
            </w:pPr>
            <w:r>
              <w:rPr>
                <w:rFonts w:ascii="Arial" w:cs="Arial" w:eastAsia="Arial" w:hAnsi="Arial"/>
                <w:sz w:val="22"/>
                <w:szCs w:val="22"/>
                <w:color w:val="auto"/>
              </w:rPr>
              <w:t>Current liabilities:</w:t>
            </w: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62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Accounts payable</w:t>
            </w:r>
          </w:p>
        </w:tc>
        <w:tc>
          <w:tcPr>
            <w:tcW w:w="21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26,337</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27,812</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Accrued liabilities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12,418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22,208</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Income taxes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333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1,728</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Current portion of long-term debt</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16,175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16,596</w:t>
            </w:r>
          </w:p>
        </w:tc>
        <w:tc>
          <w:tcPr>
            <w:tcW w:w="0" w:type="dxa"/>
            <w:vAlign w:val="bottom"/>
          </w:tcPr>
          <w:p>
            <w:pPr>
              <w:spacing w:after="0"/>
              <w:rPr>
                <w:sz w:val="1"/>
                <w:szCs w:val="1"/>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22"/>
                <w:szCs w:val="22"/>
                <w:color w:val="auto"/>
              </w:rPr>
              <w:t>Deferred revenue</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3,490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5,442</w:t>
            </w:r>
          </w:p>
        </w:tc>
        <w:tc>
          <w:tcPr>
            <w:tcW w:w="0" w:type="dxa"/>
            <w:vAlign w:val="bottom"/>
          </w:tcPr>
          <w:p>
            <w:pPr>
              <w:spacing w:after="0"/>
              <w:rPr>
                <w:sz w:val="1"/>
                <w:szCs w:val="1"/>
                <w:color w:val="auto"/>
              </w:rPr>
            </w:pPr>
          </w:p>
        </w:tc>
      </w:tr>
      <w:tr>
        <w:trPr>
          <w:trHeight w:val="275"/>
        </w:trPr>
        <w:tc>
          <w:tcPr>
            <w:tcW w:w="4620" w:type="dxa"/>
            <w:vAlign w:val="bottom"/>
          </w:tcPr>
          <w:p>
            <w:pPr>
              <w:ind w:left="100"/>
              <w:spacing w:after="0"/>
              <w:rPr>
                <w:sz w:val="20"/>
                <w:szCs w:val="20"/>
                <w:color w:val="auto"/>
              </w:rPr>
            </w:pPr>
            <w:r>
              <w:rPr>
                <w:rFonts w:ascii="Arial" w:cs="Arial" w:eastAsia="Arial" w:hAnsi="Arial"/>
                <w:sz w:val="22"/>
                <w:szCs w:val="22"/>
                <w:color w:val="auto"/>
              </w:rPr>
              <w:t>Other current liabilities</w:t>
            </w:r>
          </w:p>
        </w:tc>
        <w:tc>
          <w:tcPr>
            <w:tcW w:w="1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1,755</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1,843</w:t>
            </w:r>
          </w:p>
        </w:tc>
        <w:tc>
          <w:tcPr>
            <w:tcW w:w="0" w:type="dxa"/>
            <w:vAlign w:val="bottom"/>
          </w:tcPr>
          <w:p>
            <w:pPr>
              <w:spacing w:after="0"/>
              <w:rPr>
                <w:sz w:val="1"/>
                <w:szCs w:val="1"/>
                <w:color w:val="auto"/>
              </w:rPr>
            </w:pPr>
          </w:p>
        </w:tc>
      </w:tr>
      <w:tr>
        <w:trPr>
          <w:trHeight w:val="272"/>
        </w:trPr>
        <w:tc>
          <w:tcPr>
            <w:tcW w:w="4620" w:type="dxa"/>
            <w:vAlign w:val="bottom"/>
          </w:tcPr>
          <w:p>
            <w:pPr>
              <w:ind w:left="220"/>
              <w:spacing w:after="0"/>
              <w:rPr>
                <w:sz w:val="20"/>
                <w:szCs w:val="20"/>
                <w:color w:val="auto"/>
              </w:rPr>
            </w:pPr>
            <w:r>
              <w:rPr>
                <w:rFonts w:ascii="Arial" w:cs="Arial" w:eastAsia="Arial" w:hAnsi="Arial"/>
                <w:sz w:val="22"/>
                <w:szCs w:val="22"/>
                <w:color w:val="auto"/>
              </w:rPr>
              <w:t>Total current liabilities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60,508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75,629</w:t>
            </w:r>
          </w:p>
        </w:tc>
        <w:tc>
          <w:tcPr>
            <w:tcW w:w="0" w:type="dxa"/>
            <w:vAlign w:val="bottom"/>
          </w:tcPr>
          <w:p>
            <w:pPr>
              <w:spacing w:after="0"/>
              <w:rPr>
                <w:sz w:val="1"/>
                <w:szCs w:val="1"/>
                <w:color w:val="auto"/>
              </w:rPr>
            </w:pPr>
          </w:p>
        </w:tc>
      </w:tr>
      <w:tr>
        <w:trPr>
          <w:trHeight w:val="528"/>
        </w:trPr>
        <w:tc>
          <w:tcPr>
            <w:tcW w:w="4620" w:type="dxa"/>
            <w:vAlign w:val="bottom"/>
          </w:tcPr>
          <w:p>
            <w:pPr>
              <w:spacing w:after="0"/>
              <w:rPr>
                <w:sz w:val="20"/>
                <w:szCs w:val="20"/>
                <w:color w:val="auto"/>
              </w:rPr>
            </w:pPr>
            <w:r>
              <w:rPr>
                <w:rFonts w:ascii="Arial" w:cs="Arial" w:eastAsia="Arial" w:hAnsi="Arial"/>
                <w:sz w:val="22"/>
                <w:szCs w:val="22"/>
                <w:color w:val="auto"/>
              </w:rPr>
              <w:t>Long-term debt to third-parties</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302,215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277,990</w:t>
            </w: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1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24,656</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23,926</w:t>
            </w:r>
          </w:p>
        </w:tc>
        <w:tc>
          <w:tcPr>
            <w:tcW w:w="0" w:type="dxa"/>
            <w:vAlign w:val="bottom"/>
          </w:tcPr>
          <w:p>
            <w:pPr>
              <w:spacing w:after="0"/>
              <w:rPr>
                <w:sz w:val="1"/>
                <w:szCs w:val="1"/>
                <w:color w:val="auto"/>
              </w:rPr>
            </w:pPr>
          </w:p>
        </w:tc>
      </w:tr>
      <w:tr>
        <w:trPr>
          <w:trHeight w:val="272"/>
        </w:trPr>
        <w:tc>
          <w:tcPr>
            <w:tcW w:w="4620" w:type="dxa"/>
            <w:vAlign w:val="bottom"/>
          </w:tcPr>
          <w:p>
            <w:pPr>
              <w:ind w:left="220"/>
              <w:spacing w:after="0"/>
              <w:rPr>
                <w:sz w:val="20"/>
                <w:szCs w:val="20"/>
                <w:color w:val="auto"/>
              </w:rPr>
            </w:pPr>
            <w:r>
              <w:rPr>
                <w:rFonts w:ascii="Arial" w:cs="Arial" w:eastAsia="Arial" w:hAnsi="Arial"/>
                <w:sz w:val="22"/>
                <w:szCs w:val="22"/>
                <w:color w:val="auto"/>
              </w:rPr>
              <w:t>Total liabilities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387,379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377,545</w:t>
            </w:r>
          </w:p>
        </w:tc>
        <w:tc>
          <w:tcPr>
            <w:tcW w:w="0" w:type="dxa"/>
            <w:vAlign w:val="bottom"/>
          </w:tcPr>
          <w:p>
            <w:pPr>
              <w:spacing w:after="0"/>
              <w:rPr>
                <w:sz w:val="1"/>
                <w:szCs w:val="1"/>
                <w:color w:val="auto"/>
              </w:rPr>
            </w:pPr>
          </w:p>
        </w:tc>
      </w:tr>
      <w:tr>
        <w:trPr>
          <w:trHeight w:val="528"/>
        </w:trPr>
        <w:tc>
          <w:tcPr>
            <w:tcW w:w="4620" w:type="dxa"/>
            <w:vAlign w:val="bottom"/>
          </w:tcPr>
          <w:p>
            <w:pPr>
              <w:spacing w:after="0"/>
              <w:rPr>
                <w:sz w:val="20"/>
                <w:szCs w:val="20"/>
                <w:color w:val="auto"/>
              </w:rPr>
            </w:pPr>
            <w:r>
              <w:rPr>
                <w:rFonts w:ascii="Arial" w:cs="Arial" w:eastAsia="Arial" w:hAnsi="Arial"/>
                <w:sz w:val="22"/>
                <w:szCs w:val="22"/>
                <w:color w:val="auto"/>
              </w:rPr>
              <w:t>Shareholders' equity:</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22"/>
                <w:szCs w:val="22"/>
                <w:color w:val="auto"/>
              </w:rPr>
              <w:t>Common shares</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1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22"/>
                <w:szCs w:val="22"/>
                <w:color w:val="auto"/>
              </w:rPr>
              <w:t>Additional paid-in capital</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ind w:right="52"/>
              <w:spacing w:after="0"/>
              <w:rPr>
                <w:sz w:val="20"/>
                <w:szCs w:val="20"/>
                <w:color w:val="auto"/>
              </w:rPr>
            </w:pPr>
            <w:r>
              <w:rPr>
                <w:rFonts w:ascii="Arial" w:cs="Arial" w:eastAsia="Arial" w:hAnsi="Arial"/>
                <w:sz w:val="22"/>
                <w:szCs w:val="22"/>
                <w:color w:val="auto"/>
              </w:rPr>
              <w:t>1,390,634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92"/>
              <w:spacing w:after="0"/>
              <w:rPr>
                <w:sz w:val="20"/>
                <w:szCs w:val="20"/>
                <w:color w:val="auto"/>
              </w:rPr>
            </w:pPr>
            <w:r>
              <w:rPr>
                <w:rFonts w:ascii="Arial" w:cs="Arial" w:eastAsia="Arial" w:hAnsi="Arial"/>
                <w:sz w:val="22"/>
                <w:szCs w:val="22"/>
                <w:color w:val="auto"/>
              </w:rPr>
              <w:t>1,383,934</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22"/>
                <w:szCs w:val="22"/>
                <w:color w:val="auto"/>
              </w:rPr>
              <w:t>Accumulated deficit</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2"/>
                <w:szCs w:val="22"/>
                <w:color w:val="auto"/>
              </w:rPr>
              <w:t>(634,176)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(579,113)</w:t>
            </w:r>
          </w:p>
        </w:tc>
        <w:tc>
          <w:tcPr>
            <w:tcW w:w="0" w:type="dxa"/>
            <w:vAlign w:val="bottom"/>
          </w:tcPr>
          <w:p>
            <w:pPr>
              <w:spacing w:after="0"/>
              <w:rPr>
                <w:sz w:val="1"/>
                <w:szCs w:val="1"/>
                <w:color w:val="auto"/>
              </w:rPr>
            </w:pPr>
          </w:p>
        </w:tc>
      </w:tr>
      <w:tr>
        <w:trPr>
          <w:trHeight w:val="270"/>
        </w:trPr>
        <w:tc>
          <w:tcPr>
            <w:tcW w:w="4620" w:type="dxa"/>
            <w:vAlign w:val="bottom"/>
          </w:tcPr>
          <w:p>
            <w:pPr>
              <w:ind w:left="220"/>
              <w:spacing w:after="0"/>
              <w:rPr>
                <w:sz w:val="20"/>
                <w:szCs w:val="20"/>
                <w:color w:val="auto"/>
              </w:rPr>
            </w:pPr>
            <w:r>
              <w:rPr>
                <w:rFonts w:ascii="Arial" w:cs="Arial" w:eastAsia="Arial" w:hAnsi="Arial"/>
                <w:sz w:val="22"/>
                <w:szCs w:val="22"/>
                <w:color w:val="auto"/>
              </w:rPr>
              <w:t>Treasury stock</w:t>
            </w:r>
          </w:p>
        </w:tc>
        <w:tc>
          <w:tcPr>
            <w:tcW w:w="1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22"/>
                <w:szCs w:val="22"/>
                <w:color w:val="auto"/>
              </w:rPr>
              <w:t>(952)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80" w:type="dxa"/>
            <w:vAlign w:val="bottom"/>
          </w:tcPr>
          <w:p>
            <w:pPr>
              <w:jc w:val="right"/>
              <w:ind w:right="12"/>
              <w:spacing w:after="0"/>
              <w:rPr>
                <w:sz w:val="20"/>
                <w:szCs w:val="20"/>
                <w:color w:val="auto"/>
              </w:rPr>
            </w:pPr>
            <w:r>
              <w:rPr>
                <w:rFonts w:ascii="Arial" w:cs="Arial" w:eastAsia="Arial" w:hAnsi="Arial"/>
                <w:sz w:val="22"/>
                <w:szCs w:val="22"/>
                <w:color w:val="auto"/>
              </w:rPr>
              <w:t>(358)</w:t>
            </w:r>
          </w:p>
        </w:tc>
        <w:tc>
          <w:tcPr>
            <w:tcW w:w="0" w:type="dxa"/>
            <w:vAlign w:val="bottom"/>
          </w:tcPr>
          <w:p>
            <w:pPr>
              <w:spacing w:after="0"/>
              <w:rPr>
                <w:sz w:val="1"/>
                <w:szCs w:val="1"/>
                <w:color w:val="auto"/>
              </w:rPr>
            </w:pPr>
          </w:p>
        </w:tc>
      </w:tr>
      <w:tr>
        <w:trPr>
          <w:trHeight w:val="275"/>
        </w:trPr>
        <w:tc>
          <w:tcPr>
            <w:tcW w:w="4620" w:type="dxa"/>
            <w:vAlign w:val="bottom"/>
          </w:tcPr>
          <w:p>
            <w:pPr>
              <w:ind w:left="220"/>
              <w:spacing w:after="0"/>
              <w:rPr>
                <w:sz w:val="20"/>
                <w:szCs w:val="20"/>
                <w:color w:val="auto"/>
              </w:rPr>
            </w:pPr>
            <w:r>
              <w:rPr>
                <w:rFonts w:ascii="Arial" w:cs="Arial" w:eastAsia="Arial" w:hAnsi="Arial"/>
                <w:sz w:val="22"/>
                <w:szCs w:val="22"/>
                <w:color w:val="auto"/>
              </w:rPr>
              <w:t>Accumulated other comprehensive loss</w:t>
            </w:r>
          </w:p>
        </w:tc>
        <w:tc>
          <w:tcPr>
            <w:tcW w:w="1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(336,034)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(328,213)</w:t>
            </w:r>
          </w:p>
        </w:tc>
        <w:tc>
          <w:tcPr>
            <w:tcW w:w="0" w:type="dxa"/>
            <w:vAlign w:val="bottom"/>
          </w:tcPr>
          <w:p>
            <w:pPr>
              <w:spacing w:after="0"/>
              <w:rPr>
                <w:sz w:val="1"/>
                <w:szCs w:val="1"/>
                <w:color w:val="auto"/>
              </w:rPr>
            </w:pPr>
          </w:p>
        </w:tc>
      </w:tr>
      <w:tr>
        <w:trPr>
          <w:trHeight w:val="267"/>
        </w:trPr>
        <w:tc>
          <w:tcPr>
            <w:tcW w:w="4620" w:type="dxa"/>
            <w:vAlign w:val="bottom"/>
          </w:tcPr>
          <w:p>
            <w:pPr>
              <w:ind w:left="380"/>
              <w:spacing w:after="0"/>
              <w:rPr>
                <w:sz w:val="20"/>
                <w:szCs w:val="20"/>
                <w:color w:val="auto"/>
              </w:rPr>
            </w:pPr>
            <w:r>
              <w:rPr>
                <w:rFonts w:ascii="Arial" w:cs="Arial" w:eastAsia="Arial" w:hAnsi="Arial"/>
                <w:sz w:val="22"/>
                <w:szCs w:val="22"/>
                <w:color w:val="auto"/>
                <w:w w:val="97"/>
              </w:rPr>
              <w:t>Total Civeo Corporation shareholders' equity</w:t>
            </w:r>
          </w:p>
        </w:tc>
        <w:tc>
          <w:tcPr>
            <w:tcW w:w="1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419,472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476,250</w:t>
            </w: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0"/>
                <w:szCs w:val="20"/>
                <w:color w:val="auto"/>
              </w:rPr>
            </w:pPr>
            <w:r>
              <w:rPr>
                <w:rFonts w:ascii="Arial" w:cs="Arial" w:eastAsia="Arial" w:hAnsi="Arial"/>
                <w:sz w:val="22"/>
                <w:szCs w:val="22"/>
                <w:color w:val="auto"/>
              </w:rPr>
              <w:t>Noncontrolling interest</w:t>
            </w:r>
          </w:p>
        </w:tc>
        <w:tc>
          <w:tcPr>
            <w:tcW w:w="1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120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64"/>
        </w:trPr>
        <w:tc>
          <w:tcPr>
            <w:tcW w:w="4620" w:type="dxa"/>
            <w:vAlign w:val="bottom"/>
          </w:tcPr>
          <w:p>
            <w:pPr>
              <w:ind w:left="100"/>
              <w:spacing w:after="0"/>
              <w:rPr>
                <w:sz w:val="20"/>
                <w:szCs w:val="20"/>
                <w:color w:val="auto"/>
              </w:rPr>
            </w:pPr>
            <w:r>
              <w:rPr>
                <w:rFonts w:ascii="Arial" w:cs="Arial" w:eastAsia="Arial" w:hAnsi="Arial"/>
                <w:sz w:val="22"/>
                <w:szCs w:val="22"/>
                <w:color w:val="auto"/>
              </w:rPr>
              <w:t>Total shareholders' equity</w:t>
            </w:r>
          </w:p>
        </w:tc>
        <w:tc>
          <w:tcPr>
            <w:tcW w:w="1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419,592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476,367</w:t>
            </w:r>
          </w:p>
        </w:tc>
        <w:tc>
          <w:tcPr>
            <w:tcW w:w="0" w:type="dxa"/>
            <w:vAlign w:val="bottom"/>
          </w:tcPr>
          <w:p>
            <w:pPr>
              <w:spacing w:after="0"/>
              <w:rPr>
                <w:sz w:val="1"/>
                <w:szCs w:val="1"/>
                <w:color w:val="auto"/>
              </w:rPr>
            </w:pPr>
          </w:p>
        </w:tc>
      </w:tr>
      <w:tr>
        <w:trPr>
          <w:trHeight w:val="264"/>
        </w:trPr>
        <w:tc>
          <w:tcPr>
            <w:tcW w:w="4620" w:type="dxa"/>
            <w:vAlign w:val="bottom"/>
          </w:tcPr>
          <w:p>
            <w:pPr>
              <w:ind w:left="220"/>
              <w:spacing w:after="0"/>
              <w:rPr>
                <w:sz w:val="20"/>
                <w:szCs w:val="20"/>
                <w:color w:val="auto"/>
              </w:rPr>
            </w:pPr>
            <w:r>
              <w:rPr>
                <w:rFonts w:ascii="Arial" w:cs="Arial" w:eastAsia="Arial" w:hAnsi="Arial"/>
                <w:sz w:val="22"/>
                <w:szCs w:val="22"/>
                <w:color w:val="auto"/>
              </w:rPr>
              <w:t>Total liabilities and shareholders' equity</w:t>
            </w:r>
          </w:p>
        </w:tc>
        <w:tc>
          <w:tcPr>
            <w:tcW w:w="1900" w:type="dxa"/>
            <w:vAlign w:val="bottom"/>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9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806,971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0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853,912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thousands)</w:t>
      </w:r>
    </w:p>
    <w:p>
      <w:pPr>
        <w:spacing w:after="0" w:line="277" w:lineRule="exact"/>
        <w:rPr>
          <w:sz w:val="20"/>
          <w:szCs w:val="20"/>
          <w:color w:val="auto"/>
        </w:rPr>
      </w:pPr>
    </w:p>
    <w:p>
      <w:pPr>
        <w:jc w:val="center"/>
        <w:ind w:left="808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808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22"/>
                <w:szCs w:val="22"/>
                <w:b w:val="1"/>
                <w:bCs w:val="1"/>
                <w:color w:val="auto"/>
              </w:rPr>
              <w:t>2017</w:t>
            </w:r>
          </w:p>
        </w:tc>
      </w:tr>
      <w:tr>
        <w:trPr>
          <w:trHeight w:val="526"/>
        </w:trPr>
        <w:tc>
          <w:tcPr>
            <w:tcW w:w="8160" w:type="dxa"/>
            <w:vAlign w:val="bottom"/>
          </w:tcPr>
          <w:p>
            <w:pPr>
              <w:spacing w:after="0"/>
              <w:rPr>
                <w:sz w:val="20"/>
                <w:szCs w:val="20"/>
                <w:color w:val="auto"/>
              </w:rPr>
            </w:pPr>
            <w:r>
              <w:rPr>
                <w:rFonts w:ascii="Arial" w:cs="Arial" w:eastAsia="Arial" w:hAnsi="Arial"/>
                <w:sz w:val="22"/>
                <w:szCs w:val="22"/>
                <w:color w:val="auto"/>
              </w:rPr>
              <w:t>Cash flows from operating activities: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Net loss</w:t>
            </w: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(55,335)</w:t>
            </w:r>
          </w:p>
        </w:tc>
        <w:tc>
          <w:tcPr>
            <w:tcW w:w="100" w:type="dxa"/>
            <w:vAlign w:val="bottom"/>
          </w:tcPr>
          <w:p>
            <w:pPr>
              <w:spacing w:after="0"/>
              <w:rPr>
                <w:sz w:val="23"/>
                <w:szCs w:val="23"/>
                <w:color w:val="auto"/>
              </w:rPr>
            </w:pPr>
          </w:p>
        </w:tc>
        <w:tc>
          <w:tcPr>
            <w:tcW w:w="3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(20,866)</w:t>
            </w:r>
          </w:p>
        </w:tc>
      </w:tr>
      <w:tr>
        <w:trPr>
          <w:trHeight w:val="270"/>
        </w:trPr>
        <w:tc>
          <w:tcPr>
            <w:tcW w:w="8160" w:type="dxa"/>
            <w:vAlign w:val="bottom"/>
          </w:tcPr>
          <w:p>
            <w:pPr>
              <w:spacing w:after="0"/>
              <w:rPr>
                <w:sz w:val="20"/>
                <w:szCs w:val="20"/>
                <w:color w:val="auto"/>
              </w:rPr>
            </w:pPr>
            <w:r>
              <w:rPr>
                <w:rFonts w:ascii="Arial" w:cs="Arial" w:eastAsia="Arial" w:hAnsi="Arial"/>
                <w:sz w:val="22"/>
                <w:szCs w:val="22"/>
                <w:color w:val="auto"/>
              </w:rPr>
              <w:t>Adjustments to reconcile net loss to net cash provided by operating activities:</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Depreciation and amortization</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30,764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22"/>
                <w:szCs w:val="22"/>
                <w:color w:val="auto"/>
              </w:rPr>
              <w:t>32,829</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Impairment charges</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28,661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12"/>
              <w:spacing w:after="0"/>
              <w:rPr>
                <w:sz w:val="20"/>
                <w:szCs w:val="20"/>
                <w:color w:val="auto"/>
              </w:rPr>
            </w:pPr>
            <w:r>
              <w:rPr>
                <w:rFonts w:ascii="Arial" w:cs="Arial" w:eastAsia="Arial" w:hAnsi="Arial"/>
                <w:sz w:val="22"/>
                <w:szCs w:val="22"/>
                <w:color w:val="auto"/>
              </w:rPr>
              <w:t>-</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Loss on extinguishment of debt</w:t>
            </w:r>
          </w:p>
        </w:tc>
        <w:tc>
          <w:tcPr>
            <w:tcW w:w="3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22"/>
                <w:szCs w:val="22"/>
                <w:color w:val="auto"/>
              </w:rPr>
              <w:t>842</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Deferred income tax expense (benefit)</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(3,120)</w:t>
            </w:r>
          </w:p>
        </w:tc>
      </w:tr>
      <w:tr>
        <w:trPr>
          <w:trHeight w:val="275"/>
        </w:trPr>
        <w:tc>
          <w:tcPr>
            <w:tcW w:w="8160" w:type="dxa"/>
            <w:vAlign w:val="bottom"/>
          </w:tcPr>
          <w:p>
            <w:pPr>
              <w:ind w:left="100"/>
              <w:spacing w:after="0"/>
              <w:rPr>
                <w:sz w:val="20"/>
                <w:szCs w:val="20"/>
                <w:color w:val="auto"/>
              </w:rPr>
            </w:pPr>
            <w:r>
              <w:rPr>
                <w:rFonts w:ascii="Arial" w:cs="Arial" w:eastAsia="Arial" w:hAnsi="Arial"/>
                <w:sz w:val="22"/>
                <w:szCs w:val="22"/>
                <w:color w:val="auto"/>
              </w:rPr>
              <w:t>Non-cash compensation charge</w:t>
            </w:r>
          </w:p>
        </w:tc>
        <w:tc>
          <w:tcPr>
            <w:tcW w:w="36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22"/>
                <w:szCs w:val="22"/>
                <w:color w:val="auto"/>
              </w:rPr>
              <w:t>2,200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22"/>
                <w:szCs w:val="22"/>
                <w:color w:val="auto"/>
              </w:rPr>
              <w:t>1,867</w:t>
            </w:r>
          </w:p>
        </w:tc>
      </w:tr>
    </w:tbl>
    <w:p>
      <w:pPr>
        <w:sectPr>
          <w:pgSz w:w="11900" w:h="16838" w:orient="portrait"/>
          <w:cols w:equalWidth="0" w:num="1">
            <w:col w:w="11300"/>
          </w:cols>
          <w:pgMar w:left="260" w:top="111" w:right="3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160" w:type="dxa"/>
            <w:vAlign w:val="bottom"/>
          </w:tcPr>
          <w:p>
            <w:pPr>
              <w:ind w:left="100"/>
              <w:spacing w:after="0"/>
              <w:rPr>
                <w:sz w:val="20"/>
                <w:szCs w:val="20"/>
                <w:color w:val="auto"/>
              </w:rPr>
            </w:pPr>
            <w:r>
              <w:rPr>
                <w:rFonts w:ascii="Arial" w:cs="Arial" w:eastAsia="Arial" w:hAnsi="Arial"/>
                <w:sz w:val="22"/>
                <w:szCs w:val="22"/>
                <w:color w:val="auto"/>
              </w:rPr>
              <w:t>Gains on disposals of assets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(2,147)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(416)</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Benefit for loss on receivables, net of recoveries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2,047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795</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Changes in operating assets and liabilities:</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8160" w:type="dxa"/>
            <w:vAlign w:val="bottom"/>
          </w:tcPr>
          <w:p>
            <w:pPr>
              <w:ind w:left="220"/>
              <w:spacing w:after="0"/>
              <w:rPr>
                <w:sz w:val="20"/>
                <w:szCs w:val="20"/>
                <w:color w:val="auto"/>
              </w:rPr>
            </w:pPr>
            <w:r>
              <w:rPr>
                <w:rFonts w:ascii="Arial" w:cs="Arial" w:eastAsia="Arial" w:hAnsi="Arial"/>
                <w:sz w:val="22"/>
                <w:szCs w:val="22"/>
                <w:color w:val="auto"/>
              </w:rPr>
              <w:t>Accounts receivable</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4,837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3,258</w:t>
            </w:r>
          </w:p>
        </w:tc>
      </w:tr>
      <w:tr>
        <w:trPr>
          <w:trHeight w:val="270"/>
        </w:trPr>
        <w:tc>
          <w:tcPr>
            <w:tcW w:w="8160" w:type="dxa"/>
            <w:vAlign w:val="bottom"/>
          </w:tcPr>
          <w:p>
            <w:pPr>
              <w:ind w:left="220"/>
              <w:spacing w:after="0"/>
              <w:rPr>
                <w:sz w:val="20"/>
                <w:szCs w:val="20"/>
                <w:color w:val="auto"/>
              </w:rPr>
            </w:pPr>
            <w:r>
              <w:rPr>
                <w:rFonts w:ascii="Arial" w:cs="Arial" w:eastAsia="Arial" w:hAnsi="Arial"/>
                <w:sz w:val="22"/>
                <w:szCs w:val="22"/>
                <w:color w:val="auto"/>
              </w:rPr>
              <w:t>Inventories</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2,190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(440)</w:t>
            </w:r>
          </w:p>
        </w:tc>
      </w:tr>
      <w:tr>
        <w:trPr>
          <w:trHeight w:val="270"/>
        </w:trPr>
        <w:tc>
          <w:tcPr>
            <w:tcW w:w="8160" w:type="dxa"/>
            <w:vAlign w:val="bottom"/>
          </w:tcPr>
          <w:p>
            <w:pPr>
              <w:ind w:left="220"/>
              <w:spacing w:after="0"/>
              <w:rPr>
                <w:sz w:val="20"/>
                <w:szCs w:val="20"/>
                <w:color w:val="auto"/>
              </w:rPr>
            </w:pPr>
            <w:r>
              <w:rPr>
                <w:rFonts w:ascii="Arial" w:cs="Arial" w:eastAsia="Arial" w:hAnsi="Arial"/>
                <w:sz w:val="22"/>
                <w:szCs w:val="22"/>
                <w:color w:val="auto"/>
              </w:rPr>
              <w:t>Accounts payable and accrued liabilities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(10,352)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(4,521)</w:t>
            </w:r>
          </w:p>
        </w:tc>
      </w:tr>
      <w:tr>
        <w:trPr>
          <w:trHeight w:val="270"/>
        </w:trPr>
        <w:tc>
          <w:tcPr>
            <w:tcW w:w="8160" w:type="dxa"/>
            <w:vAlign w:val="bottom"/>
          </w:tcPr>
          <w:p>
            <w:pPr>
              <w:ind w:left="220"/>
              <w:spacing w:after="0"/>
              <w:rPr>
                <w:sz w:val="20"/>
                <w:szCs w:val="20"/>
                <w:color w:val="auto"/>
              </w:rPr>
            </w:pPr>
            <w:r>
              <w:rPr>
                <w:rFonts w:ascii="Arial" w:cs="Arial" w:eastAsia="Arial" w:hAnsi="Arial"/>
                <w:sz w:val="22"/>
                <w:szCs w:val="22"/>
                <w:color w:val="auto"/>
              </w:rPr>
              <w:t>Taxes payable</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(1,358)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320</w:t>
            </w:r>
          </w:p>
        </w:tc>
      </w:tr>
      <w:tr>
        <w:trPr>
          <w:trHeight w:val="275"/>
        </w:trPr>
        <w:tc>
          <w:tcPr>
            <w:tcW w:w="8160" w:type="dxa"/>
            <w:vAlign w:val="bottom"/>
          </w:tcPr>
          <w:p>
            <w:pPr>
              <w:ind w:left="220"/>
              <w:spacing w:after="0"/>
              <w:rPr>
                <w:sz w:val="20"/>
                <w:szCs w:val="20"/>
                <w:color w:val="auto"/>
              </w:rPr>
            </w:pPr>
            <w:r>
              <w:rPr>
                <w:rFonts w:ascii="Arial" w:cs="Arial" w:eastAsia="Arial" w:hAnsi="Arial"/>
                <w:sz w:val="22"/>
                <w:szCs w:val="22"/>
                <w:color w:val="auto"/>
              </w:rPr>
              <w:t>Other current assets and liabilities, net</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1,364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(640)</w:t>
            </w:r>
          </w:p>
        </w:tc>
      </w:tr>
      <w:tr>
        <w:trPr>
          <w:trHeight w:val="272"/>
        </w:trPr>
        <w:tc>
          <w:tcPr>
            <w:tcW w:w="8160" w:type="dxa"/>
            <w:vAlign w:val="bottom"/>
          </w:tcPr>
          <w:p>
            <w:pPr>
              <w:ind w:left="400"/>
              <w:spacing w:after="0"/>
              <w:rPr>
                <w:sz w:val="20"/>
                <w:szCs w:val="20"/>
                <w:color w:val="auto"/>
              </w:rPr>
            </w:pPr>
            <w:r>
              <w:rPr>
                <w:rFonts w:ascii="Arial" w:cs="Arial" w:eastAsia="Arial" w:hAnsi="Arial"/>
                <w:sz w:val="22"/>
                <w:szCs w:val="22"/>
                <w:color w:val="auto"/>
              </w:rPr>
              <w:t>Net cash flows provided by operating activities</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2,838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9,848</w:t>
            </w:r>
          </w:p>
        </w:tc>
      </w:tr>
      <w:tr>
        <w:trPr>
          <w:trHeight w:val="528"/>
        </w:trPr>
        <w:tc>
          <w:tcPr>
            <w:tcW w:w="8160" w:type="dxa"/>
            <w:vAlign w:val="bottom"/>
          </w:tcPr>
          <w:p>
            <w:pPr>
              <w:spacing w:after="0"/>
              <w:rPr>
                <w:sz w:val="20"/>
                <w:szCs w:val="20"/>
                <w:color w:val="auto"/>
              </w:rPr>
            </w:pPr>
            <w:r>
              <w:rPr>
                <w:rFonts w:ascii="Arial" w:cs="Arial" w:eastAsia="Arial" w:hAnsi="Arial"/>
                <w:sz w:val="22"/>
                <w:szCs w:val="22"/>
                <w:color w:val="auto"/>
              </w:rPr>
              <w:t>Cash flows from investing activities: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Asset acquisitions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(23,771)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112"/>
              <w:spacing w:after="0"/>
              <w:rPr>
                <w:sz w:val="20"/>
                <w:szCs w:val="20"/>
                <w:color w:val="auto"/>
              </w:rPr>
            </w:pPr>
            <w:r>
              <w:rPr>
                <w:rFonts w:ascii="Arial" w:cs="Arial" w:eastAsia="Arial" w:hAnsi="Arial"/>
                <w:sz w:val="22"/>
                <w:szCs w:val="22"/>
                <w:color w:val="auto"/>
              </w:rPr>
              <w:t>-</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Capital expenditures, including capitalized interest</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(2,696)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(3,883)</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Proceeds from disposition of property, plant and equipment</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2,718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578</w:t>
            </w:r>
          </w:p>
        </w:tc>
      </w:tr>
      <w:tr>
        <w:trPr>
          <w:trHeight w:val="275"/>
        </w:trPr>
        <w:tc>
          <w:tcPr>
            <w:tcW w:w="8160" w:type="dxa"/>
            <w:vAlign w:val="bottom"/>
          </w:tcPr>
          <w:p>
            <w:pPr>
              <w:ind w:left="100"/>
              <w:spacing w:after="0"/>
              <w:rPr>
                <w:sz w:val="20"/>
                <w:szCs w:val="20"/>
                <w:color w:val="auto"/>
              </w:rPr>
            </w:pPr>
            <w:r>
              <w:rPr>
                <w:rFonts w:ascii="Arial" w:cs="Arial" w:eastAsia="Arial" w:hAnsi="Arial"/>
                <w:sz w:val="22"/>
                <w:szCs w:val="22"/>
                <w:color w:val="auto"/>
              </w:rPr>
              <w:t>Other, net</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110</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r>
      <w:tr>
        <w:trPr>
          <w:trHeight w:val="272"/>
        </w:trPr>
        <w:tc>
          <w:tcPr>
            <w:tcW w:w="8160" w:type="dxa"/>
            <w:vAlign w:val="bottom"/>
          </w:tcPr>
          <w:p>
            <w:pPr>
              <w:ind w:left="400"/>
              <w:spacing w:after="0"/>
              <w:rPr>
                <w:sz w:val="20"/>
                <w:szCs w:val="20"/>
                <w:color w:val="auto"/>
              </w:rPr>
            </w:pPr>
            <w:r>
              <w:rPr>
                <w:rFonts w:ascii="Arial" w:cs="Arial" w:eastAsia="Arial" w:hAnsi="Arial"/>
                <w:sz w:val="22"/>
                <w:szCs w:val="22"/>
                <w:color w:val="auto"/>
              </w:rPr>
              <w:t>Net cash flows used in investing activities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(23,639)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(3,305)</w:t>
            </w:r>
          </w:p>
        </w:tc>
      </w:tr>
      <w:tr>
        <w:trPr>
          <w:trHeight w:val="528"/>
        </w:trPr>
        <w:tc>
          <w:tcPr>
            <w:tcW w:w="8160" w:type="dxa"/>
            <w:vAlign w:val="bottom"/>
          </w:tcPr>
          <w:p>
            <w:pPr>
              <w:spacing w:after="0"/>
              <w:rPr>
                <w:sz w:val="20"/>
                <w:szCs w:val="20"/>
                <w:color w:val="auto"/>
              </w:rPr>
            </w:pPr>
            <w:r>
              <w:rPr>
                <w:rFonts w:ascii="Arial" w:cs="Arial" w:eastAsia="Arial" w:hAnsi="Arial"/>
                <w:sz w:val="22"/>
                <w:szCs w:val="22"/>
                <w:color w:val="auto"/>
              </w:rPr>
              <w:t>Cash flows from financing activities: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Proceeds from issuance of common stock</w:t>
            </w:r>
          </w:p>
        </w:tc>
        <w:tc>
          <w:tcPr>
            <w:tcW w:w="42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64,847</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Term loan repayments</w:t>
            </w: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(4,079)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(3,947)</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Revolving credit borrowings (repayments), net</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35,641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(39,964)</w:t>
            </w:r>
          </w:p>
        </w:tc>
      </w:tr>
      <w:tr>
        <w:trPr>
          <w:trHeight w:val="270"/>
        </w:trPr>
        <w:tc>
          <w:tcPr>
            <w:tcW w:w="8160" w:type="dxa"/>
            <w:vAlign w:val="bottom"/>
          </w:tcPr>
          <w:p>
            <w:pPr>
              <w:ind w:left="100"/>
              <w:spacing w:after="0"/>
              <w:rPr>
                <w:sz w:val="20"/>
                <w:szCs w:val="20"/>
                <w:color w:val="auto"/>
              </w:rPr>
            </w:pPr>
            <w:r>
              <w:rPr>
                <w:rFonts w:ascii="Arial" w:cs="Arial" w:eastAsia="Arial" w:hAnsi="Arial"/>
                <w:sz w:val="22"/>
                <w:szCs w:val="22"/>
                <w:color w:val="auto"/>
              </w:rPr>
              <w:t>Debt issuance costs</w:t>
            </w:r>
          </w:p>
        </w:tc>
        <w:tc>
          <w:tcPr>
            <w:tcW w:w="42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(1,772)</w:t>
            </w:r>
          </w:p>
        </w:tc>
      </w:tr>
      <w:tr>
        <w:trPr>
          <w:trHeight w:val="275"/>
        </w:trPr>
        <w:tc>
          <w:tcPr>
            <w:tcW w:w="8160" w:type="dxa"/>
            <w:vAlign w:val="bottom"/>
          </w:tcPr>
          <w:p>
            <w:pPr>
              <w:ind w:left="100"/>
              <w:spacing w:after="0"/>
              <w:rPr>
                <w:sz w:val="20"/>
                <w:szCs w:val="20"/>
                <w:color w:val="auto"/>
              </w:rPr>
            </w:pPr>
            <w:r>
              <w:rPr>
                <w:rFonts w:ascii="Arial" w:cs="Arial" w:eastAsia="Arial" w:hAnsi="Arial"/>
                <w:sz w:val="22"/>
                <w:szCs w:val="22"/>
                <w:color w:val="auto"/>
              </w:rPr>
              <w:t>Other</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w:t>
            </w:r>
          </w:p>
        </w:tc>
      </w:tr>
      <w:tr>
        <w:trPr>
          <w:trHeight w:val="272"/>
        </w:trPr>
        <w:tc>
          <w:tcPr>
            <w:tcW w:w="8160" w:type="dxa"/>
            <w:vAlign w:val="bottom"/>
          </w:tcPr>
          <w:p>
            <w:pPr>
              <w:ind w:left="400"/>
              <w:spacing w:after="0"/>
              <w:rPr>
                <w:sz w:val="20"/>
                <w:szCs w:val="20"/>
                <w:color w:val="auto"/>
              </w:rPr>
            </w:pPr>
            <w:r>
              <w:rPr>
                <w:rFonts w:ascii="Arial" w:cs="Arial" w:eastAsia="Arial" w:hAnsi="Arial"/>
                <w:sz w:val="22"/>
                <w:szCs w:val="22"/>
                <w:color w:val="auto"/>
              </w:rPr>
              <w:t>Net cash flows provided by financing activities</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30,968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18,885</w:t>
            </w:r>
          </w:p>
        </w:tc>
      </w:tr>
      <w:tr>
        <w:trPr>
          <w:trHeight w:val="532"/>
        </w:trPr>
        <w:tc>
          <w:tcPr>
            <w:tcW w:w="8160" w:type="dxa"/>
            <w:vAlign w:val="bottom"/>
          </w:tcPr>
          <w:p>
            <w:pPr>
              <w:spacing w:after="0"/>
              <w:rPr>
                <w:sz w:val="20"/>
                <w:szCs w:val="20"/>
                <w:color w:val="auto"/>
              </w:rPr>
            </w:pPr>
            <w:r>
              <w:rPr>
                <w:rFonts w:ascii="Arial" w:cs="Arial" w:eastAsia="Arial" w:hAnsi="Arial"/>
                <w:sz w:val="22"/>
                <w:szCs w:val="22"/>
                <w:color w:val="auto"/>
              </w:rPr>
              <w:t>Effect of exchange rate changes on cash</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(77)</w:t>
            </w:r>
          </w:p>
        </w:tc>
      </w:tr>
      <w:tr>
        <w:trPr>
          <w:trHeight w:val="272"/>
        </w:trPr>
        <w:tc>
          <w:tcPr>
            <w:tcW w:w="8160" w:type="dxa"/>
            <w:vAlign w:val="bottom"/>
          </w:tcPr>
          <w:p>
            <w:pPr>
              <w:spacing w:after="0"/>
              <w:rPr>
                <w:sz w:val="20"/>
                <w:szCs w:val="20"/>
                <w:color w:val="auto"/>
              </w:rPr>
            </w:pPr>
            <w:r>
              <w:rPr>
                <w:rFonts w:ascii="Arial" w:cs="Arial" w:eastAsia="Arial" w:hAnsi="Arial"/>
                <w:sz w:val="22"/>
                <w:szCs w:val="22"/>
                <w:color w:val="auto"/>
              </w:rPr>
              <w:t>Net change in cash and cash equivalents</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9,330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25,351</w:t>
            </w:r>
          </w:p>
        </w:tc>
      </w:tr>
      <w:tr>
        <w:trPr>
          <w:trHeight w:val="532"/>
        </w:trPr>
        <w:tc>
          <w:tcPr>
            <w:tcW w:w="816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4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Arial" w:cs="Arial" w:eastAsia="Arial" w:hAnsi="Arial"/>
                <w:sz w:val="22"/>
                <w:szCs w:val="22"/>
                <w:color w:val="auto"/>
              </w:rPr>
              <w:t>32,647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22"/>
                <w:szCs w:val="22"/>
                <w:color w:val="auto"/>
              </w:rPr>
              <w:t>1,785</w:t>
            </w:r>
          </w:p>
        </w:tc>
      </w:tr>
      <w:tr>
        <w:trPr>
          <w:trHeight w:val="274"/>
        </w:trPr>
        <w:tc>
          <w:tcPr>
            <w:tcW w:w="81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r>
      <w:tr>
        <w:trPr>
          <w:trHeight w:val="264"/>
        </w:trPr>
        <w:tc>
          <w:tcPr>
            <w:tcW w:w="816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41,977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27,136</w:t>
            </w:r>
          </w:p>
        </w:tc>
      </w:tr>
      <w:tr>
        <w:trPr>
          <w:trHeight w:val="21"/>
        </w:trPr>
        <w:tc>
          <w:tcPr>
            <w:tcW w:w="8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SEGMENT DATA</w:t>
      </w:r>
    </w:p>
    <w:p>
      <w:pPr>
        <w:jc w:val="center"/>
        <w:ind w:right="8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80" w:type="dxa"/>
            <w:vAlign w:val="bottom"/>
          </w:tcPr>
          <w:p>
            <w:pPr>
              <w:spacing w:after="0"/>
              <w:rPr>
                <w:sz w:val="21"/>
                <w:szCs w:val="21"/>
                <w:color w:val="auto"/>
              </w:rPr>
            </w:pPr>
          </w:p>
        </w:tc>
        <w:tc>
          <w:tcPr>
            <w:tcW w:w="4220" w:type="dxa"/>
            <w:vAlign w:val="bottom"/>
            <w:gridSpan w:val="4"/>
          </w:tcPr>
          <w:p>
            <w:pPr>
              <w:jc w:val="right"/>
              <w:ind w:right="292"/>
              <w:spacing w:after="0"/>
              <w:rPr>
                <w:sz w:val="20"/>
                <w:szCs w:val="20"/>
                <w:color w:val="auto"/>
              </w:rPr>
            </w:pPr>
            <w:r>
              <w:rPr>
                <w:rFonts w:ascii="Arial" w:cs="Arial" w:eastAsia="Arial" w:hAnsi="Arial"/>
                <w:sz w:val="22"/>
                <w:szCs w:val="22"/>
                <w:b w:val="1"/>
                <w:bCs w:val="1"/>
                <w:color w:val="auto"/>
              </w:rPr>
              <w:t>THREE MONTHS ENDED</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520" w:type="dxa"/>
            <w:vAlign w:val="bottom"/>
            <w:gridSpan w:val="3"/>
          </w:tcPr>
          <w:p>
            <w:pPr>
              <w:jc w:val="right"/>
              <w:ind w:right="992"/>
              <w:spacing w:after="0"/>
              <w:rPr>
                <w:sz w:val="20"/>
                <w:szCs w:val="20"/>
                <w:color w:val="auto"/>
              </w:rPr>
            </w:pPr>
            <w:r>
              <w:rPr>
                <w:rFonts w:ascii="Arial" w:cs="Arial" w:eastAsia="Arial" w:hAnsi="Arial"/>
                <w:sz w:val="22"/>
                <w:szCs w:val="22"/>
                <w:b w:val="1"/>
                <w:bCs w:val="1"/>
                <w:color w:val="auto"/>
              </w:rPr>
              <w:t>MARCH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180" w:type="dxa"/>
            <w:vAlign w:val="bottom"/>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2018</w:t>
            </w: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2017</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180" w:type="dxa"/>
            <w:vAlign w:val="bottom"/>
          </w:tcPr>
          <w:p>
            <w:pPr>
              <w:spacing w:after="0"/>
              <w:rPr>
                <w:sz w:val="20"/>
                <w:szCs w:val="20"/>
                <w:color w:val="auto"/>
              </w:rPr>
            </w:pPr>
            <w:r>
              <w:rPr>
                <w:rFonts w:ascii="Arial" w:cs="Arial" w:eastAsia="Arial" w:hAnsi="Arial"/>
                <w:sz w:val="22"/>
                <w:szCs w:val="22"/>
                <w:color w:val="auto"/>
              </w:rPr>
              <w:t>Revenues</w:t>
            </w:r>
          </w:p>
        </w:tc>
        <w:tc>
          <w:tcPr>
            <w:tcW w:w="1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Canada</w:t>
            </w:r>
          </w:p>
        </w:tc>
        <w:tc>
          <w:tcPr>
            <w:tcW w:w="170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63,390</w:t>
            </w:r>
          </w:p>
        </w:tc>
        <w:tc>
          <w:tcPr>
            <w:tcW w:w="140" w:type="dxa"/>
            <w:vAlign w:val="bottom"/>
          </w:tcPr>
          <w:p>
            <w:pPr>
              <w:spacing w:after="0"/>
              <w:rPr>
                <w:sz w:val="23"/>
                <w:szCs w:val="23"/>
                <w:color w:val="auto"/>
              </w:rPr>
            </w:pPr>
          </w:p>
        </w:tc>
        <w:tc>
          <w:tcPr>
            <w:tcW w:w="1340" w:type="dxa"/>
            <w:vAlign w:val="bottom"/>
          </w:tcPr>
          <w:p>
            <w:pPr>
              <w:jc w:val="right"/>
              <w:ind w:right="972"/>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60,506</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700" w:type="dxa"/>
            <w:vAlign w:val="bottom"/>
          </w:tcPr>
          <w:p>
            <w:pPr>
              <w:spacing w:after="0"/>
              <w:rPr>
                <w:sz w:val="23"/>
                <w:szCs w:val="23"/>
                <w:color w:val="auto"/>
              </w:rPr>
            </w:pP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27,875</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27,016</w:t>
            </w:r>
          </w:p>
        </w:tc>
        <w:tc>
          <w:tcPr>
            <w:tcW w:w="0" w:type="dxa"/>
            <w:vAlign w:val="bottom"/>
          </w:tcPr>
          <w:p>
            <w:pPr>
              <w:spacing w:after="0"/>
              <w:rPr>
                <w:sz w:val="1"/>
                <w:szCs w:val="1"/>
                <w:color w:val="auto"/>
              </w:rPr>
            </w:pPr>
          </w:p>
        </w:tc>
      </w:tr>
      <w:tr>
        <w:trPr>
          <w:trHeight w:val="276"/>
        </w:trPr>
        <w:tc>
          <w:tcPr>
            <w:tcW w:w="6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10,239</w:t>
            </w:r>
          </w:p>
        </w:tc>
        <w:tc>
          <w:tcPr>
            <w:tcW w:w="1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3,907</w:t>
            </w:r>
          </w:p>
        </w:tc>
        <w:tc>
          <w:tcPr>
            <w:tcW w:w="0" w:type="dxa"/>
            <w:vAlign w:val="bottom"/>
          </w:tcPr>
          <w:p>
            <w:pPr>
              <w:spacing w:after="0"/>
              <w:rPr>
                <w:sz w:val="1"/>
                <w:szCs w:val="1"/>
                <w:color w:val="auto"/>
              </w:rPr>
            </w:pPr>
          </w:p>
        </w:tc>
      </w:tr>
      <w:tr>
        <w:trPr>
          <w:trHeight w:val="265"/>
        </w:trPr>
        <w:tc>
          <w:tcPr>
            <w:tcW w:w="6180" w:type="dxa"/>
            <w:vAlign w:val="bottom"/>
          </w:tcPr>
          <w:p>
            <w:pPr>
              <w:ind w:left="220"/>
              <w:spacing w:after="0"/>
              <w:rPr>
                <w:sz w:val="20"/>
                <w:szCs w:val="20"/>
                <w:color w:val="auto"/>
              </w:rPr>
            </w:pPr>
            <w:r>
              <w:rPr>
                <w:rFonts w:ascii="Arial" w:cs="Arial" w:eastAsia="Arial" w:hAnsi="Arial"/>
                <w:sz w:val="22"/>
                <w:szCs w:val="22"/>
                <w:color w:val="auto"/>
              </w:rPr>
              <w:t>Total revenues</w:t>
            </w:r>
          </w:p>
        </w:tc>
        <w:tc>
          <w:tcPr>
            <w:tcW w:w="1700" w:type="dxa"/>
            <w:vAlign w:val="bottom"/>
            <w:tcBorders>
              <w:bottom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5"/>
              </w:rPr>
              <w:t>101,504</w:t>
            </w:r>
          </w:p>
        </w:tc>
        <w:tc>
          <w:tcPr>
            <w:tcW w:w="140" w:type="dxa"/>
            <w:vAlign w:val="bottom"/>
          </w:tcPr>
          <w:p>
            <w:pPr>
              <w:spacing w:after="0"/>
              <w:rPr>
                <w:sz w:val="23"/>
                <w:szCs w:val="23"/>
                <w:color w:val="auto"/>
              </w:rPr>
            </w:pPr>
          </w:p>
        </w:tc>
        <w:tc>
          <w:tcPr>
            <w:tcW w:w="134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9"/>
              </w:rPr>
              <w:t>91,429</w:t>
            </w: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22"/>
                <w:szCs w:val="22"/>
                <w:color w:val="auto"/>
              </w:rPr>
              <w:t>EBITDA (1)</w:t>
            </w:r>
          </w:p>
        </w:tc>
        <w:tc>
          <w:tcPr>
            <w:tcW w:w="1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1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Canada</w:t>
            </w:r>
          </w:p>
        </w:tc>
        <w:tc>
          <w:tcPr>
            <w:tcW w:w="170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(19,653)</w:t>
            </w:r>
          </w:p>
        </w:tc>
        <w:tc>
          <w:tcPr>
            <w:tcW w:w="140" w:type="dxa"/>
            <w:vAlign w:val="bottom"/>
          </w:tcPr>
          <w:p>
            <w:pPr>
              <w:spacing w:after="0"/>
              <w:rPr>
                <w:sz w:val="23"/>
                <w:szCs w:val="23"/>
                <w:color w:val="auto"/>
              </w:rPr>
            </w:pPr>
          </w:p>
        </w:tc>
        <w:tc>
          <w:tcPr>
            <w:tcW w:w="1340" w:type="dxa"/>
            <w:vAlign w:val="bottom"/>
          </w:tcPr>
          <w:p>
            <w:pPr>
              <w:jc w:val="right"/>
              <w:ind w:right="972"/>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13,189</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700" w:type="dxa"/>
            <w:vAlign w:val="bottom"/>
          </w:tcPr>
          <w:p>
            <w:pPr>
              <w:spacing w:after="0"/>
              <w:rPr>
                <w:sz w:val="23"/>
                <w:szCs w:val="23"/>
                <w:color w:val="auto"/>
              </w:rPr>
            </w:pP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9,107</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10,621</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70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(738)</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22"/>
                <w:szCs w:val="22"/>
                <w:color w:val="auto"/>
                <w:w w:val="97"/>
              </w:rPr>
              <w:t>(1,262)</w:t>
            </w:r>
          </w:p>
        </w:tc>
        <w:tc>
          <w:tcPr>
            <w:tcW w:w="0" w:type="dxa"/>
            <w:vAlign w:val="bottom"/>
          </w:tcPr>
          <w:p>
            <w:pPr>
              <w:spacing w:after="0"/>
              <w:rPr>
                <w:sz w:val="1"/>
                <w:szCs w:val="1"/>
                <w:color w:val="auto"/>
              </w:rPr>
            </w:pPr>
          </w:p>
        </w:tc>
      </w:tr>
      <w:tr>
        <w:trPr>
          <w:trHeight w:val="276"/>
        </w:trPr>
        <w:tc>
          <w:tcPr>
            <w:tcW w:w="6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1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(8,330)</w:t>
            </w:r>
          </w:p>
        </w:tc>
        <w:tc>
          <w:tcPr>
            <w:tcW w:w="1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7"/>
              </w:rPr>
              <w:t>(7,318)</w:t>
            </w:r>
          </w:p>
        </w:tc>
        <w:tc>
          <w:tcPr>
            <w:tcW w:w="0" w:type="dxa"/>
            <w:vAlign w:val="bottom"/>
          </w:tcPr>
          <w:p>
            <w:pPr>
              <w:spacing w:after="0"/>
              <w:rPr>
                <w:sz w:val="1"/>
                <w:szCs w:val="1"/>
                <w:color w:val="auto"/>
              </w:rPr>
            </w:pPr>
          </w:p>
        </w:tc>
      </w:tr>
      <w:tr>
        <w:trPr>
          <w:trHeight w:val="265"/>
        </w:trPr>
        <w:tc>
          <w:tcPr>
            <w:tcW w:w="6180" w:type="dxa"/>
            <w:vAlign w:val="bottom"/>
          </w:tcPr>
          <w:p>
            <w:pPr>
              <w:ind w:left="220"/>
              <w:spacing w:after="0"/>
              <w:rPr>
                <w:sz w:val="20"/>
                <w:szCs w:val="20"/>
                <w:color w:val="auto"/>
              </w:rPr>
            </w:pPr>
            <w:r>
              <w:rPr>
                <w:rFonts w:ascii="Arial" w:cs="Arial" w:eastAsia="Arial" w:hAnsi="Arial"/>
                <w:sz w:val="22"/>
                <w:szCs w:val="22"/>
                <w:color w:val="auto"/>
              </w:rPr>
              <w:t>Total EBITDA</w:t>
            </w:r>
          </w:p>
        </w:tc>
        <w:tc>
          <w:tcPr>
            <w:tcW w:w="1700" w:type="dxa"/>
            <w:vAlign w:val="bottom"/>
            <w:tcBorders>
              <w:bottom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(19,614)</w:t>
            </w:r>
          </w:p>
        </w:tc>
        <w:tc>
          <w:tcPr>
            <w:tcW w:w="140" w:type="dxa"/>
            <w:vAlign w:val="bottom"/>
          </w:tcPr>
          <w:p>
            <w:pPr>
              <w:spacing w:after="0"/>
              <w:rPr>
                <w:sz w:val="23"/>
                <w:szCs w:val="23"/>
                <w:color w:val="auto"/>
              </w:rPr>
            </w:pPr>
          </w:p>
        </w:tc>
        <w:tc>
          <w:tcPr>
            <w:tcW w:w="1340" w:type="dxa"/>
            <w:vAlign w:val="bottom"/>
            <w:tcBorders>
              <w:bottom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9"/>
              </w:rPr>
              <w:t>15,230</w:t>
            </w: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22"/>
                <w:szCs w:val="22"/>
                <w:color w:val="auto"/>
              </w:rPr>
              <w:t>Adjusted EBITDA (1)</w:t>
            </w:r>
          </w:p>
        </w:tc>
        <w:tc>
          <w:tcPr>
            <w:tcW w:w="1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1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Canada</w:t>
            </w:r>
          </w:p>
        </w:tc>
        <w:tc>
          <w:tcPr>
            <w:tcW w:w="1700" w:type="dxa"/>
            <w:vAlign w:val="bottom"/>
          </w:tcPr>
          <w:p>
            <w:pPr>
              <w:jc w:val="right"/>
              <w:ind w:right="1272"/>
              <w:spacing w:after="0"/>
              <w:rPr>
                <w:sz w:val="20"/>
                <w:szCs w:val="20"/>
                <w:color w:val="auto"/>
              </w:rPr>
            </w:pPr>
            <w:r>
              <w:rPr>
                <w:rFonts w:ascii="Arial" w:cs="Arial" w:eastAsia="Arial" w:hAnsi="Arial"/>
                <w:sz w:val="22"/>
                <w:szCs w:val="22"/>
                <w:color w:val="auto"/>
              </w:rPr>
              <w:t>$</w:t>
            </w: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9,276</w:t>
            </w:r>
          </w:p>
        </w:tc>
        <w:tc>
          <w:tcPr>
            <w:tcW w:w="140" w:type="dxa"/>
            <w:vAlign w:val="bottom"/>
          </w:tcPr>
          <w:p>
            <w:pPr>
              <w:spacing w:after="0"/>
              <w:rPr>
                <w:sz w:val="23"/>
                <w:szCs w:val="23"/>
                <w:color w:val="auto"/>
              </w:rPr>
            </w:pPr>
          </w:p>
        </w:tc>
        <w:tc>
          <w:tcPr>
            <w:tcW w:w="1340" w:type="dxa"/>
            <w:vAlign w:val="bottom"/>
          </w:tcPr>
          <w:p>
            <w:pPr>
              <w:jc w:val="right"/>
              <w:ind w:right="972"/>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13,189</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700" w:type="dxa"/>
            <w:vAlign w:val="bottom"/>
          </w:tcPr>
          <w:p>
            <w:pPr>
              <w:spacing w:after="0"/>
              <w:rPr>
                <w:sz w:val="23"/>
                <w:szCs w:val="23"/>
                <w:color w:val="auto"/>
              </w:rPr>
            </w:pPr>
          </w:p>
        </w:tc>
        <w:tc>
          <w:tcPr>
            <w:tcW w:w="1040" w:type="dxa"/>
            <w:vAlign w:val="bottom"/>
          </w:tcPr>
          <w:p>
            <w:pPr>
              <w:jc w:val="right"/>
              <w:ind w:right="152"/>
              <w:spacing w:after="0"/>
              <w:rPr>
                <w:sz w:val="20"/>
                <w:szCs w:val="20"/>
                <w:color w:val="auto"/>
              </w:rPr>
            </w:pPr>
            <w:r>
              <w:rPr>
                <w:rFonts w:ascii="Arial" w:cs="Arial" w:eastAsia="Arial" w:hAnsi="Arial"/>
                <w:sz w:val="22"/>
                <w:szCs w:val="22"/>
                <w:color w:val="auto"/>
              </w:rPr>
              <w:t>9,107</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ind w:right="112"/>
              <w:spacing w:after="0"/>
              <w:rPr>
                <w:sz w:val="20"/>
                <w:szCs w:val="20"/>
                <w:color w:val="auto"/>
              </w:rPr>
            </w:pPr>
            <w:r>
              <w:rPr>
                <w:rFonts w:ascii="Arial" w:cs="Arial" w:eastAsia="Arial" w:hAnsi="Arial"/>
                <w:sz w:val="22"/>
                <w:szCs w:val="22"/>
                <w:color w:val="auto"/>
                <w:w w:val="89"/>
              </w:rPr>
              <w:t>10,621</w:t>
            </w:r>
          </w:p>
        </w:tc>
        <w:tc>
          <w:tcPr>
            <w:tcW w:w="0" w:type="dxa"/>
            <w:vAlign w:val="bottom"/>
          </w:tcPr>
          <w:p>
            <w:pPr>
              <w:spacing w:after="0"/>
              <w:rPr>
                <w:sz w:val="1"/>
                <w:szCs w:val="1"/>
                <w:color w:val="auto"/>
              </w:rPr>
            </w:pPr>
          </w:p>
        </w:tc>
      </w:tr>
      <w:tr>
        <w:trPr>
          <w:trHeight w:val="275"/>
        </w:trPr>
        <w:tc>
          <w:tcPr>
            <w:tcW w:w="6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70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(738)</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22"/>
                <w:szCs w:val="22"/>
                <w:color w:val="auto"/>
                <w:w w:val="97"/>
              </w:rPr>
              <w:t>(1,262)</w:t>
            </w:r>
          </w:p>
        </w:tc>
        <w:tc>
          <w:tcPr>
            <w:tcW w:w="0" w:type="dxa"/>
            <w:vAlign w:val="bottom"/>
          </w:tcPr>
          <w:p>
            <w:pPr>
              <w:spacing w:after="0"/>
              <w:rPr>
                <w:sz w:val="1"/>
                <w:szCs w:val="1"/>
                <w:color w:val="auto"/>
              </w:rPr>
            </w:pPr>
          </w:p>
        </w:tc>
      </w:tr>
    </w:tbl>
    <w:p>
      <w:pPr>
        <w:sectPr>
          <w:pgSz w:w="11900" w:h="16838" w:orient="portrait"/>
          <w:cols w:equalWidth="0" w:num="1">
            <w:col w:w="11300"/>
          </w:cols>
          <w:pgMar w:left="260" w:top="118"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1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(7,632)</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(7,318)</w:t>
            </w:r>
          </w:p>
        </w:tc>
        <w:tc>
          <w:tcPr>
            <w:tcW w:w="0" w:type="dxa"/>
            <w:vAlign w:val="bottom"/>
          </w:tcPr>
          <w:p>
            <w:pPr>
              <w:spacing w:after="0"/>
              <w:rPr>
                <w:sz w:val="1"/>
                <w:szCs w:val="1"/>
                <w:color w:val="auto"/>
              </w:rPr>
            </w:pPr>
          </w:p>
        </w:tc>
      </w:tr>
      <w:tr>
        <w:trPr>
          <w:trHeight w:val="265"/>
        </w:trPr>
        <w:tc>
          <w:tcPr>
            <w:tcW w:w="6180" w:type="dxa"/>
            <w:vAlign w:val="bottom"/>
          </w:tcPr>
          <w:p>
            <w:pPr>
              <w:ind w:left="220"/>
              <w:spacing w:after="0"/>
              <w:rPr>
                <w:sz w:val="20"/>
                <w:szCs w:val="20"/>
                <w:color w:val="auto"/>
              </w:rPr>
            </w:pPr>
            <w:r>
              <w:rPr>
                <w:rFonts w:ascii="Arial" w:cs="Arial" w:eastAsia="Arial" w:hAnsi="Arial"/>
                <w:sz w:val="22"/>
                <w:szCs w:val="22"/>
                <w:color w:val="auto"/>
              </w:rPr>
              <w:t>Total adjusted EBITDA</w:t>
            </w: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10,013</w:t>
            </w:r>
          </w:p>
        </w:tc>
        <w:tc>
          <w:tcPr>
            <w:tcW w:w="140" w:type="dxa"/>
            <w:vAlign w:val="bottom"/>
          </w:tcPr>
          <w:p>
            <w:pPr>
              <w:spacing w:after="0"/>
              <w:rPr>
                <w:sz w:val="23"/>
                <w:szCs w:val="23"/>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15,230</w:t>
            </w:r>
          </w:p>
        </w:tc>
        <w:tc>
          <w:tcPr>
            <w:tcW w:w="0" w:type="dxa"/>
            <w:vAlign w:val="bottom"/>
          </w:tcPr>
          <w:p>
            <w:pPr>
              <w:spacing w:after="0"/>
              <w:rPr>
                <w:sz w:val="1"/>
                <w:szCs w:val="1"/>
                <w:color w:val="auto"/>
              </w:rPr>
            </w:pPr>
          </w:p>
        </w:tc>
      </w:tr>
      <w:tr>
        <w:trPr>
          <w:trHeight w:val="21"/>
        </w:trPr>
        <w:tc>
          <w:tcPr>
            <w:tcW w:w="6180" w:type="dxa"/>
            <w:vAlign w:val="bottom"/>
            <w:vMerge w:val="restart"/>
          </w:tcPr>
          <w:p>
            <w:pPr>
              <w:spacing w:after="0"/>
              <w:rPr>
                <w:sz w:val="20"/>
                <w:szCs w:val="20"/>
                <w:color w:val="auto"/>
              </w:rPr>
            </w:pPr>
            <w:r>
              <w:rPr>
                <w:rFonts w:ascii="Arial" w:cs="Arial" w:eastAsia="Arial" w:hAnsi="Arial"/>
                <w:sz w:val="22"/>
                <w:szCs w:val="22"/>
                <w:color w:val="auto"/>
              </w:rPr>
              <w:t>Operating income (loss)</w:t>
            </w: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61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Canada</w:t>
            </w:r>
          </w:p>
        </w:tc>
        <w:tc>
          <w:tcPr>
            <w:tcW w:w="1060" w:type="dxa"/>
            <w:vAlign w:val="bottom"/>
          </w:tcPr>
          <w:p>
            <w:pPr>
              <w:jc w:val="right"/>
              <w:ind w:right="632"/>
              <w:spacing w:after="0"/>
              <w:rPr>
                <w:sz w:val="20"/>
                <w:szCs w:val="20"/>
                <w:color w:val="auto"/>
              </w:rPr>
            </w:pPr>
            <w:r>
              <w:rPr>
                <w:rFonts w:ascii="Arial" w:cs="Arial" w:eastAsia="Arial" w:hAnsi="Arial"/>
                <w:sz w:val="22"/>
                <w:szCs w:val="22"/>
                <w:color w:val="auto"/>
              </w:rPr>
              <w:t>$</w:t>
            </w:r>
          </w:p>
        </w:tc>
        <w:tc>
          <w:tcPr>
            <w:tcW w:w="1680" w:type="dxa"/>
            <w:vAlign w:val="bottom"/>
          </w:tcPr>
          <w:p>
            <w:pPr>
              <w:jc w:val="right"/>
              <w:ind w:right="72"/>
              <w:spacing w:after="0"/>
              <w:rPr>
                <w:sz w:val="20"/>
                <w:szCs w:val="20"/>
                <w:color w:val="auto"/>
              </w:rPr>
            </w:pPr>
            <w:r>
              <w:rPr>
                <w:rFonts w:ascii="Arial" w:cs="Arial" w:eastAsia="Arial" w:hAnsi="Arial"/>
                <w:sz w:val="22"/>
                <w:szCs w:val="22"/>
                <w:color w:val="auto"/>
              </w:rPr>
              <w:t>(39,930)</w:t>
            </w:r>
          </w:p>
        </w:tc>
        <w:tc>
          <w:tcPr>
            <w:tcW w:w="140" w:type="dxa"/>
            <w:vAlign w:val="bottom"/>
          </w:tcPr>
          <w:p>
            <w:pPr>
              <w:spacing w:after="0"/>
              <w:rPr>
                <w:sz w:val="23"/>
                <w:szCs w:val="23"/>
                <w:color w:val="auto"/>
              </w:rPr>
            </w:pPr>
          </w:p>
        </w:tc>
        <w:tc>
          <w:tcPr>
            <w:tcW w:w="78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(5,006)</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Australia</w:t>
            </w:r>
          </w:p>
        </w:tc>
        <w:tc>
          <w:tcPr>
            <w:tcW w:w="1060" w:type="dxa"/>
            <w:vAlign w:val="bottom"/>
          </w:tcPr>
          <w:p>
            <w:pPr>
              <w:spacing w:after="0"/>
              <w:rPr>
                <w:sz w:val="23"/>
                <w:szCs w:val="23"/>
                <w:color w:val="auto"/>
              </w:rPr>
            </w:pPr>
          </w:p>
        </w:tc>
        <w:tc>
          <w:tcPr>
            <w:tcW w:w="1680" w:type="dxa"/>
            <w:vAlign w:val="bottom"/>
          </w:tcPr>
          <w:p>
            <w:pPr>
              <w:jc w:val="right"/>
              <w:ind w:right="72"/>
              <w:spacing w:after="0"/>
              <w:rPr>
                <w:sz w:val="20"/>
                <w:szCs w:val="20"/>
                <w:color w:val="auto"/>
              </w:rPr>
            </w:pPr>
            <w:r>
              <w:rPr>
                <w:rFonts w:ascii="Arial" w:cs="Arial" w:eastAsia="Arial" w:hAnsi="Arial"/>
                <w:sz w:val="22"/>
                <w:szCs w:val="22"/>
                <w:color w:val="auto"/>
              </w:rPr>
              <w:t>(3,166)</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(1,201)</w:t>
            </w:r>
          </w:p>
        </w:tc>
        <w:tc>
          <w:tcPr>
            <w:tcW w:w="0" w:type="dxa"/>
            <w:vAlign w:val="bottom"/>
          </w:tcPr>
          <w:p>
            <w:pPr>
              <w:spacing w:after="0"/>
              <w:rPr>
                <w:sz w:val="1"/>
                <w:szCs w:val="1"/>
                <w:color w:val="auto"/>
              </w:rPr>
            </w:pPr>
          </w:p>
        </w:tc>
      </w:tr>
      <w:tr>
        <w:trPr>
          <w:trHeight w:val="270"/>
        </w:trPr>
        <w:tc>
          <w:tcPr>
            <w:tcW w:w="6180" w:type="dxa"/>
            <w:vAlign w:val="bottom"/>
          </w:tcPr>
          <w:p>
            <w:pPr>
              <w:ind w:left="100"/>
              <w:spacing w:after="0"/>
              <w:rPr>
                <w:sz w:val="20"/>
                <w:szCs w:val="20"/>
                <w:color w:val="auto"/>
              </w:rPr>
            </w:pPr>
            <w:r>
              <w:rPr>
                <w:rFonts w:ascii="Arial" w:cs="Arial" w:eastAsia="Arial" w:hAnsi="Arial"/>
                <w:sz w:val="22"/>
                <w:szCs w:val="22"/>
                <w:color w:val="auto"/>
              </w:rPr>
              <w:t>United States</w:t>
            </w:r>
          </w:p>
        </w:tc>
        <w:tc>
          <w:tcPr>
            <w:tcW w:w="1060" w:type="dxa"/>
            <w:vAlign w:val="bottom"/>
          </w:tcPr>
          <w:p>
            <w:pPr>
              <w:spacing w:after="0"/>
              <w:rPr>
                <w:sz w:val="23"/>
                <w:szCs w:val="23"/>
                <w:color w:val="auto"/>
              </w:rPr>
            </w:pPr>
          </w:p>
        </w:tc>
        <w:tc>
          <w:tcPr>
            <w:tcW w:w="1680" w:type="dxa"/>
            <w:vAlign w:val="bottom"/>
          </w:tcPr>
          <w:p>
            <w:pPr>
              <w:jc w:val="right"/>
              <w:ind w:right="72"/>
              <w:spacing w:after="0"/>
              <w:rPr>
                <w:sz w:val="20"/>
                <w:szCs w:val="20"/>
                <w:color w:val="auto"/>
              </w:rPr>
            </w:pPr>
            <w:r>
              <w:rPr>
                <w:rFonts w:ascii="Arial" w:cs="Arial" w:eastAsia="Arial" w:hAnsi="Arial"/>
                <w:sz w:val="22"/>
                <w:szCs w:val="22"/>
                <w:color w:val="auto"/>
              </w:rPr>
              <w:t>(3,264)</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(2,802)</w:t>
            </w:r>
          </w:p>
        </w:tc>
        <w:tc>
          <w:tcPr>
            <w:tcW w:w="0" w:type="dxa"/>
            <w:vAlign w:val="bottom"/>
          </w:tcPr>
          <w:p>
            <w:pPr>
              <w:spacing w:after="0"/>
              <w:rPr>
                <w:sz w:val="1"/>
                <w:szCs w:val="1"/>
                <w:color w:val="auto"/>
              </w:rPr>
            </w:pPr>
          </w:p>
        </w:tc>
      </w:tr>
      <w:tr>
        <w:trPr>
          <w:trHeight w:val="276"/>
        </w:trPr>
        <w:tc>
          <w:tcPr>
            <w:tcW w:w="6180" w:type="dxa"/>
            <w:vAlign w:val="bottom"/>
          </w:tcPr>
          <w:p>
            <w:pPr>
              <w:ind w:left="100"/>
              <w:spacing w:after="0"/>
              <w:rPr>
                <w:sz w:val="20"/>
                <w:szCs w:val="20"/>
                <w:color w:val="auto"/>
              </w:rPr>
            </w:pPr>
            <w:r>
              <w:rPr>
                <w:rFonts w:ascii="Arial" w:cs="Arial" w:eastAsia="Arial" w:hAnsi="Arial"/>
                <w:sz w:val="22"/>
                <w:szCs w:val="22"/>
                <w:color w:val="auto"/>
              </w:rPr>
              <w:t>Corporate and eliminations</w:t>
            </w:r>
          </w:p>
        </w:tc>
        <w:tc>
          <w:tcPr>
            <w:tcW w:w="1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(6,155)</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(8,723)</w:t>
            </w:r>
          </w:p>
        </w:tc>
        <w:tc>
          <w:tcPr>
            <w:tcW w:w="0" w:type="dxa"/>
            <w:vAlign w:val="bottom"/>
          </w:tcPr>
          <w:p>
            <w:pPr>
              <w:spacing w:after="0"/>
              <w:rPr>
                <w:sz w:val="1"/>
                <w:szCs w:val="1"/>
                <w:color w:val="auto"/>
              </w:rPr>
            </w:pPr>
          </w:p>
        </w:tc>
      </w:tr>
      <w:tr>
        <w:trPr>
          <w:trHeight w:val="265"/>
        </w:trPr>
        <w:tc>
          <w:tcPr>
            <w:tcW w:w="6180" w:type="dxa"/>
            <w:vAlign w:val="bottom"/>
          </w:tcPr>
          <w:p>
            <w:pPr>
              <w:ind w:left="220"/>
              <w:spacing w:after="0"/>
              <w:rPr>
                <w:sz w:val="20"/>
                <w:szCs w:val="20"/>
                <w:color w:val="auto"/>
              </w:rPr>
            </w:pPr>
            <w:r>
              <w:rPr>
                <w:rFonts w:ascii="Arial" w:cs="Arial" w:eastAsia="Arial" w:hAnsi="Arial"/>
                <w:sz w:val="22"/>
                <w:szCs w:val="22"/>
                <w:color w:val="auto"/>
              </w:rPr>
              <w:t>Total operating loss</w:t>
            </w: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(52,515)</w:t>
            </w:r>
          </w:p>
        </w:tc>
        <w:tc>
          <w:tcPr>
            <w:tcW w:w="140" w:type="dxa"/>
            <w:vAlign w:val="bottom"/>
          </w:tcPr>
          <w:p>
            <w:pPr>
              <w:spacing w:after="0"/>
              <w:rPr>
                <w:sz w:val="23"/>
                <w:szCs w:val="23"/>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(17,732)</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(1) Please see Non-GAAP Reconciliation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w:t>
      </w:r>
    </w:p>
    <w:p>
      <w:pPr>
        <w:jc w:val="center"/>
        <w:ind w:right="20"/>
        <w:spacing w:after="0" w:line="230" w:lineRule="auto"/>
        <w:rPr>
          <w:sz w:val="20"/>
          <w:szCs w:val="20"/>
          <w:color w:val="auto"/>
        </w:rPr>
      </w:pPr>
      <w:r>
        <w:rPr>
          <w:rFonts w:ascii="Arial" w:cs="Arial" w:eastAsia="Arial" w:hAnsi="Arial"/>
          <w:sz w:val="22"/>
          <w:szCs w:val="22"/>
          <w:b w:val="1"/>
          <w:b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63"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r>
      <w:tr>
        <w:trPr>
          <w:trHeight w:val="526"/>
        </w:trPr>
        <w:tc>
          <w:tcPr>
            <w:tcW w:w="7700" w:type="dxa"/>
            <w:vAlign w:val="bottom"/>
          </w:tcPr>
          <w:p>
            <w:pPr>
              <w:spacing w:after="0"/>
              <w:rPr>
                <w:sz w:val="20"/>
                <w:szCs w:val="20"/>
                <w:color w:val="auto"/>
              </w:rPr>
            </w:pPr>
            <w:r>
              <w:rPr>
                <w:rFonts w:ascii="Arial" w:cs="Arial" w:eastAsia="Arial" w:hAnsi="Arial"/>
                <w:sz w:val="22"/>
                <w:szCs w:val="22"/>
                <w:color w:val="auto"/>
              </w:rPr>
              <w:t>EBITDA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(19,614)</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15,230</w:t>
            </w: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Adjusted EBITDA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10,013</w:t>
            </w:r>
          </w:p>
        </w:tc>
        <w:tc>
          <w:tcPr>
            <w:tcW w:w="120" w:type="dxa"/>
            <w:vAlign w:val="bottom"/>
          </w:tcPr>
          <w:p>
            <w:pPr>
              <w:spacing w:after="0"/>
              <w:rPr>
                <w:sz w:val="23"/>
                <w:szCs w:val="23"/>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15,230</w:t>
            </w:r>
          </w:p>
        </w:tc>
      </w:tr>
      <w:tr>
        <w:trPr>
          <w:trHeight w:val="275"/>
        </w:trPr>
        <w:tc>
          <w:tcPr>
            <w:tcW w:w="7700" w:type="dxa"/>
            <w:vAlign w:val="bottom"/>
          </w:tcPr>
          <w:p>
            <w:pPr>
              <w:spacing w:after="0"/>
              <w:rPr>
                <w:sz w:val="20"/>
                <w:szCs w:val="20"/>
                <w:color w:val="auto"/>
              </w:rPr>
            </w:pPr>
            <w:r>
              <w:rPr>
                <w:rFonts w:ascii="Arial" w:cs="Arial" w:eastAsia="Arial" w:hAnsi="Arial"/>
                <w:sz w:val="22"/>
                <w:szCs w:val="22"/>
                <w:color w:val="auto"/>
              </w:rPr>
              <w:t>Free Cash Flow (2)</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2,860</w:t>
            </w:r>
          </w:p>
        </w:tc>
        <w:tc>
          <w:tcPr>
            <w:tcW w:w="120" w:type="dxa"/>
            <w:vAlign w:val="bottom"/>
          </w:tcPr>
          <w:p>
            <w:pPr>
              <w:spacing w:after="0"/>
              <w:rPr>
                <w:sz w:val="23"/>
                <w:szCs w:val="23"/>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6,543</w:t>
            </w:r>
          </w:p>
        </w:tc>
      </w:tr>
    </w:tbl>
    <w:p>
      <w:pPr>
        <w:spacing w:after="0" w:line="266" w:lineRule="exact"/>
        <w:rPr>
          <w:sz w:val="20"/>
          <w:szCs w:val="20"/>
          <w:color w:val="auto"/>
        </w:rPr>
      </w:pPr>
    </w:p>
    <w:p>
      <w:pPr>
        <w:ind w:right="20" w:firstLine="2"/>
        <w:spacing w:after="0" w:line="244" w:lineRule="auto"/>
        <w:tabs>
          <w:tab w:leader="none" w:pos="306"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term EBITDA is defined as net income (loss) plus interest, taxes, depreciation and amortization. The term Adjusted EBITDA is defined as EBITDA adjusted to exclude impairment charges and certain costs associated with Civeo's acquisition of Noralta.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68" w:lineRule="exact"/>
        <w:rPr>
          <w:sz w:val="20"/>
          <w:szCs w:val="20"/>
          <w:color w:val="auto"/>
        </w:rPr>
      </w:pPr>
    </w:p>
    <w:p>
      <w:pPr>
        <w:jc w:val="both"/>
        <w:ind w:right="980"/>
        <w:spacing w:after="0"/>
        <w:rPr>
          <w:sz w:val="20"/>
          <w:szCs w:val="20"/>
          <w:color w:val="auto"/>
        </w:rPr>
      </w:pPr>
      <w:r>
        <w:rPr>
          <w:rFonts w:ascii="Arial" w:cs="Arial" w:eastAsia="Arial" w:hAnsi="Arial"/>
          <w:sz w:val="22"/>
          <w:szCs w:val="22"/>
          <w:color w:val="auto"/>
        </w:rPr>
        <w:t>The following table sets forth a reconciliation of EBITDA and Adjusted EBITDA to net loss, which is the most directly comparable measure of financial performance calculated under generally accepted accounting principles (in thousands) (unaudited):</w:t>
      </w:r>
    </w:p>
    <w:p>
      <w:pPr>
        <w:spacing w:after="0" w:line="261"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400" w:type="dxa"/>
        <w:tblCellMar>
          <w:top w:w="0" w:type="dxa"/>
          <w:left w:w="0" w:type="dxa"/>
          <w:bottom w:w="0" w:type="dxa"/>
          <w:right w:w="0" w:type="dxa"/>
        </w:tblCellMar>
      </w:tblPr>
      <w:tr>
        <w:trPr>
          <w:trHeight w:val="274"/>
        </w:trPr>
        <w:tc>
          <w:tcPr>
            <w:tcW w:w="73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r>
      <w:tr>
        <w:trPr>
          <w:trHeight w:val="526"/>
        </w:trPr>
        <w:tc>
          <w:tcPr>
            <w:tcW w:w="7300" w:type="dxa"/>
            <w:vAlign w:val="bottom"/>
          </w:tcPr>
          <w:p>
            <w:pPr>
              <w:spacing w:after="0"/>
              <w:rPr>
                <w:sz w:val="20"/>
                <w:szCs w:val="20"/>
                <w:color w:val="auto"/>
              </w:rPr>
            </w:pPr>
            <w:r>
              <w:rPr>
                <w:rFonts w:ascii="Arial" w:cs="Arial" w:eastAsia="Arial" w:hAnsi="Arial"/>
                <w:sz w:val="22"/>
                <w:szCs w:val="22"/>
                <w:color w:val="auto"/>
              </w:rPr>
              <w:t>Net loss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(55,457)</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(20,987)</w:t>
            </w: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(685)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(2,948)</w:t>
            </w: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30,764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32,829</w:t>
            </w: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Interest income</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(10)</w:t>
            </w:r>
          </w:p>
        </w:tc>
      </w:tr>
      <w:tr>
        <w:trPr>
          <w:trHeight w:val="270"/>
        </w:trPr>
        <w:tc>
          <w:tcPr>
            <w:tcW w:w="7300" w:type="dxa"/>
            <w:vAlign w:val="bottom"/>
          </w:tcPr>
          <w:p>
            <w:pPr>
              <w:spacing w:after="0"/>
              <w:rPr>
                <w:sz w:val="20"/>
                <w:szCs w:val="20"/>
                <w:color w:val="auto"/>
              </w:rPr>
            </w:pPr>
            <w:r>
              <w:rPr>
                <w:rFonts w:ascii="Arial" w:cs="Arial" w:eastAsia="Arial" w:hAnsi="Arial"/>
                <w:sz w:val="22"/>
                <w:szCs w:val="22"/>
                <w:color w:val="auto"/>
              </w:rPr>
              <w:t>Loss on extinguishment of debt</w:t>
            </w:r>
          </w:p>
        </w:tc>
        <w:tc>
          <w:tcPr>
            <w:tcW w:w="42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842</w:t>
            </w:r>
          </w:p>
        </w:tc>
      </w:tr>
      <w:tr>
        <w:trPr>
          <w:trHeight w:val="275"/>
        </w:trPr>
        <w:tc>
          <w:tcPr>
            <w:tcW w:w="7300" w:type="dxa"/>
            <w:vAlign w:val="bottom"/>
          </w:tcPr>
          <w:p>
            <w:pPr>
              <w:spacing w:after="0"/>
              <w:rPr>
                <w:sz w:val="20"/>
                <w:szCs w:val="20"/>
                <w:color w:val="auto"/>
              </w:rPr>
            </w:pPr>
            <w:r>
              <w:rPr>
                <w:rFonts w:ascii="Arial" w:cs="Arial" w:eastAsia="Arial" w:hAnsi="Arial"/>
                <w:sz w:val="22"/>
                <w:szCs w:val="22"/>
                <w:color w:val="auto"/>
              </w:rPr>
              <w:t>Interest expense</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5,822</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5,504</w:t>
            </w:r>
          </w:p>
        </w:tc>
      </w:tr>
      <w:tr>
        <w:trPr>
          <w:trHeight w:val="267"/>
        </w:trPr>
        <w:tc>
          <w:tcPr>
            <w:tcW w:w="7300" w:type="dxa"/>
            <w:vAlign w:val="bottom"/>
          </w:tcPr>
          <w:p>
            <w:pPr>
              <w:ind w:left="100"/>
              <w:spacing w:after="0"/>
              <w:rPr>
                <w:sz w:val="20"/>
                <w:szCs w:val="20"/>
                <w:color w:val="auto"/>
              </w:rPr>
            </w:pPr>
            <w:r>
              <w:rPr>
                <w:rFonts w:ascii="Arial" w:cs="Arial" w:eastAsia="Arial" w:hAnsi="Arial"/>
                <w:sz w:val="22"/>
                <w:szCs w:val="22"/>
                <w:color w:val="auto"/>
              </w:rPr>
              <w:t>EBITDA</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(19,614)</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15,230</w:t>
            </w:r>
          </w:p>
        </w:tc>
      </w:tr>
      <w:tr>
        <w:trPr>
          <w:trHeight w:val="256"/>
        </w:trPr>
        <w:tc>
          <w:tcPr>
            <w:tcW w:w="7300" w:type="dxa"/>
            <w:vAlign w:val="bottom"/>
          </w:tcPr>
          <w:p>
            <w:pPr>
              <w:spacing w:after="0"/>
              <w:rPr>
                <w:sz w:val="20"/>
                <w:szCs w:val="20"/>
                <w:color w:val="auto"/>
              </w:rPr>
            </w:pPr>
            <w:r>
              <w:rPr>
                <w:rFonts w:ascii="Arial" w:cs="Arial" w:eastAsia="Arial" w:hAnsi="Arial"/>
                <w:sz w:val="22"/>
                <w:szCs w:val="22"/>
                <w:color w:val="auto"/>
              </w:rPr>
              <w:t>Adjustments to EBITDA</w:t>
            </w: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22"/>
                <w:szCs w:val="22"/>
                <w:color w:val="auto"/>
              </w:rPr>
              <w:t>Impairment expense (a)</w:t>
            </w:r>
          </w:p>
        </w:tc>
        <w:tc>
          <w:tcPr>
            <w:tcW w:w="4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28,661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152"/>
              <w:spacing w:after="0"/>
              <w:rPr>
                <w:sz w:val="20"/>
                <w:szCs w:val="20"/>
                <w:color w:val="auto"/>
              </w:rPr>
            </w:pPr>
            <w:r>
              <w:rPr>
                <w:rFonts w:ascii="Arial" w:cs="Arial" w:eastAsia="Arial" w:hAnsi="Arial"/>
                <w:sz w:val="22"/>
                <w:szCs w:val="22"/>
                <w:color w:val="auto"/>
              </w:rPr>
              <w:t>-</w:t>
            </w:r>
          </w:p>
        </w:tc>
      </w:tr>
      <w:tr>
        <w:trPr>
          <w:trHeight w:val="276"/>
        </w:trPr>
        <w:tc>
          <w:tcPr>
            <w:tcW w:w="7300" w:type="dxa"/>
            <w:vAlign w:val="bottom"/>
          </w:tcPr>
          <w:p>
            <w:pPr>
              <w:ind w:left="100"/>
              <w:spacing w:after="0"/>
              <w:rPr>
                <w:sz w:val="20"/>
                <w:szCs w:val="20"/>
                <w:color w:val="auto"/>
              </w:rPr>
            </w:pPr>
            <w:r>
              <w:rPr>
                <w:rFonts w:ascii="Arial" w:cs="Arial" w:eastAsia="Arial" w:hAnsi="Arial"/>
                <w:sz w:val="22"/>
                <w:szCs w:val="22"/>
                <w:color w:val="auto"/>
              </w:rPr>
              <w:t>Noralta transaction costs (b)</w:t>
            </w: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966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w:t>
            </w:r>
          </w:p>
        </w:tc>
      </w:tr>
      <w:tr>
        <w:trPr>
          <w:trHeight w:val="265"/>
        </w:trPr>
        <w:tc>
          <w:tcPr>
            <w:tcW w:w="7300" w:type="dxa"/>
            <w:vAlign w:val="bottom"/>
          </w:tcPr>
          <w:p>
            <w:pPr>
              <w:ind w:left="260"/>
              <w:spacing w:after="0"/>
              <w:rPr>
                <w:sz w:val="20"/>
                <w:szCs w:val="20"/>
                <w:color w:val="auto"/>
              </w:rPr>
            </w:pPr>
            <w:r>
              <w:rPr>
                <w:rFonts w:ascii="Arial" w:cs="Arial" w:eastAsia="Arial" w:hAnsi="Arial"/>
                <w:sz w:val="22"/>
                <w:szCs w:val="22"/>
                <w:color w:val="auto"/>
              </w:rPr>
              <w:t>Adjusted EBITDA</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10,013</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15,230</w:t>
            </w:r>
          </w:p>
        </w:tc>
      </w:tr>
      <w:tr>
        <w:trPr>
          <w:trHeight w:val="21"/>
        </w:trPr>
        <w:tc>
          <w:tcPr>
            <w:tcW w:w="7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9"/>
          <w:szCs w:val="19"/>
          <w:color w:val="auto"/>
        </w:rPr>
        <w:t>(a) Relates to the first quarter 2018 impairment of assets in Canada. We recorded a pre-tax loss of $28.7 million ($28.7 million</w:t>
      </w:r>
    </w:p>
    <w:p>
      <w:pPr>
        <w:sectPr>
          <w:pgSz w:w="11900" w:h="16838" w:orient="portrait"/>
          <w:cols w:equalWidth="0" w:num="1">
            <w:col w:w="11320"/>
          </w:cols>
          <w:pgMar w:left="260" w:top="118" w:right="319" w:bottom="0" w:gutter="0" w:footer="0" w:header="0"/>
        </w:sectPr>
      </w:pPr>
    </w:p>
    <w:bookmarkStart w:id="10" w:name="page11"/>
    <w:bookmarkEnd w:id="10"/>
    <w:p>
      <w:pPr>
        <w:spacing w:after="0"/>
        <w:rPr>
          <w:sz w:val="20"/>
          <w:szCs w:val="20"/>
          <w:color w:val="auto"/>
        </w:rPr>
      </w:pPr>
      <w:r>
        <w:rPr>
          <w:rFonts w:ascii="Arial" w:cs="Arial" w:eastAsia="Arial" w:hAnsi="Arial"/>
          <w:sz w:val="21"/>
          <w:szCs w:val="21"/>
          <w:color w:val="auto"/>
        </w:rPr>
        <w:t>after-tax, or $0.22 per diluted share), which is included in Impairment expense on the unaudited statements of operations.</w:t>
      </w:r>
    </w:p>
    <w:p>
      <w:pPr>
        <w:spacing w:after="0" w:line="299" w:lineRule="exact"/>
        <w:rPr>
          <w:sz w:val="20"/>
          <w:szCs w:val="20"/>
          <w:color w:val="auto"/>
        </w:rPr>
      </w:pPr>
    </w:p>
    <w:p>
      <w:pPr>
        <w:ind w:right="380" w:firstLine="2"/>
        <w:spacing w:after="0"/>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Relates to costs incurred associated with Civeo's acquisition of Noralta Lodge Ltd. The $1.0 million of costs in 2018 ($1.0 million after-tax, or $0.01, per diluted share), which are primarily corporate in nature, are included in Selling, general and administrative expenses on the unaudited statements of operations.</w:t>
      </w:r>
    </w:p>
    <w:p>
      <w:pPr>
        <w:spacing w:after="0" w:line="268" w:lineRule="exact"/>
        <w:rPr>
          <w:sz w:val="20"/>
          <w:szCs w:val="20"/>
          <w:color w:val="auto"/>
        </w:rPr>
      </w:pPr>
    </w:p>
    <w:p>
      <w:pPr>
        <w:ind w:right="60" w:firstLine="2"/>
        <w:spacing w:after="0" w:line="245" w:lineRule="auto"/>
        <w:tabs>
          <w:tab w:leader="none" w:pos="306"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26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2"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22"/>
          <w:szCs w:val="22"/>
          <w:b w:val="1"/>
          <w:bCs w:val="1"/>
          <w:color w:val="auto"/>
        </w:rPr>
        <w:t>MARCH 31,</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274"/>
        </w:trPr>
        <w:tc>
          <w:tcPr>
            <w:tcW w:w="73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22"/>
                <w:szCs w:val="22"/>
                <w:b w:val="1"/>
                <w:bCs w:val="1"/>
                <w:color w:val="auto"/>
              </w:rPr>
              <w:t>2017</w:t>
            </w:r>
          </w:p>
        </w:tc>
      </w:tr>
      <w:tr>
        <w:trPr>
          <w:trHeight w:val="526"/>
        </w:trPr>
        <w:tc>
          <w:tcPr>
            <w:tcW w:w="7380" w:type="dxa"/>
            <w:vAlign w:val="bottom"/>
          </w:tcPr>
          <w:p>
            <w:pPr>
              <w:spacing w:after="0"/>
              <w:rPr>
                <w:sz w:val="20"/>
                <w:szCs w:val="20"/>
                <w:color w:val="auto"/>
              </w:rPr>
            </w:pPr>
            <w:r>
              <w:rPr>
                <w:rFonts w:ascii="Arial" w:cs="Arial" w:eastAsia="Arial" w:hAnsi="Arial"/>
                <w:sz w:val="22"/>
                <w:szCs w:val="22"/>
                <w:color w:val="auto"/>
              </w:rPr>
              <w:t>Net Cash Flows Provided by Operating Activities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Pr>
          <w:p>
            <w:pPr>
              <w:jc w:val="right"/>
              <w:ind w:right="12"/>
              <w:spacing w:after="0"/>
              <w:rPr>
                <w:sz w:val="20"/>
                <w:szCs w:val="20"/>
                <w:color w:val="auto"/>
              </w:rPr>
            </w:pPr>
            <w:r>
              <w:rPr>
                <w:rFonts w:ascii="Arial" w:cs="Arial" w:eastAsia="Arial" w:hAnsi="Arial"/>
                <w:sz w:val="22"/>
                <w:szCs w:val="22"/>
                <w:color w:val="auto"/>
              </w:rPr>
              <w:t>2,838</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92"/>
              <w:spacing w:after="0"/>
              <w:rPr>
                <w:sz w:val="20"/>
                <w:szCs w:val="20"/>
                <w:color w:val="auto"/>
              </w:rPr>
            </w:pPr>
            <w:r>
              <w:rPr>
                <w:rFonts w:ascii="Arial" w:cs="Arial" w:eastAsia="Arial" w:hAnsi="Arial"/>
                <w:sz w:val="22"/>
                <w:szCs w:val="22"/>
                <w:color w:val="auto"/>
              </w:rPr>
              <w:t>9,848</w:t>
            </w:r>
          </w:p>
        </w:tc>
      </w:tr>
      <w:tr>
        <w:trPr>
          <w:trHeight w:val="270"/>
        </w:trPr>
        <w:tc>
          <w:tcPr>
            <w:tcW w:w="7380" w:type="dxa"/>
            <w:vAlign w:val="bottom"/>
          </w:tcPr>
          <w:p>
            <w:pPr>
              <w:ind w:left="120"/>
              <w:spacing w:after="0"/>
              <w:rPr>
                <w:sz w:val="20"/>
                <w:szCs w:val="20"/>
                <w:color w:val="auto"/>
              </w:rPr>
            </w:pPr>
            <w:r>
              <w:rPr>
                <w:rFonts w:ascii="Arial" w:cs="Arial" w:eastAsia="Arial" w:hAnsi="Arial"/>
                <w:sz w:val="22"/>
                <w:szCs w:val="22"/>
                <w:color w:val="auto"/>
              </w:rPr>
              <w:t>Capital expenditures, including capitalized interest</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(2,696)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60" w:type="dxa"/>
            <w:vAlign w:val="bottom"/>
          </w:tcPr>
          <w:p>
            <w:pPr>
              <w:jc w:val="right"/>
              <w:ind w:right="32"/>
              <w:spacing w:after="0"/>
              <w:rPr>
                <w:sz w:val="20"/>
                <w:szCs w:val="20"/>
                <w:color w:val="auto"/>
              </w:rPr>
            </w:pPr>
            <w:r>
              <w:rPr>
                <w:rFonts w:ascii="Arial" w:cs="Arial" w:eastAsia="Arial" w:hAnsi="Arial"/>
                <w:sz w:val="22"/>
                <w:szCs w:val="22"/>
                <w:color w:val="auto"/>
              </w:rPr>
              <w:t>(3,883)</w:t>
            </w:r>
          </w:p>
        </w:tc>
      </w:tr>
      <w:tr>
        <w:trPr>
          <w:trHeight w:val="275"/>
        </w:trPr>
        <w:tc>
          <w:tcPr>
            <w:tcW w:w="7380" w:type="dxa"/>
            <w:vAlign w:val="bottom"/>
          </w:tcPr>
          <w:p>
            <w:pPr>
              <w:ind w:left="120"/>
              <w:spacing w:after="0"/>
              <w:rPr>
                <w:sz w:val="20"/>
                <w:szCs w:val="20"/>
                <w:color w:val="auto"/>
              </w:rPr>
            </w:pPr>
            <w:r>
              <w:rPr>
                <w:rFonts w:ascii="Arial" w:cs="Arial" w:eastAsia="Arial" w:hAnsi="Arial"/>
                <w:sz w:val="22"/>
                <w:szCs w:val="22"/>
                <w:color w:val="auto"/>
              </w:rPr>
              <w:t>Proceeds from disposition of property, plant and equipment</w:t>
            </w:r>
          </w:p>
        </w:tc>
        <w:tc>
          <w:tcPr>
            <w:tcW w:w="4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2,718</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578</w:t>
            </w:r>
          </w:p>
        </w:tc>
      </w:tr>
      <w:tr>
        <w:trPr>
          <w:trHeight w:val="267"/>
        </w:trPr>
        <w:tc>
          <w:tcPr>
            <w:tcW w:w="7380" w:type="dxa"/>
            <w:vAlign w:val="bottom"/>
          </w:tcPr>
          <w:p>
            <w:pPr>
              <w:ind w:left="120"/>
              <w:spacing w:after="0"/>
              <w:rPr>
                <w:sz w:val="20"/>
                <w:szCs w:val="20"/>
                <w:color w:val="auto"/>
              </w:rPr>
            </w:pPr>
            <w:r>
              <w:rPr>
                <w:rFonts w:ascii="Arial" w:cs="Arial" w:eastAsia="Arial" w:hAnsi="Arial"/>
                <w:sz w:val="22"/>
                <w:szCs w:val="22"/>
                <w:color w:val="auto"/>
              </w:rPr>
              <w:t>Free Cash Flow</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2,860</w:t>
            </w:r>
          </w:p>
        </w:tc>
        <w:tc>
          <w:tcPr>
            <w:tcW w:w="120" w:type="dxa"/>
            <w:vAlign w:val="bottom"/>
          </w:tcPr>
          <w:p>
            <w:pPr>
              <w:spacing w:after="0"/>
              <w:rPr>
                <w:sz w:val="23"/>
                <w:szCs w:val="23"/>
                <w:color w:val="auto"/>
              </w:rPr>
            </w:pPr>
          </w:p>
        </w:tc>
        <w:tc>
          <w:tcPr>
            <w:tcW w:w="4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RECONCILIATIONS - GUIDANCE</w:t>
      </w:r>
    </w:p>
    <w:p>
      <w:pPr>
        <w:ind w:left="510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320"/>
          </w:cols>
          <w:pgMar w:left="260" w:top="118" w:right="319" w:bottom="0" w:gutter="0" w:footer="0" w:header="0"/>
        </w:sectPr>
      </w:pPr>
    </w:p>
    <w:p>
      <w:pPr>
        <w:spacing w:after="0" w:line="263" w:lineRule="exact"/>
        <w:rPr>
          <w:sz w:val="20"/>
          <w:szCs w:val="20"/>
          <w:color w:val="auto"/>
        </w:rPr>
      </w:pPr>
    </w:p>
    <w:p>
      <w:pPr>
        <w:jc w:val="center"/>
        <w:ind w:left="4540"/>
        <w:spacing w:after="0"/>
        <w:rPr>
          <w:sz w:val="20"/>
          <w:szCs w:val="20"/>
          <w:color w:val="auto"/>
        </w:rPr>
      </w:pPr>
      <w:r>
        <w:rPr>
          <w:rFonts w:ascii="Arial" w:cs="Arial" w:eastAsia="Arial" w:hAnsi="Arial"/>
          <w:sz w:val="22"/>
          <w:szCs w:val="22"/>
          <w:b w:val="1"/>
          <w:bCs w:val="1"/>
          <w:color w:val="auto"/>
        </w:rPr>
        <w:t>THREE MONTHS ENDING</w:t>
      </w:r>
    </w:p>
    <w:p>
      <w:pPr>
        <w:spacing w:after="0" w:line="14" w:lineRule="exact"/>
        <w:rPr>
          <w:sz w:val="20"/>
          <w:szCs w:val="20"/>
          <w:color w:val="auto"/>
        </w:rPr>
      </w:pPr>
    </w:p>
    <w:p>
      <w:pPr>
        <w:jc w:val="center"/>
        <w:ind w:left="4540"/>
        <w:spacing w:after="0"/>
        <w:rPr>
          <w:sz w:val="20"/>
          <w:szCs w:val="20"/>
          <w:color w:val="auto"/>
        </w:rPr>
      </w:pPr>
      <w:r>
        <w:rPr>
          <w:rFonts w:ascii="Arial" w:cs="Arial" w:eastAsia="Arial" w:hAnsi="Arial"/>
          <w:sz w:val="22"/>
          <w:szCs w:val="22"/>
          <w:b w:val="1"/>
          <w:bCs w:val="1"/>
          <w:color w:val="auto"/>
        </w:rPr>
        <w:t>JUNE 30, 2018</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YEAR ENDING</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DECEMBER 31, 2018</w:t>
      </w:r>
    </w:p>
    <w:p>
      <w:pPr>
        <w:spacing w:after="0" w:line="38" w:lineRule="exact"/>
        <w:rPr>
          <w:sz w:val="20"/>
          <w:szCs w:val="20"/>
          <w:color w:val="auto"/>
        </w:rPr>
      </w:pPr>
    </w:p>
    <w:p>
      <w:pPr>
        <w:sectPr>
          <w:pgSz w:w="11900" w:h="16838" w:orient="portrait"/>
          <w:cols w:equalWidth="0" w:num="2">
            <w:col w:w="8060" w:space="720"/>
            <w:col w:w="2540"/>
          </w:cols>
          <w:pgMar w:left="260" w:top="118" w:right="319" w:bottom="0" w:gutter="0" w:footer="0" w:header="0"/>
          <w:type w:val="continuous"/>
        </w:sectPr>
      </w:pPr>
    </w:p>
    <w:p>
      <w:pPr>
        <w:spacing w:after="0"/>
        <w:rPr>
          <w:sz w:val="20"/>
          <w:szCs w:val="20"/>
          <w:color w:val="auto"/>
        </w:rPr>
      </w:pPr>
      <w:r>
        <w:rPr>
          <w:rFonts w:ascii="Arial" w:cs="Arial" w:eastAsia="Arial" w:hAnsi="Arial"/>
          <w:sz w:val="19"/>
          <w:szCs w:val="19"/>
          <w:color w:val="auto"/>
        </w:rPr>
        <w:t>EBITDA Range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Arial" w:cs="Arial" w:eastAsia="Arial" w:hAnsi="Arial"/>
          <w:sz w:val="22"/>
          <w:szCs w:val="22"/>
          <w:color w:val="auto"/>
        </w:rPr>
        <w:t>28.0</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Arial" w:cs="Arial" w:eastAsia="Arial" w:hAnsi="Arial"/>
          <w:sz w:val="22"/>
          <w:szCs w:val="22"/>
          <w:color w:val="auto"/>
        </w:rPr>
        <w:t>30.0</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760" w:val="left"/>
        </w:tabs>
        <w:rPr>
          <w:sz w:val="20"/>
          <w:szCs w:val="20"/>
          <w:color w:val="auto"/>
        </w:rPr>
      </w:pPr>
      <w:r>
        <w:rPr>
          <w:rFonts w:ascii="Arial" w:cs="Arial" w:eastAsia="Arial" w:hAnsi="Arial"/>
          <w:sz w:val="22"/>
          <w:szCs w:val="22"/>
          <w:color w:val="auto"/>
        </w:rPr>
        <w:t>93.0</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100.0</w:t>
      </w:r>
    </w:p>
    <w:p>
      <w:pPr>
        <w:spacing w:after="0" w:line="234" w:lineRule="exact"/>
        <w:rPr>
          <w:sz w:val="20"/>
          <w:szCs w:val="20"/>
          <w:color w:val="auto"/>
        </w:rPr>
      </w:pPr>
    </w:p>
    <w:p>
      <w:pPr>
        <w:sectPr>
          <w:pgSz w:w="11900" w:h="16838" w:orient="portrait"/>
          <w:cols w:equalWidth="0" w:num="6">
            <w:col w:w="3840" w:space="720"/>
            <w:col w:w="340" w:space="720"/>
            <w:col w:w="1260" w:space="720"/>
            <w:col w:w="900" w:space="680"/>
            <w:col w:w="880" w:space="600"/>
            <w:col w:w="660"/>
          </w:cols>
          <w:pgMar w:left="260" w:top="118" w:right="319" w:bottom="0" w:gutter="0" w:footer="0" w:header="0"/>
          <w:type w:val="continuous"/>
        </w:sectPr>
      </w:pPr>
    </w:p>
    <w:p>
      <w:pPr>
        <w:spacing w:after="0" w:line="83" w:lineRule="exact"/>
        <w:rPr>
          <w:sz w:val="20"/>
          <w:szCs w:val="20"/>
          <w:color w:val="auto"/>
        </w:rPr>
      </w:pPr>
    </w:p>
    <w:p>
      <w:pPr>
        <w:ind w:right="60" w:firstLine="2"/>
        <w:spacing w:after="0" w:line="328" w:lineRule="auto"/>
        <w:tabs>
          <w:tab w:leader="none" w:pos="3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170"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00" w:type="dxa"/>
            <w:vAlign w:val="bottom"/>
            <w:gridSpan w:val="5"/>
          </w:tcPr>
          <w:p>
            <w:pPr>
              <w:jc w:val="center"/>
              <w:ind w:right="500"/>
              <w:spacing w:after="0"/>
              <w:rPr>
                <w:sz w:val="20"/>
                <w:szCs w:val="20"/>
                <w:color w:val="auto"/>
              </w:rPr>
            </w:pPr>
            <w:r>
              <w:rPr>
                <w:rFonts w:ascii="Arial" w:cs="Arial" w:eastAsia="Arial" w:hAnsi="Arial"/>
                <w:sz w:val="22"/>
                <w:szCs w:val="22"/>
                <w:b w:val="1"/>
                <w:bCs w:val="1"/>
                <w:color w:val="auto"/>
              </w:rPr>
              <w:t>THREE MONTHS ENDING</w:t>
            </w:r>
          </w:p>
        </w:tc>
        <w:tc>
          <w:tcPr>
            <w:tcW w:w="340" w:type="dxa"/>
            <w:vAlign w:val="bottom"/>
          </w:tcPr>
          <w:p>
            <w:pPr>
              <w:spacing w:after="0"/>
              <w:rPr>
                <w:sz w:val="21"/>
                <w:szCs w:val="21"/>
                <w:color w:val="auto"/>
              </w:rPr>
            </w:pPr>
          </w:p>
        </w:tc>
        <w:tc>
          <w:tcPr>
            <w:tcW w:w="19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rPr>
              <w:t>YEAR ENDING</w:t>
            </w:r>
          </w:p>
        </w:tc>
        <w:tc>
          <w:tcPr>
            <w:tcW w:w="720" w:type="dxa"/>
            <w:vAlign w:val="bottom"/>
          </w:tcPr>
          <w:p>
            <w:pPr>
              <w:spacing w:after="0"/>
              <w:rPr>
                <w:sz w:val="21"/>
                <w:szCs w:val="21"/>
                <w:color w:val="auto"/>
              </w:rPr>
            </w:pPr>
          </w:p>
        </w:tc>
      </w:tr>
      <w:tr>
        <w:trPr>
          <w:trHeight w:val="270"/>
        </w:trPr>
        <w:tc>
          <w:tcPr>
            <w:tcW w:w="4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gridSpan w:val="3"/>
          </w:tcPr>
          <w:p>
            <w:pPr>
              <w:jc w:val="center"/>
              <w:ind w:left="412"/>
              <w:spacing w:after="0"/>
              <w:rPr>
                <w:sz w:val="20"/>
                <w:szCs w:val="20"/>
                <w:color w:val="auto"/>
              </w:rPr>
            </w:pPr>
            <w:r>
              <w:rPr>
                <w:rFonts w:ascii="Arial" w:cs="Arial" w:eastAsia="Arial" w:hAnsi="Arial"/>
                <w:sz w:val="22"/>
                <w:szCs w:val="22"/>
                <w:b w:val="1"/>
                <w:bCs w:val="1"/>
                <w:color w:val="auto"/>
                <w:w w:val="91"/>
              </w:rPr>
              <w:t>JUNE 30, 2018</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80" w:type="dxa"/>
            <w:vAlign w:val="bottom"/>
            <w:gridSpan w:val="4"/>
          </w:tcPr>
          <w:p>
            <w:pPr>
              <w:jc w:val="center"/>
              <w:ind w:right="232"/>
              <w:spacing w:after="0"/>
              <w:rPr>
                <w:sz w:val="20"/>
                <w:szCs w:val="20"/>
                <w:color w:val="auto"/>
              </w:rPr>
            </w:pPr>
            <w:r>
              <w:rPr>
                <w:rFonts w:ascii="Arial" w:cs="Arial" w:eastAsia="Arial" w:hAnsi="Arial"/>
                <w:sz w:val="22"/>
                <w:szCs w:val="22"/>
                <w:b w:val="1"/>
                <w:bCs w:val="1"/>
                <w:color w:val="auto"/>
                <w:w w:val="94"/>
              </w:rPr>
              <w:t>DECEMBER 31, 2018</w:t>
            </w:r>
          </w:p>
        </w:tc>
      </w:tr>
      <w:tr>
        <w:trPr>
          <w:trHeight w:val="281"/>
        </w:trPr>
        <w:tc>
          <w:tcPr>
            <w:tcW w:w="4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3"/>
          </w:tcPr>
          <w:p>
            <w:pPr>
              <w:jc w:val="center"/>
              <w:ind w:left="432"/>
              <w:spacing w:after="0"/>
              <w:rPr>
                <w:sz w:val="20"/>
                <w:szCs w:val="20"/>
                <w:color w:val="auto"/>
              </w:rPr>
            </w:pPr>
            <w:r>
              <w:rPr>
                <w:rFonts w:ascii="Arial" w:cs="Arial" w:eastAsia="Arial" w:hAnsi="Arial"/>
                <w:sz w:val="22"/>
                <w:szCs w:val="22"/>
                <w:b w:val="1"/>
                <w:bCs w:val="1"/>
                <w:color w:val="auto"/>
                <w:w w:val="88"/>
              </w:rPr>
              <w:t>(estimated)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gridSpan w:val="3"/>
          </w:tcPr>
          <w:p>
            <w:pPr>
              <w:jc w:val="center"/>
              <w:ind w:left="272"/>
              <w:spacing w:after="0"/>
              <w:rPr>
                <w:sz w:val="20"/>
                <w:szCs w:val="20"/>
                <w:color w:val="auto"/>
              </w:rPr>
            </w:pPr>
            <w:r>
              <w:rPr>
                <w:rFonts w:ascii="Arial" w:cs="Arial" w:eastAsia="Arial" w:hAnsi="Arial"/>
                <w:sz w:val="22"/>
                <w:szCs w:val="22"/>
                <w:b w:val="1"/>
                <w:bCs w:val="1"/>
                <w:color w:val="auto"/>
                <w:w w:val="86"/>
              </w:rPr>
              <w:t>(estimated)</w:t>
            </w:r>
          </w:p>
        </w:tc>
        <w:tc>
          <w:tcPr>
            <w:tcW w:w="720" w:type="dxa"/>
            <w:vAlign w:val="bottom"/>
          </w:tcPr>
          <w:p>
            <w:pPr>
              <w:spacing w:after="0"/>
              <w:rPr>
                <w:sz w:val="24"/>
                <w:szCs w:val="24"/>
                <w:color w:val="auto"/>
              </w:rPr>
            </w:pPr>
          </w:p>
        </w:tc>
      </w:tr>
      <w:tr>
        <w:trPr>
          <w:trHeight w:val="536"/>
        </w:trPr>
        <w:tc>
          <w:tcPr>
            <w:tcW w:w="4000" w:type="dxa"/>
            <w:vAlign w:val="bottom"/>
          </w:tcPr>
          <w:p>
            <w:pPr>
              <w:spacing w:after="0"/>
              <w:rPr>
                <w:sz w:val="20"/>
                <w:szCs w:val="20"/>
                <w:color w:val="auto"/>
              </w:rPr>
            </w:pPr>
            <w:r>
              <w:rPr>
                <w:rFonts w:ascii="Arial" w:cs="Arial" w:eastAsia="Arial" w:hAnsi="Arial"/>
                <w:sz w:val="22"/>
                <w:szCs w:val="22"/>
                <w:color w:val="auto"/>
              </w:rPr>
              <w:t>Net loss</w:t>
            </w:r>
          </w:p>
        </w:tc>
        <w:tc>
          <w:tcPr>
            <w:tcW w:w="40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400" w:type="dxa"/>
            <w:vAlign w:val="bottom"/>
          </w:tcPr>
          <w:p>
            <w:pPr>
              <w:jc w:val="right"/>
              <w:ind w:right="32"/>
              <w:spacing w:after="0"/>
              <w:rPr>
                <w:sz w:val="20"/>
                <w:szCs w:val="20"/>
                <w:color w:val="auto"/>
              </w:rPr>
            </w:pPr>
            <w:r>
              <w:rPr>
                <w:rFonts w:ascii="Arial" w:cs="Arial" w:eastAsia="Arial" w:hAnsi="Arial"/>
                <w:sz w:val="22"/>
                <w:szCs w:val="22"/>
                <w:color w:val="auto"/>
              </w:rPr>
              <w:t>(14.0)</w:t>
            </w:r>
          </w:p>
        </w:tc>
        <w:tc>
          <w:tcPr>
            <w:tcW w:w="180" w:type="dxa"/>
            <w:vAlign w:val="bottom"/>
          </w:tcPr>
          <w:p>
            <w:pPr>
              <w:spacing w:after="0"/>
              <w:rPr>
                <w:sz w:val="24"/>
                <w:szCs w:val="24"/>
                <w:color w:val="auto"/>
              </w:rPr>
            </w:pPr>
          </w:p>
        </w:tc>
        <w:tc>
          <w:tcPr>
            <w:tcW w:w="880" w:type="dxa"/>
            <w:vAlign w:val="bottom"/>
          </w:tcPr>
          <w:p>
            <w:pPr>
              <w:jc w:val="right"/>
              <w:ind w:right="472"/>
              <w:spacing w:after="0"/>
              <w:rPr>
                <w:sz w:val="20"/>
                <w:szCs w:val="20"/>
                <w:color w:val="auto"/>
              </w:rPr>
            </w:pPr>
            <w:r>
              <w:rPr>
                <w:rFonts w:ascii="Arial" w:cs="Arial" w:eastAsia="Arial" w:hAnsi="Arial"/>
                <w:sz w:val="22"/>
                <w:szCs w:val="22"/>
                <w:color w:val="auto"/>
              </w:rPr>
              <w:t>$</w:t>
            </w:r>
          </w:p>
        </w:tc>
        <w:tc>
          <w:tcPr>
            <w:tcW w:w="940" w:type="dxa"/>
            <w:vAlign w:val="bottom"/>
          </w:tcPr>
          <w:p>
            <w:pPr>
              <w:jc w:val="right"/>
              <w:ind w:right="32"/>
              <w:spacing w:after="0"/>
              <w:rPr>
                <w:sz w:val="20"/>
                <w:szCs w:val="20"/>
                <w:color w:val="auto"/>
              </w:rPr>
            </w:pPr>
            <w:r>
              <w:rPr>
                <w:rFonts w:ascii="Arial" w:cs="Arial" w:eastAsia="Arial" w:hAnsi="Arial"/>
                <w:sz w:val="22"/>
                <w:szCs w:val="22"/>
                <w:color w:val="auto"/>
              </w:rPr>
              <w:t>(11.5)</w:t>
            </w:r>
          </w:p>
        </w:tc>
        <w:tc>
          <w:tcPr>
            <w:tcW w:w="100" w:type="dxa"/>
            <w:vAlign w:val="bottom"/>
          </w:tcPr>
          <w:p>
            <w:pPr>
              <w:spacing w:after="0"/>
              <w:rPr>
                <w:sz w:val="24"/>
                <w:szCs w:val="24"/>
                <w:color w:val="auto"/>
              </w:rPr>
            </w:pPr>
          </w:p>
        </w:tc>
        <w:tc>
          <w:tcPr>
            <w:tcW w:w="34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(64.0)</w:t>
            </w:r>
          </w:p>
        </w:tc>
        <w:tc>
          <w:tcPr>
            <w:tcW w:w="120" w:type="dxa"/>
            <w:vAlign w:val="bottom"/>
          </w:tcPr>
          <w:p>
            <w:pPr>
              <w:spacing w:after="0"/>
              <w:rPr>
                <w:sz w:val="24"/>
                <w:szCs w:val="24"/>
                <w:color w:val="auto"/>
              </w:rPr>
            </w:pPr>
          </w:p>
        </w:tc>
        <w:tc>
          <w:tcPr>
            <w:tcW w:w="76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720" w:type="dxa"/>
            <w:vAlign w:val="bottom"/>
          </w:tcPr>
          <w:p>
            <w:pPr>
              <w:jc w:val="right"/>
              <w:spacing w:after="0"/>
              <w:rPr>
                <w:sz w:val="20"/>
                <w:szCs w:val="20"/>
                <w:color w:val="auto"/>
              </w:rPr>
            </w:pPr>
            <w:r>
              <w:rPr>
                <w:rFonts w:ascii="Arial" w:cs="Arial" w:eastAsia="Arial" w:hAnsi="Arial"/>
                <w:sz w:val="22"/>
                <w:szCs w:val="22"/>
                <w:color w:val="auto"/>
              </w:rPr>
              <w:t>(58.0)</w:t>
            </w:r>
          </w:p>
        </w:tc>
      </w:tr>
      <w:tr>
        <w:trPr>
          <w:trHeight w:val="270"/>
        </w:trPr>
        <w:tc>
          <w:tcPr>
            <w:tcW w:w="4000" w:type="dxa"/>
            <w:vAlign w:val="bottom"/>
          </w:tcPr>
          <w:p>
            <w:pPr>
              <w:spacing w:after="0"/>
              <w:rPr>
                <w:sz w:val="20"/>
                <w:szCs w:val="20"/>
                <w:color w:val="auto"/>
              </w:rPr>
            </w:pPr>
            <w:r>
              <w:rPr>
                <w:rFonts w:ascii="Arial" w:cs="Arial" w:eastAsia="Arial" w:hAnsi="Arial"/>
                <w:sz w:val="22"/>
                <w:szCs w:val="22"/>
                <w:color w:val="auto"/>
              </w:rPr>
              <w:t>Income tax provision (benefit)</w:t>
            </w:r>
          </w:p>
        </w:tc>
        <w:tc>
          <w:tcPr>
            <w:tcW w:w="400" w:type="dxa"/>
            <w:vAlign w:val="bottom"/>
          </w:tcPr>
          <w:p>
            <w:pPr>
              <w:spacing w:after="0"/>
              <w:rPr>
                <w:sz w:val="23"/>
                <w:szCs w:val="23"/>
                <w:color w:val="auto"/>
              </w:rPr>
            </w:pPr>
          </w:p>
        </w:tc>
        <w:tc>
          <w:tcPr>
            <w:tcW w:w="1400" w:type="dxa"/>
            <w:vAlign w:val="bottom"/>
          </w:tcPr>
          <w:p>
            <w:pPr>
              <w:jc w:val="right"/>
              <w:ind w:right="92"/>
              <w:spacing w:after="0"/>
              <w:rPr>
                <w:sz w:val="20"/>
                <w:szCs w:val="20"/>
                <w:color w:val="auto"/>
              </w:rPr>
            </w:pPr>
            <w:r>
              <w:rPr>
                <w:rFonts w:ascii="Arial" w:cs="Arial" w:eastAsia="Arial" w:hAnsi="Arial"/>
                <w:sz w:val="22"/>
                <w:szCs w:val="22"/>
                <w:color w:val="auto"/>
              </w:rPr>
              <w:t>1.0</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(0.5)</w:t>
            </w:r>
          </w:p>
        </w:tc>
      </w:tr>
      <w:tr>
        <w:trPr>
          <w:trHeight w:val="270"/>
        </w:trPr>
        <w:tc>
          <w:tcPr>
            <w:tcW w:w="400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400" w:type="dxa"/>
            <w:vAlign w:val="bottom"/>
          </w:tcPr>
          <w:p>
            <w:pPr>
              <w:spacing w:after="0"/>
              <w:rPr>
                <w:sz w:val="23"/>
                <w:szCs w:val="23"/>
                <w:color w:val="auto"/>
              </w:rPr>
            </w:pPr>
          </w:p>
        </w:tc>
        <w:tc>
          <w:tcPr>
            <w:tcW w:w="1400" w:type="dxa"/>
            <w:vAlign w:val="bottom"/>
          </w:tcPr>
          <w:p>
            <w:pPr>
              <w:jc w:val="right"/>
              <w:ind w:right="92"/>
              <w:spacing w:after="0"/>
              <w:rPr>
                <w:sz w:val="20"/>
                <w:szCs w:val="20"/>
                <w:color w:val="auto"/>
              </w:rPr>
            </w:pPr>
            <w:r>
              <w:rPr>
                <w:rFonts w:ascii="Arial" w:cs="Arial" w:eastAsia="Arial" w:hAnsi="Arial"/>
                <w:sz w:val="22"/>
                <w:szCs w:val="22"/>
                <w:color w:val="auto"/>
              </w:rPr>
              <w:t>34.5</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jc w:val="right"/>
              <w:ind w:right="112"/>
              <w:spacing w:after="0"/>
              <w:rPr>
                <w:sz w:val="20"/>
                <w:szCs w:val="20"/>
                <w:color w:val="auto"/>
              </w:rPr>
            </w:pPr>
            <w:r>
              <w:rPr>
                <w:rFonts w:ascii="Arial" w:cs="Arial" w:eastAsia="Arial" w:hAnsi="Arial"/>
                <w:sz w:val="22"/>
                <w:szCs w:val="22"/>
                <w:color w:val="auto"/>
              </w:rPr>
              <w:t>34.5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22"/>
                <w:szCs w:val="22"/>
                <w:color w:val="auto"/>
              </w:rPr>
              <w:t>133.5</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22"/>
                <w:szCs w:val="22"/>
                <w:color w:val="auto"/>
                <w:w w:val="94"/>
              </w:rPr>
              <w:t>133.5</w:t>
            </w:r>
          </w:p>
        </w:tc>
      </w:tr>
      <w:tr>
        <w:trPr>
          <w:trHeight w:val="276"/>
        </w:trPr>
        <w:tc>
          <w:tcPr>
            <w:tcW w:w="4000" w:type="dxa"/>
            <w:vAlign w:val="bottom"/>
          </w:tcPr>
          <w:p>
            <w:pPr>
              <w:spacing w:after="0"/>
              <w:rPr>
                <w:sz w:val="20"/>
                <w:szCs w:val="20"/>
                <w:color w:val="auto"/>
              </w:rPr>
            </w:pPr>
            <w:r>
              <w:rPr>
                <w:rFonts w:ascii="Arial" w:cs="Arial" w:eastAsia="Arial" w:hAnsi="Arial"/>
                <w:sz w:val="22"/>
                <w:szCs w:val="22"/>
                <w:color w:val="auto"/>
              </w:rPr>
              <w:t>Interest expense</w:t>
            </w: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6.5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25.0</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25.0</w:t>
            </w:r>
          </w:p>
        </w:tc>
      </w:tr>
      <w:tr>
        <w:trPr>
          <w:trHeight w:val="265"/>
        </w:trPr>
        <w:tc>
          <w:tcPr>
            <w:tcW w:w="4000" w:type="dxa"/>
            <w:vAlign w:val="bottom"/>
          </w:tcPr>
          <w:p>
            <w:pPr>
              <w:ind w:left="100"/>
              <w:spacing w:after="0"/>
              <w:rPr>
                <w:sz w:val="20"/>
                <w:szCs w:val="20"/>
                <w:color w:val="auto"/>
              </w:rPr>
            </w:pPr>
            <w:r>
              <w:rPr>
                <w:rFonts w:ascii="Arial" w:cs="Arial" w:eastAsia="Arial" w:hAnsi="Arial"/>
                <w:sz w:val="22"/>
                <w:szCs w:val="22"/>
                <w:color w:val="auto"/>
              </w:rPr>
              <w:t>EBITDA</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28.0</w:t>
            </w:r>
          </w:p>
        </w:tc>
        <w:tc>
          <w:tcPr>
            <w:tcW w:w="180" w:type="dxa"/>
            <w:vAlign w:val="bottom"/>
          </w:tcPr>
          <w:p>
            <w:pPr>
              <w:spacing w:after="0"/>
              <w:rPr>
                <w:sz w:val="23"/>
                <w:szCs w:val="23"/>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30.0</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93.0</w:t>
            </w:r>
          </w:p>
        </w:tc>
        <w:tc>
          <w:tcPr>
            <w:tcW w:w="120" w:type="dxa"/>
            <w:vAlign w:val="bottom"/>
          </w:tcPr>
          <w:p>
            <w:pPr>
              <w:spacing w:after="0"/>
              <w:rPr>
                <w:sz w:val="23"/>
                <w:szCs w:val="23"/>
                <w:color w:val="auto"/>
              </w:rPr>
            </w:pPr>
          </w:p>
        </w:tc>
        <w:tc>
          <w:tcPr>
            <w:tcW w:w="7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4"/>
              </w:rPr>
              <w:t>100.0</w:t>
            </w:r>
          </w:p>
        </w:tc>
      </w:tr>
      <w:tr>
        <w:trPr>
          <w:trHeight w:val="21"/>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CIVEO CORPORATION</w:t>
      </w:r>
    </w:p>
    <w:p>
      <w:pPr>
        <w:spacing w:after="0" w:line="14" w:lineRule="exact"/>
        <w:rPr>
          <w:sz w:val="20"/>
          <w:szCs w:val="20"/>
          <w:color w:val="auto"/>
        </w:rPr>
      </w:pPr>
    </w:p>
    <w:p>
      <w:pPr>
        <w:jc w:val="center"/>
        <w:ind w:right="20"/>
        <w:spacing w:after="0" w:line="234" w:lineRule="auto"/>
        <w:rPr>
          <w:sz w:val="20"/>
          <w:szCs w:val="20"/>
          <w:color w:val="auto"/>
        </w:rPr>
      </w:pPr>
      <w:r>
        <w:rPr>
          <w:rFonts w:ascii="Arial" w:cs="Arial" w:eastAsia="Arial" w:hAnsi="Arial"/>
          <w:sz w:val="22"/>
          <w:szCs w:val="22"/>
          <w:b w:val="1"/>
          <w:bCs w:val="1"/>
          <w:color w:val="auto"/>
        </w:rPr>
        <w:t>SUPPLEMENTAL QUARTERLY SEGMENT AND OPERATING DATA (U.S. dollars in thousands, except for room counts and average daily rates) (unaudited)</w:t>
      </w:r>
    </w:p>
    <w:p>
      <w:pPr>
        <w:spacing w:after="0" w:line="262" w:lineRule="exact"/>
        <w:rPr>
          <w:sz w:val="20"/>
          <w:szCs w:val="20"/>
          <w:color w:val="auto"/>
        </w:rPr>
      </w:pPr>
    </w:p>
    <w:p>
      <w:pPr>
        <w:ind w:left="8040"/>
        <w:spacing w:after="0"/>
        <w:rPr>
          <w:sz w:val="20"/>
          <w:szCs w:val="20"/>
          <w:color w:val="auto"/>
        </w:rPr>
      </w:pPr>
      <w:r>
        <w:rPr>
          <w:rFonts w:ascii="Arial" w:cs="Arial" w:eastAsia="Arial" w:hAnsi="Arial"/>
          <w:sz w:val="22"/>
          <w:szCs w:val="22"/>
          <w:b w:val="1"/>
          <w:bCs w:val="1"/>
          <w:color w:val="auto"/>
        </w:rPr>
        <w:t>THREE MONTHS ENDED</w:t>
      </w:r>
    </w:p>
    <w:p>
      <w:pPr>
        <w:sectPr>
          <w:pgSz w:w="11900" w:h="16838" w:orient="portrait"/>
          <w:cols w:equalWidth="0" w:num="1">
            <w:col w:w="11320"/>
          </w:cols>
          <w:pgMar w:left="260" w:top="118" w:right="31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71"/>
        </w:trPr>
        <w:tc>
          <w:tcPr>
            <w:tcW w:w="7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0" w:type="dxa"/>
            <w:vAlign w:val="bottom"/>
            <w:gridSpan w:val="3"/>
          </w:tcPr>
          <w:p>
            <w:pPr>
              <w:jc w:val="right"/>
              <w:spacing w:after="0"/>
              <w:rPr>
                <w:sz w:val="20"/>
                <w:szCs w:val="20"/>
                <w:color w:val="auto"/>
              </w:rPr>
            </w:pPr>
            <w:r>
              <w:rPr>
                <w:rFonts w:ascii="Arial" w:cs="Arial" w:eastAsia="Arial" w:hAnsi="Arial"/>
                <w:sz w:val="22"/>
                <w:szCs w:val="22"/>
                <w:b w:val="1"/>
                <w:bCs w:val="1"/>
                <w:color w:val="auto"/>
              </w:rPr>
              <w:t>MARCH 31,</w:t>
            </w:r>
          </w:p>
        </w:tc>
        <w:tc>
          <w:tcPr>
            <w:tcW w:w="1360" w:type="dxa"/>
            <w:vAlign w:val="bottom"/>
          </w:tcPr>
          <w:p>
            <w:pPr>
              <w:spacing w:after="0"/>
              <w:rPr>
                <w:sz w:val="23"/>
                <w:szCs w:val="23"/>
                <w:color w:val="auto"/>
              </w:rPr>
            </w:pPr>
          </w:p>
        </w:tc>
      </w:tr>
      <w:tr>
        <w:trPr>
          <w:trHeight w:val="281"/>
        </w:trPr>
        <w:tc>
          <w:tcPr>
            <w:tcW w:w="7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22"/>
                <w:szCs w:val="22"/>
                <w:b w:val="1"/>
                <w:bCs w:val="1"/>
                <w:color w:val="auto"/>
              </w:rPr>
              <w:t>2018</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92"/>
              <w:spacing w:after="0"/>
              <w:rPr>
                <w:sz w:val="20"/>
                <w:szCs w:val="20"/>
                <w:color w:val="auto"/>
              </w:rPr>
            </w:pPr>
            <w:r>
              <w:rPr>
                <w:rFonts w:ascii="Arial" w:cs="Arial" w:eastAsia="Arial" w:hAnsi="Arial"/>
                <w:sz w:val="22"/>
                <w:szCs w:val="22"/>
                <w:b w:val="1"/>
                <w:bCs w:val="1"/>
                <w:color w:val="auto"/>
                <w:w w:val="89"/>
              </w:rPr>
              <w:t>2017</w:t>
            </w:r>
          </w:p>
        </w:tc>
      </w:tr>
      <w:tr>
        <w:trPr>
          <w:trHeight w:val="529"/>
        </w:trPr>
        <w:tc>
          <w:tcPr>
            <w:tcW w:w="7340" w:type="dxa"/>
            <w:vAlign w:val="bottom"/>
          </w:tcPr>
          <w:p>
            <w:pPr>
              <w:spacing w:after="0"/>
              <w:rPr>
                <w:sz w:val="20"/>
                <w:szCs w:val="20"/>
                <w:color w:val="auto"/>
              </w:rPr>
            </w:pPr>
            <w:r>
              <w:rPr>
                <w:rFonts w:ascii="Arial" w:cs="Arial" w:eastAsia="Arial" w:hAnsi="Arial"/>
                <w:sz w:val="22"/>
                <w:szCs w:val="22"/>
                <w:b w:val="1"/>
                <w:bCs w:val="1"/>
                <w:color w:val="auto"/>
              </w:rPr>
              <w:t>Supplemental Operating Data - Canadian Segment</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7340" w:type="dxa"/>
            <w:vAlign w:val="bottom"/>
          </w:tcPr>
          <w:p>
            <w:pPr>
              <w:ind w:left="100"/>
              <w:spacing w:after="0"/>
              <w:rPr>
                <w:sz w:val="20"/>
                <w:szCs w:val="20"/>
                <w:color w:val="auto"/>
              </w:rPr>
            </w:pPr>
            <w:r>
              <w:rPr>
                <w:rFonts w:ascii="Arial" w:cs="Arial" w:eastAsia="Arial" w:hAnsi="Arial"/>
                <w:sz w:val="22"/>
                <w:szCs w:val="22"/>
                <w:color w:val="auto"/>
              </w:rPr>
              <w:t>Revenues</w:t>
            </w:r>
          </w:p>
        </w:tc>
        <w:tc>
          <w:tcPr>
            <w:tcW w:w="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340" w:type="dxa"/>
            <w:vAlign w:val="bottom"/>
          </w:tcPr>
          <w:p>
            <w:pPr>
              <w:ind w:left="260"/>
              <w:spacing w:after="0"/>
              <w:rPr>
                <w:sz w:val="20"/>
                <w:szCs w:val="20"/>
                <w:color w:val="auto"/>
              </w:rPr>
            </w:pPr>
            <w:r>
              <w:rPr>
                <w:rFonts w:ascii="Arial" w:cs="Arial" w:eastAsia="Arial" w:hAnsi="Arial"/>
                <w:sz w:val="22"/>
                <w:szCs w:val="22"/>
                <w:color w:val="auto"/>
              </w:rPr>
              <w:t>Accommodation revenue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50,647</w:t>
            </w:r>
          </w:p>
        </w:tc>
        <w:tc>
          <w:tcPr>
            <w:tcW w:w="120" w:type="dxa"/>
            <w:vAlign w:val="bottom"/>
          </w:tcPr>
          <w:p>
            <w:pPr>
              <w:spacing w:after="0"/>
              <w:rPr>
                <w:sz w:val="23"/>
                <w:szCs w:val="23"/>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56,230</w:t>
            </w:r>
          </w:p>
        </w:tc>
      </w:tr>
      <w:tr>
        <w:trPr>
          <w:trHeight w:val="270"/>
        </w:trPr>
        <w:tc>
          <w:tcPr>
            <w:tcW w:w="7340" w:type="dxa"/>
            <w:vAlign w:val="bottom"/>
          </w:tcPr>
          <w:p>
            <w:pPr>
              <w:ind w:left="280"/>
              <w:spacing w:after="0"/>
              <w:rPr>
                <w:sz w:val="20"/>
                <w:szCs w:val="20"/>
                <w:color w:val="auto"/>
              </w:rPr>
            </w:pPr>
            <w:r>
              <w:rPr>
                <w:rFonts w:ascii="Arial" w:cs="Arial" w:eastAsia="Arial" w:hAnsi="Arial"/>
                <w:sz w:val="22"/>
                <w:szCs w:val="22"/>
                <w:color w:val="auto"/>
              </w:rPr>
              <w:t>Mobile facility rental revenue (2)</w:t>
            </w:r>
          </w:p>
        </w:tc>
        <w:tc>
          <w:tcPr>
            <w:tcW w:w="420" w:type="dxa"/>
            <w:vAlign w:val="bottom"/>
          </w:tcPr>
          <w:p>
            <w:pPr>
              <w:spacing w:after="0"/>
              <w:rPr>
                <w:sz w:val="23"/>
                <w:szCs w:val="23"/>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7,794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559</w:t>
            </w:r>
          </w:p>
        </w:tc>
      </w:tr>
      <w:tr>
        <w:trPr>
          <w:trHeight w:val="270"/>
        </w:trPr>
        <w:tc>
          <w:tcPr>
            <w:tcW w:w="7340" w:type="dxa"/>
            <w:vAlign w:val="bottom"/>
          </w:tcPr>
          <w:p>
            <w:pPr>
              <w:ind w:left="280"/>
              <w:spacing w:after="0"/>
              <w:rPr>
                <w:sz w:val="20"/>
                <w:szCs w:val="20"/>
                <w:color w:val="auto"/>
              </w:rPr>
            </w:pPr>
            <w:r>
              <w:rPr>
                <w:rFonts w:ascii="Arial" w:cs="Arial" w:eastAsia="Arial" w:hAnsi="Arial"/>
                <w:sz w:val="22"/>
                <w:szCs w:val="22"/>
                <w:color w:val="auto"/>
              </w:rPr>
              <w:t>Catering and other services revenue (3)</w:t>
            </w:r>
          </w:p>
        </w:tc>
        <w:tc>
          <w:tcPr>
            <w:tcW w:w="420" w:type="dxa"/>
            <w:vAlign w:val="bottom"/>
          </w:tcPr>
          <w:p>
            <w:pPr>
              <w:spacing w:after="0"/>
              <w:rPr>
                <w:sz w:val="23"/>
                <w:szCs w:val="23"/>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3,739</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3,443</w:t>
            </w:r>
          </w:p>
        </w:tc>
      </w:tr>
      <w:tr>
        <w:trPr>
          <w:trHeight w:val="275"/>
        </w:trPr>
        <w:tc>
          <w:tcPr>
            <w:tcW w:w="7340" w:type="dxa"/>
            <w:vAlign w:val="bottom"/>
          </w:tcPr>
          <w:p>
            <w:pPr>
              <w:ind w:left="280"/>
              <w:spacing w:after="0"/>
              <w:rPr>
                <w:sz w:val="20"/>
                <w:szCs w:val="20"/>
                <w:color w:val="auto"/>
              </w:rPr>
            </w:pPr>
            <w:r>
              <w:rPr>
                <w:rFonts w:ascii="Arial" w:cs="Arial" w:eastAsia="Arial" w:hAnsi="Arial"/>
                <w:sz w:val="22"/>
                <w:szCs w:val="22"/>
                <w:color w:val="auto"/>
              </w:rPr>
              <w:t>Manufacturing revenue (4)</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color w:val="auto"/>
              </w:rPr>
              <w:t>1,210</w:t>
            </w: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22"/>
                <w:szCs w:val="22"/>
                <w:color w:val="auto"/>
              </w:rPr>
              <w:t>274</w:t>
            </w:r>
          </w:p>
        </w:tc>
      </w:tr>
      <w:tr>
        <w:trPr>
          <w:trHeight w:val="272"/>
        </w:trPr>
        <w:tc>
          <w:tcPr>
            <w:tcW w:w="7340" w:type="dxa"/>
            <w:vAlign w:val="bottom"/>
          </w:tcPr>
          <w:p>
            <w:pPr>
              <w:ind w:left="440"/>
              <w:spacing w:after="0"/>
              <w:rPr>
                <w:sz w:val="20"/>
                <w:szCs w:val="20"/>
                <w:color w:val="auto"/>
              </w:rPr>
            </w:pPr>
            <w:r>
              <w:rPr>
                <w:rFonts w:ascii="Arial" w:cs="Arial" w:eastAsia="Arial" w:hAnsi="Arial"/>
                <w:sz w:val="22"/>
                <w:szCs w:val="22"/>
                <w:color w:val="auto"/>
              </w:rPr>
              <w:t>Total Canadian revenues</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63,390</w:t>
            </w:r>
          </w:p>
        </w:tc>
        <w:tc>
          <w:tcPr>
            <w:tcW w:w="120" w:type="dxa"/>
            <w:vAlign w:val="bottom"/>
          </w:tcPr>
          <w:p>
            <w:pPr>
              <w:spacing w:after="0"/>
              <w:rPr>
                <w:sz w:val="23"/>
                <w:szCs w:val="23"/>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60,506</w:t>
            </w:r>
          </w:p>
        </w:tc>
      </w:tr>
      <w:tr>
        <w:trPr>
          <w:trHeight w:val="532"/>
        </w:trPr>
        <w:tc>
          <w:tcPr>
            <w:tcW w:w="7340" w:type="dxa"/>
            <w:vAlign w:val="bottom"/>
          </w:tcPr>
          <w:p>
            <w:pPr>
              <w:ind w:left="100"/>
              <w:spacing w:after="0"/>
              <w:rPr>
                <w:sz w:val="20"/>
                <w:szCs w:val="20"/>
                <w:color w:val="auto"/>
              </w:rPr>
            </w:pPr>
            <w:r>
              <w:rPr>
                <w:rFonts w:ascii="Arial" w:cs="Arial" w:eastAsia="Arial" w:hAnsi="Arial"/>
                <w:sz w:val="22"/>
                <w:szCs w:val="22"/>
                <w:color w:val="auto"/>
              </w:rPr>
              <w:t>Average available lodge rooms (5)</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14,720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14,720</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Rentable rooms (6)</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8,484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8,859</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daily rates (7)</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88</w:t>
            </w:r>
          </w:p>
        </w:tc>
        <w:tc>
          <w:tcPr>
            <w:tcW w:w="12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97</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Billed rooms (8)</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572,888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575,571</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Occupancy in lodges (9)</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75%</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72%</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Canadian dollar to U.S. dollar</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0.791</w:t>
            </w:r>
          </w:p>
        </w:tc>
        <w:tc>
          <w:tcPr>
            <w:tcW w:w="12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0.756</w:t>
            </w:r>
          </w:p>
        </w:tc>
      </w:tr>
      <w:tr>
        <w:trPr>
          <w:trHeight w:val="806"/>
        </w:trPr>
        <w:tc>
          <w:tcPr>
            <w:tcW w:w="7340" w:type="dxa"/>
            <w:vAlign w:val="bottom"/>
          </w:tcPr>
          <w:p>
            <w:pPr>
              <w:spacing w:after="0"/>
              <w:rPr>
                <w:sz w:val="20"/>
                <w:szCs w:val="20"/>
                <w:color w:val="auto"/>
              </w:rPr>
            </w:pPr>
            <w:r>
              <w:rPr>
                <w:rFonts w:ascii="Arial" w:cs="Arial" w:eastAsia="Arial" w:hAnsi="Arial"/>
                <w:sz w:val="22"/>
                <w:szCs w:val="22"/>
                <w:b w:val="1"/>
                <w:bCs w:val="1"/>
                <w:color w:val="auto"/>
              </w:rPr>
              <w:t>Supplemental Operating Data - Australian Segment</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5"/>
        </w:trPr>
        <w:tc>
          <w:tcPr>
            <w:tcW w:w="7340" w:type="dxa"/>
            <w:vAlign w:val="bottom"/>
          </w:tcPr>
          <w:p>
            <w:pPr>
              <w:ind w:left="100"/>
              <w:spacing w:after="0"/>
              <w:rPr>
                <w:sz w:val="20"/>
                <w:szCs w:val="20"/>
                <w:color w:val="auto"/>
              </w:rPr>
            </w:pPr>
            <w:r>
              <w:rPr>
                <w:rFonts w:ascii="Arial" w:cs="Arial" w:eastAsia="Arial" w:hAnsi="Arial"/>
                <w:sz w:val="22"/>
                <w:szCs w:val="22"/>
                <w:color w:val="auto"/>
              </w:rPr>
              <w:t>Revenues (1)</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27,875</w:t>
            </w:r>
          </w:p>
        </w:tc>
        <w:tc>
          <w:tcPr>
            <w:tcW w:w="120" w:type="dxa"/>
            <w:vAlign w:val="bottom"/>
          </w:tcPr>
          <w:p>
            <w:pPr>
              <w:spacing w:after="0"/>
              <w:rPr>
                <w:sz w:val="23"/>
                <w:szCs w:val="23"/>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27,016</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available village rooms (5)</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9,346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9,386</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Rentable rooms (6)</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8,721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8,776</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Average daily rates (7)</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81</w:t>
            </w:r>
          </w:p>
        </w:tc>
        <w:tc>
          <w:tcPr>
            <w:tcW w:w="12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81</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Billed rooms (8)</w:t>
            </w:r>
          </w:p>
        </w:tc>
        <w:tc>
          <w:tcPr>
            <w:tcW w:w="42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341,579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331,208</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Occupancy in villages (9)</w:t>
            </w:r>
          </w:p>
        </w:tc>
        <w:tc>
          <w:tcPr>
            <w:tcW w:w="42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22"/>
                <w:szCs w:val="22"/>
                <w:color w:val="auto"/>
              </w:rPr>
              <w:t>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112"/>
              <w:spacing w:after="0"/>
              <w:rPr>
                <w:sz w:val="20"/>
                <w:szCs w:val="20"/>
                <w:color w:val="auto"/>
              </w:rPr>
            </w:pPr>
            <w:r>
              <w:rPr>
                <w:rFonts w:ascii="Arial" w:cs="Arial" w:eastAsia="Arial" w:hAnsi="Arial"/>
                <w:sz w:val="22"/>
                <w:szCs w:val="22"/>
                <w:color w:val="auto"/>
              </w:rPr>
              <w:t>42%</w:t>
            </w:r>
          </w:p>
        </w:tc>
      </w:tr>
      <w:tr>
        <w:trPr>
          <w:trHeight w:val="540"/>
        </w:trPr>
        <w:tc>
          <w:tcPr>
            <w:tcW w:w="7340" w:type="dxa"/>
            <w:vAlign w:val="bottom"/>
          </w:tcPr>
          <w:p>
            <w:pPr>
              <w:ind w:left="100"/>
              <w:spacing w:after="0"/>
              <w:rPr>
                <w:sz w:val="20"/>
                <w:szCs w:val="20"/>
                <w:color w:val="auto"/>
              </w:rPr>
            </w:pPr>
            <w:r>
              <w:rPr>
                <w:rFonts w:ascii="Arial" w:cs="Arial" w:eastAsia="Arial" w:hAnsi="Arial"/>
                <w:sz w:val="22"/>
                <w:szCs w:val="22"/>
                <w:color w:val="auto"/>
              </w:rPr>
              <w:t>Australian dollar to U.S. dollar</w:t>
            </w:r>
          </w:p>
        </w:tc>
        <w:tc>
          <w:tcPr>
            <w:tcW w:w="42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1420" w:type="dxa"/>
            <w:vAlign w:val="bottom"/>
          </w:tcPr>
          <w:p>
            <w:pPr>
              <w:jc w:val="right"/>
              <w:ind w:right="192"/>
              <w:spacing w:after="0"/>
              <w:rPr>
                <w:sz w:val="20"/>
                <w:szCs w:val="20"/>
                <w:color w:val="auto"/>
              </w:rPr>
            </w:pPr>
            <w:r>
              <w:rPr>
                <w:rFonts w:ascii="Arial" w:cs="Arial" w:eastAsia="Arial" w:hAnsi="Arial"/>
                <w:sz w:val="22"/>
                <w:szCs w:val="22"/>
                <w:color w:val="auto"/>
              </w:rPr>
              <w:t>0.786</w:t>
            </w:r>
          </w:p>
        </w:tc>
        <w:tc>
          <w:tcPr>
            <w:tcW w:w="120" w:type="dxa"/>
            <w:vAlign w:val="bottom"/>
          </w:tcPr>
          <w:p>
            <w:pPr>
              <w:spacing w:after="0"/>
              <w:rPr>
                <w:sz w:val="24"/>
                <w:szCs w:val="24"/>
                <w:color w:val="auto"/>
              </w:rPr>
            </w:pPr>
          </w:p>
        </w:tc>
        <w:tc>
          <w:tcPr>
            <w:tcW w:w="660" w:type="dxa"/>
            <w:vAlign w:val="bottom"/>
          </w:tcPr>
          <w:p>
            <w:pPr>
              <w:jc w:val="right"/>
              <w:ind w:right="35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292"/>
              <w:spacing w:after="0"/>
              <w:rPr>
                <w:sz w:val="20"/>
                <w:szCs w:val="20"/>
                <w:color w:val="auto"/>
              </w:rPr>
            </w:pPr>
            <w:r>
              <w:rPr>
                <w:rFonts w:ascii="Arial" w:cs="Arial" w:eastAsia="Arial" w:hAnsi="Arial"/>
                <w:sz w:val="22"/>
                <w:szCs w:val="22"/>
                <w:color w:val="auto"/>
              </w:rPr>
              <w:t>0.758</w:t>
            </w:r>
          </w:p>
        </w:tc>
      </w:tr>
    </w:tbl>
    <w:p>
      <w:pPr>
        <w:spacing w:after="0" w:line="200" w:lineRule="exact"/>
        <w:rPr>
          <w:sz w:val="20"/>
          <w:szCs w:val="20"/>
          <w:color w:val="auto"/>
        </w:rPr>
      </w:pPr>
    </w:p>
    <w:p>
      <w:pPr>
        <w:spacing w:after="0" w:line="336" w:lineRule="exact"/>
        <w:rPr>
          <w:sz w:val="20"/>
          <w:szCs w:val="20"/>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lodge and open camp rooms.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mobile camps.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catering and food services, laundry and water and wastewater treatment services.</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Includes revenues related to modular construction and manufacturing services.</w:t>
      </w:r>
    </w:p>
    <w:p>
      <w:pPr>
        <w:spacing w:after="0" w:line="287" w:lineRule="exact"/>
        <w:rPr>
          <w:rFonts w:ascii="Arial" w:cs="Arial" w:eastAsia="Arial" w:hAnsi="Arial"/>
          <w:sz w:val="22"/>
          <w:szCs w:val="22"/>
          <w:color w:val="auto"/>
        </w:rPr>
      </w:pPr>
    </w:p>
    <w:p>
      <w:pPr>
        <w:ind w:right="740" w:firstLine="2"/>
        <w:spacing w:after="0" w:line="251"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Average available rooms relate to Canadian lodges and Australian villages and includes rooms that are utilized for our personnel.</w:t>
      </w:r>
    </w:p>
    <w:p>
      <w:pPr>
        <w:spacing w:after="0" w:line="254" w:lineRule="exact"/>
        <w:rPr>
          <w:rFonts w:ascii="Arial" w:cs="Arial" w:eastAsia="Arial" w:hAnsi="Arial"/>
          <w:sz w:val="22"/>
          <w:szCs w:val="22"/>
          <w:color w:val="auto"/>
        </w:rPr>
      </w:pPr>
    </w:p>
    <w:p>
      <w:pPr>
        <w:ind w:right="220" w:firstLine="2"/>
        <w:spacing w:after="0" w:line="251"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Rentable rooms relate to Canadian lodges and Australian villages and excludes rooms that are utilized for our personnel and out-of-service rooms.</w:t>
      </w:r>
    </w:p>
    <w:p>
      <w:pPr>
        <w:spacing w:after="0" w:line="254" w:lineRule="exact"/>
        <w:rPr>
          <w:rFonts w:ascii="Arial" w:cs="Arial" w:eastAsia="Arial" w:hAnsi="Arial"/>
          <w:sz w:val="22"/>
          <w:szCs w:val="22"/>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Average daily rate is based on rentable rooms and lodge/village revenue.</w:t>
      </w:r>
    </w:p>
    <w:p>
      <w:pPr>
        <w:spacing w:after="0" w:line="287" w:lineRule="exact"/>
        <w:rPr>
          <w:rFonts w:ascii="Arial" w:cs="Arial" w:eastAsia="Arial" w:hAnsi="Arial"/>
          <w:sz w:val="22"/>
          <w:szCs w:val="22"/>
          <w:color w:val="auto"/>
        </w:rPr>
      </w:pPr>
    </w:p>
    <w:p>
      <w:pPr>
        <w:ind w:left="360" w:hanging="358"/>
        <w:spacing w:after="0"/>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Billed rooms represents total billed days.</w:t>
      </w:r>
    </w:p>
    <w:p>
      <w:pPr>
        <w:spacing w:after="0" w:line="287" w:lineRule="exact"/>
        <w:rPr>
          <w:rFonts w:ascii="Arial" w:cs="Arial" w:eastAsia="Arial" w:hAnsi="Arial"/>
          <w:sz w:val="22"/>
          <w:szCs w:val="22"/>
          <w:color w:val="auto"/>
        </w:rPr>
      </w:pPr>
    </w:p>
    <w:p>
      <w:pPr>
        <w:ind w:right="600" w:firstLine="2"/>
        <w:spacing w:after="0" w:line="251"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Occupancy represents total billed days divided by rentable days. Rentable days excludes staff rooms and out-of-service rooms.</w:t>
      </w:r>
    </w:p>
    <w:p>
      <w:pPr>
        <w:sectPr>
          <w:pgSz w:w="11900" w:h="16838" w:orient="portrait"/>
          <w:cols w:equalWidth="0" w:num="1">
            <w:col w:w="11320"/>
          </w:cols>
          <w:pgMar w:left="260" w:top="111" w:right="319" w:bottom="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CONTACT: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Frank C. Steininger</w:t>
      </w:r>
    </w:p>
    <w:p>
      <w:pPr>
        <w:spacing w:after="0" w:line="238" w:lineRule="auto"/>
        <w:rPr>
          <w:sz w:val="20"/>
          <w:szCs w:val="20"/>
          <w:color w:val="auto"/>
        </w:rPr>
      </w:pPr>
      <w:r>
        <w:rPr>
          <w:rFonts w:ascii="Arial" w:cs="Arial" w:eastAsia="Arial" w:hAnsi="Arial"/>
          <w:sz w:val="22"/>
          <w:szCs w:val="22"/>
          <w:color w:val="auto"/>
        </w:rPr>
        <w:t>Civeo Corporation</w:t>
      </w:r>
    </w:p>
    <w:p>
      <w:pPr>
        <w:spacing w:after="0"/>
        <w:rPr>
          <w:sz w:val="20"/>
          <w:szCs w:val="20"/>
          <w:color w:val="auto"/>
        </w:rPr>
      </w:pPr>
      <w:r>
        <w:rPr>
          <w:rFonts w:ascii="Arial" w:cs="Arial" w:eastAsia="Arial" w:hAnsi="Arial"/>
          <w:sz w:val="19"/>
          <w:szCs w:val="19"/>
          <w:color w:val="auto"/>
        </w:rPr>
        <w:t>Senior Vice President &amp; 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713-510-2400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Marc Cunningham or</w:t>
      </w:r>
    </w:p>
    <w:p>
      <w:pPr>
        <w:spacing w:after="0" w:line="238" w:lineRule="auto"/>
        <w:rPr>
          <w:sz w:val="20"/>
          <w:szCs w:val="20"/>
          <w:color w:val="auto"/>
        </w:rPr>
      </w:pPr>
      <w:r>
        <w:rPr>
          <w:rFonts w:ascii="Arial" w:cs="Arial" w:eastAsia="Arial" w:hAnsi="Arial"/>
          <w:sz w:val="22"/>
          <w:szCs w:val="22"/>
          <w:color w:val="auto"/>
        </w:rPr>
        <w:t>Jeffrey Spittel</w:t>
      </w:r>
    </w:p>
    <w:p>
      <w:pPr>
        <w:spacing w:after="0" w:line="230" w:lineRule="auto"/>
        <w:rPr>
          <w:sz w:val="20"/>
          <w:szCs w:val="20"/>
          <w:color w:val="auto"/>
        </w:rPr>
      </w:pPr>
      <w:r>
        <w:rPr>
          <w:rFonts w:ascii="Arial" w:cs="Arial" w:eastAsia="Arial" w:hAnsi="Arial"/>
          <w:sz w:val="22"/>
          <w:szCs w:val="22"/>
          <w:color w:val="auto"/>
        </w:rPr>
        <w:t>FTI Consulting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713-353-5407</w:t>
      </w: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2019-12-28T22:32:37Z</dcterms:created>
  <dcterms:modified xsi:type="dcterms:W3CDTF">2019-12-28T22:32:37Z</dcterms:modified>
</cp:coreProperties>
</file>