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15,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76835</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74295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British Columbia, Canada</w:t>
            </w: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Three Allen Center</w:t>
            </w:r>
          </w:p>
        </w:tc>
        <w:tc>
          <w:tcPr>
            <w:tcW w:w="19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80" w:type="dxa"/>
            <w:vAlign w:val="bottom"/>
          </w:tcPr>
          <w:p>
            <w:pPr>
              <w:jc w:val="center"/>
              <w:ind w:right="310"/>
              <w:spacing w:after="0"/>
              <w:rPr>
                <w:sz w:val="20"/>
                <w:szCs w:val="20"/>
                <w:color w:val="auto"/>
              </w:rPr>
            </w:pPr>
            <w:r>
              <w:rPr>
                <w:rFonts w:ascii="Arial" w:cs="Arial" w:eastAsia="Arial" w:hAnsi="Arial"/>
                <w:sz w:val="18"/>
                <w:szCs w:val="18"/>
                <w:color w:val="auto"/>
                <w:w w:val="93"/>
              </w:rPr>
              <w:t>(State or other jurisdiction of</w:t>
            </w: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333 Clay Street, Suite 4980</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16"/>
        </w:trPr>
        <w:tc>
          <w:tcPr>
            <w:tcW w:w="2580" w:type="dxa"/>
            <w:vAlign w:val="bottom"/>
          </w:tcPr>
          <w:p>
            <w:pPr>
              <w:jc w:val="center"/>
              <w:ind w:right="330"/>
              <w:spacing w:after="0"/>
              <w:rPr>
                <w:sz w:val="20"/>
                <w:szCs w:val="20"/>
                <w:color w:val="auto"/>
              </w:rPr>
            </w:pPr>
            <w:r>
              <w:rPr>
                <w:rFonts w:ascii="Arial" w:cs="Arial" w:eastAsia="Arial" w:hAnsi="Arial"/>
                <w:sz w:val="18"/>
                <w:szCs w:val="18"/>
                <w:color w:val="auto"/>
                <w:w w:val="92"/>
              </w:rPr>
              <w:t>incorporation or organization)</w:t>
            </w: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7"/>
              </w:rPr>
              <w:t>Houston, Texas 77002</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220"/>
        </w:trPr>
        <w:tc>
          <w:tcPr>
            <w:tcW w:w="2580" w:type="dxa"/>
            <w:vAlign w:val="bottom"/>
          </w:tcPr>
          <w:p>
            <w:pPr>
              <w:spacing w:after="0"/>
              <w:rPr>
                <w:sz w:val="19"/>
                <w:szCs w:val="19"/>
                <w:color w:val="auto"/>
              </w:rPr>
            </w:pPr>
          </w:p>
        </w:tc>
        <w:tc>
          <w:tcPr>
            <w:tcW w:w="328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0"/>
              </w:rPr>
              <w:t>(713) 510-2400</w:t>
            </w: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(Address, including zip code, and telephone number,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including area code, of registrant’s</w:t>
            </w:r>
          </w:p>
        </w:tc>
        <w:tc>
          <w:tcPr>
            <w:tcW w:w="19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principal executive offices)</w:t>
            </w:r>
          </w:p>
        </w:tc>
        <w:tc>
          <w:tcPr>
            <w:tcW w:w="1960" w:type="dxa"/>
            <w:vAlign w:val="bottom"/>
          </w:tcPr>
          <w:p>
            <w:pPr>
              <w:spacing w:after="0"/>
              <w:rPr>
                <w:sz w:val="20"/>
                <w:szCs w:val="20"/>
                <w:color w:val="auto"/>
              </w:rPr>
            </w:pPr>
          </w:p>
        </w:tc>
      </w:tr>
      <w:tr>
        <w:trPr>
          <w:trHeight w:val="41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Bradley J. Dodson</w:t>
            </w:r>
          </w:p>
        </w:tc>
        <w:tc>
          <w:tcPr>
            <w:tcW w:w="1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1"/>
              </w:rPr>
              <w:t>Civeo Corporation</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2"/>
              </w:rPr>
              <w:t>Three Allen Center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333 Clay Street, Suite 4980</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7"/>
              </w:rPr>
              <w:t>Houston, Texas 77002</w:t>
            </w:r>
          </w:p>
        </w:tc>
        <w:tc>
          <w:tcPr>
            <w:tcW w:w="1960" w:type="dxa"/>
            <w:vAlign w:val="bottom"/>
          </w:tcPr>
          <w:p>
            <w:pPr>
              <w:spacing w:after="0"/>
              <w:rPr>
                <w:sz w:val="18"/>
                <w:szCs w:val="18"/>
                <w:color w:val="auto"/>
              </w:rPr>
            </w:pPr>
          </w:p>
        </w:tc>
      </w:tr>
      <w:tr>
        <w:trPr>
          <w:trHeight w:val="220"/>
        </w:trPr>
        <w:tc>
          <w:tcPr>
            <w:tcW w:w="2580" w:type="dxa"/>
            <w:vAlign w:val="bottom"/>
          </w:tcPr>
          <w:p>
            <w:pPr>
              <w:spacing w:after="0"/>
              <w:rPr>
                <w:sz w:val="19"/>
                <w:szCs w:val="19"/>
                <w:color w:val="auto"/>
              </w:rPr>
            </w:pPr>
          </w:p>
        </w:tc>
        <w:tc>
          <w:tcPr>
            <w:tcW w:w="32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0"/>
              </w:rPr>
              <w:t>(713) 510-2400</w:t>
            </w: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(Name, address, including zip code, and telephone</w:t>
            </w:r>
          </w:p>
        </w:tc>
        <w:tc>
          <w:tcPr>
            <w:tcW w:w="19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number, including area code, of agent for service)</w:t>
            </w:r>
          </w:p>
        </w:tc>
        <w:tc>
          <w:tcPr>
            <w:tcW w:w="1960" w:type="dxa"/>
            <w:vAlign w:val="bottom"/>
          </w:tcPr>
          <w:p>
            <w:pPr>
              <w:spacing w:after="0"/>
              <w:rPr>
                <w:sz w:val="20"/>
                <w:szCs w:val="20"/>
                <w:color w:val="auto"/>
              </w:rPr>
            </w:pPr>
          </w:p>
        </w:tc>
      </w:tr>
      <w:tr>
        <w:trPr>
          <w:trHeight w:val="108"/>
        </w:trPr>
        <w:tc>
          <w:tcPr>
            <w:tcW w:w="25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299"/>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0"/>
              </w:rPr>
              <w:t>Copy to:</w:t>
            </w:r>
          </w:p>
        </w:tc>
        <w:tc>
          <w:tcPr>
            <w:tcW w:w="1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2"/>
              </w:rPr>
              <w:t>Tull R. Florey</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1"/>
              </w:rPr>
              <w:t>Baker Botts L.L.P.</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0"/>
              </w:rPr>
              <w:t>910 Louisiana Street</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Houston, Texas 77002-4995</w:t>
            </w:r>
          </w:p>
        </w:tc>
        <w:tc>
          <w:tcPr>
            <w:tcW w:w="196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32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0"/>
              </w:rPr>
              <w:t>(713) 229-1379</w:t>
            </w: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98" w:lineRule="exact"/>
        <w:rPr>
          <w:sz w:val="24"/>
          <w:szCs w:val="24"/>
          <w:color w:val="auto"/>
        </w:rPr>
      </w:pPr>
    </w:p>
    <w:p>
      <w:pPr>
        <w:ind w:left="500" w:right="360"/>
        <w:spacing w:after="0" w:line="290"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to be offered pursuant to dividend or interest reinvestment plans, please check the following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6" w:lineRule="exact"/>
        <w:rPr>
          <w:sz w:val="24"/>
          <w:szCs w:val="24"/>
          <w:color w:val="auto"/>
        </w:rPr>
      </w:pPr>
    </w:p>
    <w:p>
      <w:pPr>
        <w:ind w:right="20" w:firstLine="486"/>
        <w:spacing w:after="0" w:line="216"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firstLine="48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48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00" w:firstLine="486"/>
        <w:spacing w:after="0" w:line="216"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140" w:firstLine="486"/>
        <w:spacing w:after="0" w:line="216"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4" w:lineRule="exact"/>
        <w:rPr>
          <w:sz w:val="24"/>
          <w:szCs w:val="24"/>
          <w:color w:val="auto"/>
        </w:rPr>
      </w:pPr>
    </w:p>
    <w:p>
      <w:pPr>
        <w:jc w:val="center"/>
        <w:ind w:left="480"/>
        <w:spacing w:after="0" w:line="207" w:lineRule="exact"/>
        <w:tabs>
          <w:tab w:leader="none" w:pos="1100" w:val="left"/>
          <w:tab w:leader="none" w:pos="1180" w:val="left"/>
          <w:tab w:leader="none" w:pos="1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(Do not check if smaller reporting</w:t>
      </w:r>
    </w:p>
    <w:p>
      <w:pPr>
        <w:spacing w:after="0" w:line="7"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company)</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shall file a further amendment which specifically states that this Registration Statement shall thereafter become effective in accordance with Section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8(a) of the Securities Act or until the Registration Statement shall become effective on such date as the Commission, acting pursuant to said Section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664210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Civeo Corporation is filing this Pre-Effective Amendment No. 1 (the “Amendment”) to the Registration Statement on Form S-3 (File No. 333-212754) (the “Registration Statement”) for the sole purpose of amending the list of exhibits included in Item 16 of Part II of the Registration Statement and the Exhibit Index. No changes or additions are being made hereby to the prospectus that forms a part of the Registration Statement. Accordingly, this Amendment consists only of the facing page, this Explanatory Note and Part II of the Registration Statement, the Signatures and the Exhibit Index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the estimated expenses payable by Civeo Corporation, a British Columbia, Canada limited company (“Civeo”), in connection with the offering described in this Registration Statement.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$30,210*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Printing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Fees and expenses of trustee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457(o) under the Securities Act of 1933 and exclusive of accrued interest, distributions and dividends, if any.</w:t>
      </w:r>
    </w:p>
    <w:p>
      <w:pPr>
        <w:spacing w:after="0" w:line="170" w:lineRule="exact"/>
        <w:rPr>
          <w:sz w:val="20"/>
          <w:szCs w:val="20"/>
          <w:color w:val="auto"/>
        </w:rPr>
      </w:pPr>
    </w:p>
    <w:p>
      <w:pPr>
        <w:ind w:left="340" w:right="48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Civeo anticipates it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British Columbia Law</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Under Section 160 of British Columbia’s Business Corporations Act (the “BCA”), we may indemnify an eligible party including but not limited to a director or officer of us, a former director or officer of us or another individual who acts or acted at our request as a director or officer, or an individual acting in a similar capacity, against all judgments, penalties or fines awarded or imposed in, or an amount paid in settlement of a proceeding in which a party or any of the heirs and personal or other legal representatives of the eligible party, by reason of such party having been a director or officer of, or holding or having held a position equivalent to that of a director or officer of, the company or an associated corporation, to which the such party is or may be liable.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Indemnification will be prohibited if (i) giving indemnity or paying expenses is or was prohibited in by the company’s articles, (ii) if in relation to the subject matter of the eligible proceeding, the eligible party did not act honestly and in good faith with a view to the best interests of us or, (iii) in the case of an eligible proceeding other than a civil proceeding, if the eligible party did not have reasonable grounds for believing that the eligible party’s conduct in respect of which the proceeding was brought was lawful. The BCA also provides, under Section 162, that we may also advance moneys to a director, officer or other individual for costs, charges and expenses reasonably incurred in connection with such a proceeding; however, the individual must agree in writing to undertake that if it is ultimately determined that the payment of expenses is prohibited by either conditions (i), (ii) or (iii) above, the eligible party will repay the amounts advanced.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Civeo’s Notice of Articles and Articles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articles provide that we shall indemnify, and pay expenses in advance of the final disposition of a proceeding of, a director or officer, a former director or officer or a person who acts or acted at our requests as a director or officer, or in a similar capacity of another entity, and the heirs and person or other legal representatives of such a person so long as the individual signs the requisite undertaking, in accordance, and to the fullest extent and in all circumstances permitted by the BCA.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 w:name="page4"/>
    <w:bookmarkEnd w:id="3"/>
    <w:p>
      <w:pPr>
        <w:jc w:val="both"/>
        <w:ind w:firstLine="648"/>
        <w:spacing w:after="0" w:line="279" w:lineRule="auto"/>
        <w:rPr>
          <w:sz w:val="20"/>
          <w:szCs w:val="20"/>
          <w:color w:val="auto"/>
        </w:rPr>
      </w:pPr>
      <w:r>
        <w:rPr>
          <w:rFonts w:ascii="Arial" w:cs="Arial" w:eastAsia="Arial" w:hAnsi="Arial"/>
          <w:sz w:val="17"/>
          <w:szCs w:val="17"/>
          <w:color w:val="auto"/>
        </w:rPr>
        <w:t>We entered into and, in the future, will enter into indemnification agreements with our officers and directors in respect of any legal claims or actions initiated against them in their capacity as officers and directors of us or our subsidiaries in accordance with applicable law. These agreements include bearing the reasonable cost of legal representation in any legal or regulatory action in which they may become involved in their capacity as our officers and directors. Pursuant to such indemnities, we bear the cost of the representation of certain officers and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maintain insurance for certain liabilities incurred by our directors and officers in their capacity with us or our subsidiaries.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Item 16. Exhibits.</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Civeo US Merger Co (incorporated herein by reference to Annex A of the definitive proxy statement/prospectus on Schedule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14A (File No. 001-36246) filed on April 8, 2015).</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Separation and Distribution Agreement by and between Oil States International, Inc. and Civeo Corporation, dated May 27,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2014 (incorporated herein by reference to Exhibit 2.1 to the Current Report on Form 8-K (File No. 001-36246) filed on June 2,</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2014).</w:t>
            </w:r>
          </w:p>
        </w:tc>
        <w:tc>
          <w:tcPr>
            <w:tcW w:w="7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Notice of Articles of Civeo Corporation (incorporated herein by reference to Exhibit 3.1 to the Current Report on Form 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K12B (File No. 001-36246), filed on July 17, 2015).</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Amended and Restated Articles of Civeo Corporation (incorporated herein by reference to Exhibit 3.1 to the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Form 8-K (File No. 001-36246) filed on May 13, 2016).</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Form of Common Share Certificate (incorporated herein by reference to Exhibit 4.1 to the Current Report on Form 8-K12B</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(File No. 001-36246) filed on July 17, 2015).</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Form of Indenture between Civeo Corporation and the trustee thereunder (the “Senior Trustee”), relating to senior debt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Form of Indenture between Civeo Corporation and the trustee thereunder (the “Subordinated Trustee”), relating to subordinated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Dentons Canada LLP as to the legality of the common shares and preferred shares.</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Baker Botts L.L.P. as to the legality of the debt securities and warrants.</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Dentons Canada LLP (included in Exhibit 5.1).</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Baker Botts L.L.P. (included in Exhibit 5.2).</w:t>
            </w:r>
          </w:p>
        </w:tc>
        <w:tc>
          <w:tcPr>
            <w:tcW w:w="0" w:type="dxa"/>
            <w:vAlign w:val="bottom"/>
          </w:tcPr>
          <w:p>
            <w:pPr>
              <w:spacing w:after="0"/>
              <w:rPr>
                <w:sz w:val="1"/>
                <w:szCs w:val="1"/>
                <w:color w:val="auto"/>
              </w:rPr>
            </w:pP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Powers of Attorney.</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Statement of Eligibility under the Trust Indenture Act of 1939, as amended, on Form T-1 of Senior Trustee (to be filed prior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any issuance of senior debt securities).</w:t>
            </w:r>
          </w:p>
        </w:tc>
        <w:tc>
          <w:tcPr>
            <w:tcW w:w="0" w:type="dxa"/>
            <w:vAlign w:val="bottom"/>
          </w:tcPr>
          <w:p>
            <w:pPr>
              <w:spacing w:after="0"/>
              <w:rPr>
                <w:sz w:val="1"/>
                <w:szCs w:val="1"/>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25.2***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Statement of Eligibility under the Trust Indenture Act of 1939, as amended, on Form T-1 of Subordinated Trustee (to be filed</w:t>
            </w:r>
          </w:p>
        </w:tc>
        <w:tc>
          <w:tcPr>
            <w:tcW w:w="0" w:type="dxa"/>
            <w:vAlign w:val="bottom"/>
          </w:tcPr>
          <w:p>
            <w:pPr>
              <w:spacing w:after="0"/>
              <w:rPr>
                <w:sz w:val="1"/>
                <w:szCs w:val="1"/>
                <w:color w:val="auto"/>
              </w:rPr>
            </w:pPr>
          </w:p>
        </w:tc>
      </w:tr>
      <w:tr>
        <w:trPr>
          <w:trHeight w:val="230"/>
        </w:trPr>
        <w:tc>
          <w:tcPr>
            <w:tcW w:w="21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9200" w:type="dxa"/>
            <w:vAlign w:val="bottom"/>
            <w:gridSpan w:val="2"/>
          </w:tcPr>
          <w:p>
            <w:pPr>
              <w:spacing w:after="0"/>
              <w:rPr>
                <w:sz w:val="20"/>
                <w:szCs w:val="20"/>
                <w:color w:val="auto"/>
              </w:rPr>
            </w:pPr>
            <w:r>
              <w:rPr>
                <w:rFonts w:ascii="Arial" w:cs="Arial" w:eastAsia="Arial" w:hAnsi="Arial"/>
                <w:sz w:val="18"/>
                <w:szCs w:val="18"/>
                <w:color w:val="auto"/>
              </w:rPr>
              <w:t>prior to any issuance of subordinated debt securities).</w:t>
            </w:r>
          </w:p>
        </w:tc>
        <w:tc>
          <w:tcPr>
            <w:tcW w:w="0" w:type="dxa"/>
            <w:vAlign w:val="bottom"/>
          </w:tcPr>
          <w:p>
            <w:pPr>
              <w:spacing w:after="0"/>
              <w:rPr>
                <w:sz w:val="1"/>
                <w:szCs w:val="1"/>
                <w:color w:val="auto"/>
              </w:rPr>
            </w:pPr>
          </w:p>
        </w:tc>
      </w:tr>
      <w:tr>
        <w:trPr>
          <w:trHeight w:val="216"/>
        </w:trPr>
        <w:tc>
          <w:tcPr>
            <w:tcW w:w="212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60" w:hanging="492"/>
        <w:spacing w:after="0" w:line="25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 with respect to legality of the securities offered hereby and (iv) any required opinion of counsel as to certain tax matters relative to the securities offered hereby.</w:t>
      </w:r>
    </w:p>
    <w:p>
      <w:pPr>
        <w:spacing w:after="0" w:line="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pacing w:after="0" w:line="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Registrant’s Registration Statement on Form S-3, as filed with the SEC on July 29, 2016 (File No. 333-212754).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be filed, if necessary, on Form 305B2 in accordance with the requirements of Section 305(b)(2) of the Trust Indenture Act of 1939, as amended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1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620" w:hanging="478"/>
        <w:spacing w:after="0"/>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20" w:hanging="491"/>
        <w:spacing w:after="0"/>
        <w:tabs>
          <w:tab w:leader="none" w:pos="2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120" w:hanging="491"/>
        <w:spacing w:after="0" w:line="254" w:lineRule="auto"/>
        <w:tabs>
          <w:tab w:leader="none" w:pos="2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192" w:lineRule="exact"/>
        <w:rPr>
          <w:rFonts w:ascii="Arial" w:cs="Arial" w:eastAsia="Arial" w:hAnsi="Arial"/>
          <w:sz w:val="18"/>
          <w:szCs w:val="18"/>
          <w:color w:val="auto"/>
        </w:rPr>
      </w:pPr>
    </w:p>
    <w:p>
      <w:pPr>
        <w:ind w:left="2120" w:right="720" w:hanging="491"/>
        <w:spacing w:after="0" w:line="277" w:lineRule="auto"/>
        <w:tabs>
          <w:tab w:leader="none" w:pos="2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620" w:right="8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4" w:lineRule="exact"/>
        <w:rPr>
          <w:sz w:val="20"/>
          <w:szCs w:val="20"/>
          <w:color w:val="auto"/>
        </w:rPr>
      </w:pPr>
    </w:p>
    <w:p>
      <w:pPr>
        <w:ind w:left="1620" w:right="100" w:hanging="478"/>
        <w:spacing w:after="0" w:line="26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620" w:right="100" w:hanging="478"/>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620" w:hanging="478"/>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2100" w:right="40" w:hanging="444"/>
        <w:spacing w:after="0" w:line="277" w:lineRule="auto"/>
        <w:tabs>
          <w:tab w:leader="none" w:pos="2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ind w:left="1444" w:right="40" w:hanging="444"/>
        <w:spacing w:after="0" w:line="268" w:lineRule="auto"/>
        <w:tabs>
          <w:tab w:leader="none" w:pos="1444" w:val="left"/>
        </w:tabs>
        <w:numPr>
          <w:ilvl w:val="1"/>
          <w:numId w:val="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7" w:lineRule="exact"/>
        <w:rPr>
          <w:rFonts w:ascii="Arial" w:cs="Arial" w:eastAsia="Arial" w:hAnsi="Arial"/>
          <w:sz w:val="17"/>
          <w:szCs w:val="17"/>
          <w:color w:val="auto"/>
        </w:rPr>
      </w:pPr>
    </w:p>
    <w:p>
      <w:pPr>
        <w:ind w:left="964" w:right="800" w:hanging="478"/>
        <w:spacing w:after="0" w:line="277"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left="130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764" w:right="60" w:hanging="440"/>
        <w:spacing w:after="0" w:line="277" w:lineRule="auto"/>
        <w:tabs>
          <w:tab w:leader="none" w:pos="17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764" w:right="560" w:hanging="440"/>
        <w:spacing w:after="0" w:line="277" w:lineRule="auto"/>
        <w:tabs>
          <w:tab w:leader="none" w:pos="17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764" w:right="820" w:hanging="440"/>
        <w:spacing w:after="0" w:line="308" w:lineRule="auto"/>
        <w:tabs>
          <w:tab w:leader="none" w:pos="17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764" w:hanging="440"/>
        <w:spacing w:after="0"/>
        <w:tabs>
          <w:tab w:leader="none" w:pos="17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484" w:right="140" w:hanging="484"/>
        <w:spacing w:after="0" w:line="276" w:lineRule="auto"/>
        <w:tabs>
          <w:tab w:leader="none" w:pos="48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undersigned Registrant hereby further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484" w:right="280" w:hanging="484"/>
        <w:spacing w:after="0" w:line="270" w:lineRule="auto"/>
        <w:tabs>
          <w:tab w:leader="none" w:pos="48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2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6" w:name="page7"/>
    <w:bookmarkEnd w:id="6"/>
    <w:p>
      <w:pPr>
        <w:ind w:left="484" w:hanging="484"/>
        <w:spacing w:after="0"/>
        <w:tabs>
          <w:tab w:leader="none" w:pos="4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804" w:right="120" w:hanging="318"/>
        <w:spacing w:after="0" w:line="259" w:lineRule="auto"/>
        <w:tabs>
          <w:tab w:leader="none" w:pos="8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ind w:left="804" w:right="80" w:hanging="318"/>
        <w:spacing w:after="0" w:line="264" w:lineRule="auto"/>
        <w:tabs>
          <w:tab w:leader="none" w:pos="8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84" w:hanging="484"/>
        <w:spacing w:after="0" w:line="264" w:lineRule="auto"/>
        <w:tabs>
          <w:tab w:leader="none" w:pos="4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each of the Senior Trustee and the Subordinated Trustee to act under subsection (a) of section 310 of the Trust Indenture Act of 1939 (the “Act”) in accordance with the rules and regulations prescribed by the SEC under section 305(b)(2) of the Act.</w:t>
      </w:r>
    </w:p>
    <w:p>
      <w:pPr>
        <w:spacing w:after="0" w:line="200" w:lineRule="exact"/>
        <w:rPr>
          <w:sz w:val="20"/>
          <w:szCs w:val="20"/>
          <w:color w:val="auto"/>
        </w:rPr>
      </w:pPr>
    </w:p>
    <w:p>
      <w:pPr>
        <w:spacing w:after="0" w:line="2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584"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389"/>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Houston, State of Texas, on August 15, 2016.</w:t>
      </w:r>
    </w:p>
    <w:p>
      <w:pPr>
        <w:spacing w:after="0" w:line="18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40" w:type="dxa"/>
            <w:vAlign w:val="bottom"/>
            <w:gridSpan w:val="3"/>
          </w:tcPr>
          <w:p>
            <w:pPr>
              <w:ind w:left="1540"/>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4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3"/>
              </w:rPr>
              <w:t>Capacity</w:t>
            </w:r>
          </w:p>
        </w:tc>
        <w:tc>
          <w:tcPr>
            <w:tcW w:w="900" w:type="dxa"/>
            <w:vAlign w:val="bottom"/>
          </w:tcPr>
          <w:p>
            <w:pPr>
              <w:spacing w:after="0"/>
              <w:rPr>
                <w:sz w:val="17"/>
                <w:szCs w:val="17"/>
                <w:color w:val="auto"/>
              </w:rPr>
            </w:pPr>
          </w:p>
        </w:tc>
        <w:tc>
          <w:tcPr>
            <w:tcW w:w="12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J. Dodson</w:t>
            </w: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President, Chief Executive Officer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Bradley J. Dodson</w:t>
            </w:r>
          </w:p>
        </w:tc>
        <w:tc>
          <w:tcPr>
            <w:tcW w:w="40" w:type="dxa"/>
            <w:vAlign w:val="bottom"/>
          </w:tcPr>
          <w:p>
            <w:pPr>
              <w:spacing w:after="0"/>
              <w:rPr>
                <w:sz w:val="19"/>
                <w:szCs w:val="19"/>
                <w:color w:val="auto"/>
              </w:rPr>
            </w:pPr>
          </w:p>
        </w:tc>
        <w:tc>
          <w:tcPr>
            <w:tcW w:w="47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and Director (Principal Executive Officer)</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Senior Vice President, Chief Financial Officer and</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195"/>
        </w:trPr>
        <w:tc>
          <w:tcPr>
            <w:tcW w:w="4580" w:type="dxa"/>
            <w:vAlign w:val="bottom"/>
            <w:gridSpan w:val="4"/>
          </w:tcPr>
          <w:p>
            <w:pPr>
              <w:spacing w:after="0" w:line="195" w:lineRule="exact"/>
              <w:rPr>
                <w:sz w:val="20"/>
                <w:szCs w:val="20"/>
                <w:color w:val="auto"/>
              </w:rPr>
            </w:pPr>
            <w:r>
              <w:rPr>
                <w:rFonts w:ascii="Arial" w:cs="Arial" w:eastAsia="Arial" w:hAnsi="Arial"/>
                <w:sz w:val="18"/>
                <w:szCs w:val="18"/>
                <w:color w:val="auto"/>
              </w:rPr>
              <w:t>Frank C. Steininger</w:t>
            </w:r>
          </w:p>
        </w:tc>
        <w:tc>
          <w:tcPr>
            <w:tcW w:w="40" w:type="dxa"/>
            <w:vAlign w:val="bottom"/>
          </w:tcPr>
          <w:p>
            <w:pPr>
              <w:spacing w:after="0"/>
              <w:rPr>
                <w:sz w:val="16"/>
                <w:szCs w:val="16"/>
                <w:color w:val="auto"/>
              </w:rPr>
            </w:pPr>
          </w:p>
        </w:tc>
        <w:tc>
          <w:tcPr>
            <w:tcW w:w="470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Treasurer</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0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(Principal Financial and Accounting Officer)</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Chairman of the Board</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Douglas E. Swanson</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C. Ronald Blankenship</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Martin A. Lambert</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Constance B. Moore</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Richard A. Navarre</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August 15, 2016</w:t>
            </w:r>
          </w:p>
        </w:tc>
      </w:tr>
      <w:tr>
        <w:trPr>
          <w:trHeight w:val="224"/>
        </w:trPr>
        <w:tc>
          <w:tcPr>
            <w:tcW w:w="4580" w:type="dxa"/>
            <w:vAlign w:val="bottom"/>
            <w:gridSpan w:val="4"/>
          </w:tcPr>
          <w:p>
            <w:pPr>
              <w:spacing w:after="0"/>
              <w:rPr>
                <w:sz w:val="20"/>
                <w:szCs w:val="20"/>
                <w:color w:val="auto"/>
              </w:rPr>
            </w:pPr>
            <w:r>
              <w:rPr>
                <w:rFonts w:ascii="Arial" w:cs="Arial" w:eastAsia="Arial" w:hAnsi="Arial"/>
                <w:sz w:val="18"/>
                <w:szCs w:val="18"/>
                <w:color w:val="auto"/>
              </w:rPr>
              <w:t>Charles Szalkowski</w:t>
            </w: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2"/>
        </w:trPr>
        <w:tc>
          <w:tcPr>
            <w:tcW w:w="4580" w:type="dxa"/>
            <w:vAlign w:val="bottom"/>
            <w:gridSpan w:val="4"/>
          </w:tcPr>
          <w:p>
            <w:pPr>
              <w:spacing w:after="0"/>
              <w:rPr>
                <w:sz w:val="20"/>
                <w:szCs w:val="20"/>
                <w:color w:val="auto"/>
              </w:rPr>
            </w:pPr>
            <w:r>
              <w:rPr>
                <w:rFonts w:ascii="Arial" w:cs="Arial" w:eastAsia="Arial" w:hAnsi="Arial"/>
                <w:sz w:val="18"/>
                <w:szCs w:val="18"/>
                <w:color w:val="auto"/>
              </w:rPr>
              <w:t>* By: /s/ Bradley J. Dodson</w:t>
            </w: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4040" w:type="dxa"/>
            <w:vAlign w:val="bottom"/>
            <w:tcBorders>
              <w:top w:val="single" w:sz="8" w:color="auto"/>
            </w:tcBorders>
            <w:gridSpan w:val="3"/>
          </w:tcPr>
          <w:p>
            <w:pPr>
              <w:ind w:left="500"/>
              <w:spacing w:after="0" w:line="195" w:lineRule="exact"/>
              <w:rPr>
                <w:sz w:val="20"/>
                <w:szCs w:val="20"/>
                <w:color w:val="auto"/>
              </w:rPr>
            </w:pPr>
            <w:r>
              <w:rPr>
                <w:rFonts w:ascii="Arial" w:cs="Arial" w:eastAsia="Arial" w:hAnsi="Arial"/>
                <w:sz w:val="18"/>
                <w:szCs w:val="18"/>
                <w:color w:val="auto"/>
              </w:rPr>
              <w:t>Bradley J. Dodson</w:t>
            </w:r>
          </w:p>
        </w:tc>
        <w:tc>
          <w:tcPr>
            <w:tcW w:w="40" w:type="dxa"/>
            <w:vAlign w:val="bottom"/>
            <w:tcBorders>
              <w:top w:val="single" w:sz="8" w:color="auto"/>
            </w:tcBorders>
          </w:tcPr>
          <w:p>
            <w:pPr>
              <w:spacing w:after="0"/>
              <w:rPr>
                <w:sz w:val="16"/>
                <w:szCs w:val="16"/>
                <w:color w:val="auto"/>
              </w:rPr>
            </w:pPr>
          </w:p>
        </w:tc>
        <w:tc>
          <w:tcPr>
            <w:tcW w:w="2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4040" w:type="dxa"/>
            <w:vAlign w:val="bottom"/>
            <w:gridSpan w:val="3"/>
          </w:tcPr>
          <w:p>
            <w:pPr>
              <w:ind w:left="500"/>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80"/>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1"/>
        </w:trPr>
        <w:tc>
          <w:tcPr>
            <w:tcW w:w="5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8" w:name="page9"/>
    <w:bookmarkEnd w:id="8"/>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b w:val="1"/>
                <w:bCs w:val="1"/>
                <w:color w:val="auto"/>
              </w:rPr>
              <w:t xml:space="preserve">INDEX TO EXHIBITS </w:t>
            </w:r>
            <w:r>
              <w:rPr>
                <w:rFonts w:ascii="Arial" w:cs="Arial" w:eastAsia="Arial" w:hAnsi="Arial"/>
                <w:sz w:val="18"/>
                <w:szCs w:val="18"/>
                <w:color w:val="auto"/>
              </w:rPr>
              <w:t>†</w:t>
            </w:r>
          </w:p>
        </w:tc>
      </w:tr>
      <w:tr>
        <w:trPr>
          <w:trHeight w:val="662"/>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7580" w:type="dxa"/>
            <w:vAlign w:val="bottom"/>
          </w:tcPr>
          <w:p>
            <w:pPr>
              <w:spacing w:after="0"/>
              <w:rPr>
                <w:sz w:val="24"/>
                <w:szCs w:val="24"/>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w:t>
            </w:r>
          </w:p>
        </w:tc>
      </w:tr>
      <w:tr>
        <w:trPr>
          <w:trHeight w:val="216"/>
        </w:trPr>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Civeo US Merger Co (incorporated herein by reference to Annex A of the definitive proxy statement/prospectus on Schedule</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14A (File No. 001-36246) filed on April 8,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Separation and Distribution Agreement by and between Oil States International, Inc. and Civeo Corporation, dated May 27,</w:t>
            </w:r>
          </w:p>
        </w:tc>
      </w:tr>
      <w:tr>
        <w:trPr>
          <w:trHeight w:val="216"/>
        </w:trPr>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2014 (incorporated herein by reference to Exhibit 2.1 to the Current Report on Form 8-K (File No. 001-36246) filed on June 2,</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2014).</w:t>
            </w:r>
          </w:p>
        </w:tc>
        <w:tc>
          <w:tcPr>
            <w:tcW w:w="758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Notice of Articles of Civeo Corporation (incorporated herein by reference to Exhibit 3.1 to the Current Report on Form 8-</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Amended and Restated Articles of Civeo Corporation (incorporated herein by reference to Exhibit 3.1 to the Current Report on</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Form of Common Share Certificate (incorporated herein by reference to Exhibit 4.1 to the Current Report on Form 8-K12B</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Form of Indenture between Civeo Corporation and the trustee thereunder (the “Senior Trustee”), relating to senior debt</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securities.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Form of Indenture between Civeo Corporation and the trustee thereunder (the “Subordinated Trustee”), relating to subordinated</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debt securities.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Dentons Canada LLP as to the legality of the common shares and preferred shares.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Baker Botts L.L.P. as to the legality of the debt securities and warrants.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Dentons Canada LLP (included in Exhibit 5.1).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Baker Botts L.L.P. (included in Exhibit 5.2).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Powers of Attorney.</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Statement of Eligibility under the Trust Indenture Act of 1939, as amended, on Form T-1 of Senior Trustee (to be filed prior to</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any issuance of senior debt securities).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25.2***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Statement of Eligibility under the Trust Indenture Act of 1939, as amended, on Form T-1 of Subordinated Trustee (to be filed</w:t>
            </w:r>
          </w:p>
        </w:tc>
      </w:tr>
      <w:tr>
        <w:trPr>
          <w:trHeight w:val="230"/>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prior to any issuance of subordinated debt securities).</w:t>
            </w:r>
          </w:p>
        </w:tc>
      </w:tr>
    </w:tbl>
    <w:p>
      <w:pPr>
        <w:spacing w:after="0"/>
        <w:rPr>
          <w:sz w:val="20"/>
          <w:szCs w:val="20"/>
          <w:color w:val="auto"/>
        </w:rPr>
      </w:pPr>
      <w:r>
        <w:rPr>
          <w:rFonts w:ascii="Arial" w:cs="Arial" w:eastAsia="Arial" w:hAnsi="Arial"/>
          <w:sz w:val="18"/>
          <w:szCs w:val="18"/>
          <w:color w:val="auto"/>
        </w:rPr>
        <w:t>____________________</w:t>
      </w:r>
    </w:p>
    <w:p>
      <w:pPr>
        <w:spacing w:after="0" w:line="211" w:lineRule="exact"/>
        <w:rPr>
          <w:sz w:val="20"/>
          <w:szCs w:val="20"/>
          <w:color w:val="auto"/>
        </w:rPr>
      </w:pPr>
    </w:p>
    <w:p>
      <w:pPr>
        <w:ind w:left="500" w:right="40" w:hanging="492"/>
        <w:spacing w:after="0" w:line="288"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 with respect to legality of the securities offered hereby and (iv) any required opinion of counsel as to certain tax matters relative to the securities</w:t>
      </w:r>
    </w:p>
    <w:p>
      <w:pPr>
        <w:ind w:left="500"/>
        <w:spacing w:after="0"/>
        <w:rPr>
          <w:sz w:val="20"/>
          <w:szCs w:val="20"/>
          <w:color w:val="auto"/>
        </w:rPr>
      </w:pPr>
      <w:r>
        <w:rPr>
          <w:rFonts w:ascii="Arial" w:cs="Arial" w:eastAsia="Arial" w:hAnsi="Arial"/>
          <w:sz w:val="18"/>
          <w:szCs w:val="18"/>
          <w:color w:val="auto"/>
        </w:rPr>
        <w:t>offered hereby.</w:t>
      </w:r>
    </w:p>
    <w:p>
      <w:pPr>
        <w:spacing w:after="0" w:line="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pacing w:after="0" w:line="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the Registrant’s Registration Statement on Form S-3, as filed with the SEC on July 29, 2016 (File No. 333-212754).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be filed, if necessary, on Form 305B2 in accordance with the requirements of Section 305(b)(2) of the Trust Indenture Act of 1939, as amended .</w:t>
      </w: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140E0F76"/>
    <w:multiLevelType w:val="hybridMultilevel"/>
    <w:lvl w:ilvl="0">
      <w:lvlJc w:val="left"/>
      <w:lvlText w:val="(%1)"/>
      <w:numFmt w:val="decimal"/>
      <w:start w:val="2"/>
    </w:lvl>
    <w:lvl w:ilvl="1">
      <w:lvlJc w:val="left"/>
      <w:lvlText w:val="(%2)"/>
      <w:numFmt w:val="upperLetter"/>
      <w:start w:val="1"/>
    </w:lvl>
  </w:abstractNum>
  <w:abstractNum w:abstractNumId="8">
    <w:nsid w:val="3352255A"/>
    <w:multiLevelType w:val="hybridMultilevel"/>
    <w:lvl w:ilvl="0">
      <w:lvlJc w:val="left"/>
      <w:lvlText w:val="%1"/>
      <w:numFmt w:val="decimal"/>
      <w:start w:val="1"/>
    </w:lvl>
    <w:lvl w:ilvl="1">
      <w:lvlJc w:val="left"/>
      <w:lvlText w:val="(%2)"/>
      <w:numFmt w:val="upperLetter"/>
      <w:start w:val="2"/>
    </w:lvl>
  </w:abstractNum>
  <w:abstractNum w:abstractNumId="9">
    <w:nsid w:val="109CF92E"/>
    <w:multiLevelType w:val="hybridMultilevel"/>
    <w:lvl w:ilvl="0">
      <w:lvlJc w:val="left"/>
      <w:lvlText w:val="(%1)"/>
      <w:numFmt w:val="decimal"/>
      <w:start w:val="5"/>
    </w:lvl>
    <w:lvl w:ilvl="1">
      <w:lvlJc w:val="left"/>
      <w:lvlText w:val="%2"/>
      <w:numFmt w:val="upperLetter"/>
      <w:start w:val="1"/>
    </w:lvl>
  </w:abstractNum>
  <w:abstractNum w:abstractNumId="10">
    <w:nsid w:val="DED7263"/>
    <w:multiLevelType w:val="hybridMultilevel"/>
    <w:lvl w:ilvl="0">
      <w:lvlJc w:val="left"/>
      <w:lvlText w:val="%1"/>
      <w:numFmt w:val="lowerLetter"/>
      <w:start w:val="1"/>
    </w:lvl>
    <w:lvl w:ilvl="1">
      <w:lvlJc w:val="left"/>
      <w:lvlText w:val="(%2)"/>
      <w:numFmt w:val="lowerRoman"/>
      <w:start w:val="1"/>
    </w:lvl>
  </w:abstractNum>
  <w:abstractNum w:abstractNumId="11">
    <w:nsid w:val="7FDCC233"/>
    <w:multiLevelType w:val="hybridMultilevel"/>
    <w:lvl w:ilvl="0">
      <w:lvlJc w:val="left"/>
      <w:lvlText w:val="(%1)"/>
      <w:numFmt w:val="lowerLetter"/>
      <w:start w:val="2"/>
    </w:lvl>
    <w:lvl w:ilvl="1">
      <w:lvlJc w:val="left"/>
      <w:lvlText w:val="%2"/>
      <w:numFmt w:val="lowerRoman"/>
      <w:start w:val="1"/>
    </w:lvl>
  </w:abstractNum>
  <w:abstractNum w:abstractNumId="12">
    <w:nsid w:val="1BEFD79F"/>
    <w:multiLevelType w:val="hybridMultilevel"/>
    <w:lvl w:ilvl="0">
      <w:lvlJc w:val="left"/>
      <w:lvlText w:val="(%1)"/>
      <w:numFmt w:val="lowerLetter"/>
      <w:start w:val="4"/>
    </w:lvl>
    <w:lvl w:ilvl="1">
      <w:lvlJc w:val="left"/>
      <w:lvlText w:val="(%2)"/>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2019-12-09T00:05:08Z</dcterms:created>
  <dcterms:modified xsi:type="dcterms:W3CDTF">2019-12-09T00:05:08Z</dcterms:modified>
</cp:coreProperties>
</file>