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5" w:lineRule="exact"/>
        <w:rPr>
          <w:sz w:val="24"/>
          <w:szCs w:val="24"/>
          <w:color w:val="auto"/>
        </w:rPr>
      </w:pPr>
    </w:p>
    <w:p>
      <w:pPr>
        <w:ind w:left="4660"/>
        <w:spacing w:after="0"/>
        <w:rPr>
          <w:sz w:val="20"/>
          <w:szCs w:val="20"/>
          <w:color w:val="auto"/>
        </w:rPr>
      </w:pPr>
      <w:r>
        <w:rPr>
          <w:rFonts w:ascii="Arial" w:cs="Arial" w:eastAsia="Arial" w:hAnsi="Arial"/>
          <w:sz w:val="22"/>
          <w:szCs w:val="22"/>
          <w:color w:val="auto"/>
        </w:rPr>
        <w:t>__________________</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June 9, 2020</w:t>
      </w:r>
    </w:p>
    <w:p>
      <w:pPr>
        <w:spacing w:after="0" w:line="27" w:lineRule="exact"/>
        <w:rPr>
          <w:sz w:val="24"/>
          <w:szCs w:val="24"/>
          <w:color w:val="auto"/>
        </w:rPr>
      </w:pPr>
    </w:p>
    <w:p>
      <w:pPr>
        <w:ind w:left="4540"/>
        <w:spacing w:after="0"/>
        <w:rPr>
          <w:sz w:val="20"/>
          <w:szCs w:val="20"/>
          <w:color w:val="auto"/>
        </w:rPr>
      </w:pPr>
      <w:r>
        <w:rPr>
          <w:rFonts w:ascii="Arial" w:cs="Arial" w:eastAsia="Arial" w:hAnsi="Arial"/>
          <w:sz w:val="22"/>
          <w:szCs w:val="22"/>
          <w:u w:val="single" w:color="auto"/>
          <w:color w:val="auto"/>
        </w:rPr>
        <w:t>____________________</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Civeo Corporation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920" w:type="dxa"/>
        <w:tblCellMar>
          <w:top w:w="0" w:type="dxa"/>
          <w:left w:w="0" w:type="dxa"/>
          <w:bottom w:w="0" w:type="dxa"/>
          <w:right w:w="0" w:type="dxa"/>
        </w:tblCellMar>
      </w:tblPr>
      <w:tr>
        <w:trPr>
          <w:trHeight w:val="220"/>
        </w:trPr>
        <w:tc>
          <w:tcPr>
            <w:tcW w:w="3320" w:type="dxa"/>
            <w:vAlign w:val="bottom"/>
          </w:tcPr>
          <w:p>
            <w:pPr>
              <w:jc w:val="center"/>
              <w:ind w:right="870"/>
              <w:spacing w:after="0"/>
              <w:rPr>
                <w:sz w:val="20"/>
                <w:szCs w:val="20"/>
                <w:color w:val="auto"/>
              </w:rPr>
            </w:pPr>
            <w:r>
              <w:rPr>
                <w:rFonts w:ascii="Arial" w:cs="Arial" w:eastAsia="Arial" w:hAnsi="Arial"/>
                <w:sz w:val="18"/>
                <w:szCs w:val="18"/>
                <w:b w:val="1"/>
                <w:bCs w:val="1"/>
                <w:color w:val="auto"/>
                <w:w w:val="93"/>
              </w:rPr>
              <w:t>British Columbia, Canada</w:t>
            </w:r>
          </w:p>
        </w:tc>
        <w:tc>
          <w:tcPr>
            <w:tcW w:w="33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1-36246</w:t>
            </w:r>
          </w:p>
        </w:tc>
        <w:tc>
          <w:tcPr>
            <w:tcW w:w="2440" w:type="dxa"/>
            <w:vAlign w:val="bottom"/>
          </w:tcPr>
          <w:p>
            <w:pPr>
              <w:jc w:val="center"/>
              <w:ind w:left="990"/>
              <w:spacing w:after="0"/>
              <w:rPr>
                <w:sz w:val="20"/>
                <w:szCs w:val="20"/>
                <w:color w:val="auto"/>
              </w:rPr>
            </w:pPr>
            <w:r>
              <w:rPr>
                <w:rFonts w:ascii="Arial" w:cs="Arial" w:eastAsia="Arial" w:hAnsi="Arial"/>
                <w:sz w:val="18"/>
                <w:szCs w:val="18"/>
                <w:b w:val="1"/>
                <w:bCs w:val="1"/>
                <w:color w:val="auto"/>
                <w:w w:val="91"/>
              </w:rPr>
              <w:t>98-1253716</w:t>
            </w:r>
          </w:p>
        </w:tc>
      </w:tr>
      <w:tr>
        <w:trPr>
          <w:trHeight w:val="216"/>
        </w:trPr>
        <w:tc>
          <w:tcPr>
            <w:tcW w:w="3320" w:type="dxa"/>
            <w:vAlign w:val="bottom"/>
          </w:tcPr>
          <w:p>
            <w:pPr>
              <w:jc w:val="center"/>
              <w:ind w:right="870"/>
              <w:spacing w:after="0"/>
              <w:rPr>
                <w:sz w:val="20"/>
                <w:szCs w:val="20"/>
                <w:color w:val="auto"/>
              </w:rPr>
            </w:pPr>
            <w:r>
              <w:rPr>
                <w:rFonts w:ascii="Arial" w:cs="Arial" w:eastAsia="Arial" w:hAnsi="Arial"/>
                <w:sz w:val="18"/>
                <w:szCs w:val="18"/>
                <w:color w:val="auto"/>
                <w:w w:val="91"/>
              </w:rPr>
              <w:t>(State or other jurisdiction</w:t>
            </w:r>
          </w:p>
        </w:tc>
        <w:tc>
          <w:tcPr>
            <w:tcW w:w="3380" w:type="dxa"/>
            <w:vAlign w:val="bottom"/>
          </w:tcPr>
          <w:p>
            <w:pPr>
              <w:jc w:val="center"/>
              <w:ind w:right="50"/>
              <w:spacing w:after="0"/>
              <w:rPr>
                <w:sz w:val="20"/>
                <w:szCs w:val="20"/>
                <w:color w:val="auto"/>
              </w:rPr>
            </w:pPr>
            <w:r>
              <w:rPr>
                <w:rFonts w:ascii="Arial" w:cs="Arial" w:eastAsia="Arial" w:hAnsi="Arial"/>
                <w:sz w:val="18"/>
                <w:szCs w:val="18"/>
                <w:color w:val="auto"/>
                <w:w w:val="92"/>
              </w:rPr>
              <w:t>(Commission File</w:t>
            </w:r>
          </w:p>
        </w:tc>
        <w:tc>
          <w:tcPr>
            <w:tcW w:w="2440" w:type="dxa"/>
            <w:vAlign w:val="bottom"/>
          </w:tcPr>
          <w:p>
            <w:pPr>
              <w:jc w:val="center"/>
              <w:ind w:left="990"/>
              <w:spacing w:after="0"/>
              <w:rPr>
                <w:sz w:val="20"/>
                <w:szCs w:val="20"/>
                <w:color w:val="auto"/>
              </w:rPr>
            </w:pPr>
            <w:r>
              <w:rPr>
                <w:rFonts w:ascii="Arial" w:cs="Arial" w:eastAsia="Arial" w:hAnsi="Arial"/>
                <w:sz w:val="18"/>
                <w:szCs w:val="18"/>
                <w:color w:val="auto"/>
                <w:w w:val="93"/>
              </w:rPr>
              <w:t>(I.R.S. Employer</w:t>
            </w:r>
          </w:p>
        </w:tc>
      </w:tr>
      <w:tr>
        <w:trPr>
          <w:trHeight w:val="230"/>
        </w:trPr>
        <w:tc>
          <w:tcPr>
            <w:tcW w:w="3320" w:type="dxa"/>
            <w:vAlign w:val="bottom"/>
          </w:tcPr>
          <w:p>
            <w:pPr>
              <w:jc w:val="center"/>
              <w:ind w:right="870"/>
              <w:spacing w:after="0"/>
              <w:rPr>
                <w:sz w:val="20"/>
                <w:szCs w:val="20"/>
                <w:color w:val="auto"/>
              </w:rPr>
            </w:pPr>
            <w:r>
              <w:rPr>
                <w:rFonts w:ascii="Arial" w:cs="Arial" w:eastAsia="Arial" w:hAnsi="Arial"/>
                <w:sz w:val="18"/>
                <w:szCs w:val="18"/>
                <w:color w:val="auto"/>
                <w:w w:val="92"/>
              </w:rPr>
              <w:t>of incorporation or organization)</w:t>
            </w:r>
          </w:p>
        </w:tc>
        <w:tc>
          <w:tcPr>
            <w:tcW w:w="3380" w:type="dxa"/>
            <w:vAlign w:val="bottom"/>
          </w:tcPr>
          <w:p>
            <w:pPr>
              <w:jc w:val="center"/>
              <w:ind w:right="50"/>
              <w:spacing w:after="0"/>
              <w:rPr>
                <w:sz w:val="20"/>
                <w:szCs w:val="20"/>
                <w:color w:val="auto"/>
              </w:rPr>
            </w:pPr>
            <w:r>
              <w:rPr>
                <w:rFonts w:ascii="Arial" w:cs="Arial" w:eastAsia="Arial" w:hAnsi="Arial"/>
                <w:sz w:val="18"/>
                <w:szCs w:val="18"/>
                <w:color w:val="auto"/>
                <w:w w:val="91"/>
              </w:rPr>
              <w:t>Number)</w:t>
            </w:r>
          </w:p>
        </w:tc>
        <w:tc>
          <w:tcPr>
            <w:tcW w:w="2440" w:type="dxa"/>
            <w:vAlign w:val="bottom"/>
          </w:tcPr>
          <w:p>
            <w:pPr>
              <w:jc w:val="center"/>
              <w:ind w:left="1010"/>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41"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(Address and zip code of principal executive offices)</w:t>
      </w:r>
    </w:p>
    <w:p>
      <w:pPr>
        <w:spacing w:after="0" w:line="234"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229"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[_]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13e-4(c) under the Exchange Act (17 CFR 240.13e-4(c))</w:t>
      </w:r>
    </w:p>
    <w:p>
      <w:pPr>
        <w:spacing w:after="0" w:line="354" w:lineRule="exact"/>
        <w:rPr>
          <w:sz w:val="24"/>
          <w:szCs w:val="24"/>
          <w:color w:val="auto"/>
        </w:rPr>
      </w:pPr>
    </w:p>
    <w:tbl>
      <w:tblPr>
        <w:tblLayout w:type="fixed"/>
        <w:tblInd w:w="50" w:type="dxa"/>
        <w:tblCellMar>
          <w:top w:w="0" w:type="dxa"/>
          <w:left w:w="0" w:type="dxa"/>
          <w:bottom w:w="0" w:type="dxa"/>
          <w:right w:w="0" w:type="dxa"/>
        </w:tblCellMar>
      </w:tblPr>
      <w:tr>
        <w:trPr>
          <w:trHeight w:val="257"/>
        </w:trPr>
        <w:tc>
          <w:tcPr>
            <w:tcW w:w="38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27"/>
        </w:trPr>
        <w:tc>
          <w:tcPr>
            <w:tcW w:w="38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37"/>
        </w:trPr>
        <w:tc>
          <w:tcPr>
            <w:tcW w:w="3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Shares, no par value</w:t>
            </w:r>
          </w:p>
        </w:tc>
        <w:tc>
          <w:tcPr>
            <w:tcW w:w="2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CVEO</w:t>
            </w:r>
          </w:p>
        </w:tc>
        <w:tc>
          <w:tcPr>
            <w:tcW w:w="4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38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66"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 w:name="page2"/>
    <w:bookmarkEnd w:id="1"/>
    <w:p>
      <w:pPr>
        <w:ind w:left="80"/>
        <w:spacing w:after="0"/>
        <w:rPr>
          <w:sz w:val="20"/>
          <w:szCs w:val="20"/>
          <w:color w:val="auto"/>
        </w:rPr>
      </w:pPr>
      <w:r>
        <w:rPr>
          <w:rFonts w:ascii="Arial" w:cs="Arial" w:eastAsia="Arial" w:hAnsi="Arial"/>
          <w:sz w:val="22"/>
          <w:szCs w:val="22"/>
          <w:b w:val="1"/>
          <w:bCs w:val="1"/>
          <w:color w:val="auto"/>
        </w:rPr>
        <w:t>Item 5.07 Submission of Matters to a Vote of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88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At the 2020 Annual General Meeting of Shareholders adjourned on May 14, 2020 and reconvened on June 9, 2020, the shareholders of Civeo Corporation (“Civeo”): (1) elected two Class III nominees to Civeo’s Board of Directors (the “Board”); (2) ratified the appointment of Ernst &amp; Young LLP as Civeo’s independent registered public accounting firm for the year ending December 31, 2020 and until the next annual general meeting of shareholders and authorized the directors of Civeo, acting through the Audit Committee, to determine the remuneration to be paid to Ernst &amp; Young LLP for 2020; (3) voted, on an advisory basis, in favor of the compensation of the persons listed as named executive officers in Civeo’s proxy statement filed with the Securities and Exchange Commission on April 13, 2020; (4) approved the amended and restated 2014 Equity Participation Plan (the “Plan”) to, among other things, increase the number of shares available for issuance thereunder by 10,000,000 shares and (5) approved a consolidation or reverse share split, at the discretion of the Board, of the issued and outstanding common shares of the Company. The proposals related to each matter are described in detail in the Proxy Statement, as supplemented. The voting results for each proposal are as follows: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Proposal 1 - To elect the two Class III nominees to the Board:</w:t>
      </w:r>
    </w:p>
    <w:p>
      <w:pPr>
        <w:spacing w:after="0" w:line="200" w:lineRule="exact"/>
        <w:rPr>
          <w:sz w:val="20"/>
          <w:szCs w:val="20"/>
          <w:color w:val="auto"/>
        </w:rPr>
      </w:pP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2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For</w:t>
            </w:r>
          </w:p>
        </w:tc>
        <w:tc>
          <w:tcPr>
            <w:tcW w:w="2740" w:type="dxa"/>
            <w:vAlign w:val="bottom"/>
            <w:gridSpan w:val="2"/>
          </w:tcPr>
          <w:p>
            <w:pPr>
              <w:ind w:left="900"/>
              <w:spacing w:after="0"/>
              <w:rPr>
                <w:sz w:val="20"/>
                <w:szCs w:val="20"/>
                <w:color w:val="auto"/>
              </w:rPr>
            </w:pPr>
            <w:r>
              <w:rPr>
                <w:rFonts w:ascii="Arial" w:cs="Arial" w:eastAsia="Arial" w:hAnsi="Arial"/>
                <w:sz w:val="18"/>
                <w:szCs w:val="18"/>
                <w:b w:val="1"/>
                <w:bCs w:val="1"/>
                <w:color w:val="auto"/>
              </w:rPr>
              <w:t>Withheld</w:t>
            </w:r>
          </w:p>
        </w:tc>
        <w:tc>
          <w:tcPr>
            <w:tcW w:w="2540" w:type="dxa"/>
            <w:vAlign w:val="bottom"/>
          </w:tcPr>
          <w:p>
            <w:pPr>
              <w:jc w:val="right"/>
              <w:ind w:right="430"/>
              <w:spacing w:after="0"/>
              <w:rPr>
                <w:sz w:val="20"/>
                <w:szCs w:val="20"/>
                <w:color w:val="auto"/>
              </w:rPr>
            </w:pPr>
            <w:r>
              <w:rPr>
                <w:rFonts w:ascii="Arial" w:cs="Arial" w:eastAsia="Arial" w:hAnsi="Arial"/>
                <w:sz w:val="18"/>
                <w:szCs w:val="18"/>
                <w:b w:val="1"/>
                <w:bCs w:val="1"/>
                <w:color w:val="auto"/>
              </w:rPr>
              <w:t>Broker Non-Votes</w:t>
            </w:r>
          </w:p>
        </w:tc>
        <w:tc>
          <w:tcPr>
            <w:tcW w:w="100" w:type="dxa"/>
            <w:vAlign w:val="bottom"/>
          </w:tcPr>
          <w:p>
            <w:pPr>
              <w:spacing w:after="0"/>
              <w:rPr>
                <w:sz w:val="20"/>
                <w:szCs w:val="20"/>
                <w:color w:val="auto"/>
              </w:rPr>
            </w:pPr>
          </w:p>
        </w:tc>
      </w:tr>
      <w:tr>
        <w:trPr>
          <w:trHeight w:val="27"/>
        </w:trPr>
        <w:tc>
          <w:tcPr>
            <w:tcW w:w="234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3"/>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Bradley J. Dodson</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132,031,990</w:t>
            </w:r>
          </w:p>
        </w:tc>
        <w:tc>
          <w:tcPr>
            <w:tcW w:w="10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3,229,327</w:t>
            </w:r>
          </w:p>
        </w:tc>
        <w:tc>
          <w:tcPr>
            <w:tcW w:w="20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23,381,449</w:t>
            </w:r>
          </w:p>
        </w:tc>
        <w:tc>
          <w:tcPr>
            <w:tcW w:w="100" w:type="dxa"/>
            <w:vAlign w:val="bottom"/>
          </w:tcPr>
          <w:p>
            <w:pPr>
              <w:spacing w:after="0"/>
              <w:rPr>
                <w:sz w:val="21"/>
                <w:szCs w:val="21"/>
                <w:color w:val="auto"/>
              </w:rPr>
            </w:pPr>
          </w:p>
        </w:tc>
      </w:tr>
      <w:tr>
        <w:trPr>
          <w:trHeight w:val="243"/>
        </w:trPr>
        <w:tc>
          <w:tcPr>
            <w:tcW w:w="2340" w:type="dxa"/>
            <w:vAlign w:val="bottom"/>
          </w:tcPr>
          <w:p>
            <w:pPr>
              <w:ind w:left="20"/>
              <w:spacing w:after="0"/>
              <w:rPr>
                <w:sz w:val="20"/>
                <w:szCs w:val="20"/>
                <w:color w:val="auto"/>
              </w:rPr>
            </w:pPr>
            <w:r>
              <w:rPr>
                <w:rFonts w:ascii="Arial" w:cs="Arial" w:eastAsia="Arial" w:hAnsi="Arial"/>
                <w:sz w:val="18"/>
                <w:szCs w:val="18"/>
                <w:color w:val="auto"/>
              </w:rPr>
              <w:t>Timothy O. Wall</w:t>
            </w:r>
          </w:p>
        </w:tc>
        <w:tc>
          <w:tcPr>
            <w:tcW w:w="2760" w:type="dxa"/>
            <w:vAlign w:val="bottom"/>
          </w:tcPr>
          <w:p>
            <w:pPr>
              <w:jc w:val="center"/>
              <w:spacing w:after="0"/>
              <w:rPr>
                <w:sz w:val="20"/>
                <w:szCs w:val="20"/>
                <w:color w:val="auto"/>
              </w:rPr>
            </w:pPr>
            <w:r>
              <w:rPr>
                <w:rFonts w:ascii="Arial" w:cs="Arial" w:eastAsia="Arial" w:hAnsi="Arial"/>
                <w:sz w:val="18"/>
                <w:szCs w:val="18"/>
                <w:color w:val="auto"/>
                <w:w w:val="89"/>
              </w:rPr>
              <w:t>128,018,485</w:t>
            </w:r>
          </w:p>
        </w:tc>
        <w:tc>
          <w:tcPr>
            <w:tcW w:w="100" w:type="dxa"/>
            <w:vAlign w:val="bottom"/>
          </w:tcPr>
          <w:p>
            <w:pPr>
              <w:spacing w:after="0"/>
              <w:rPr>
                <w:sz w:val="21"/>
                <w:szCs w:val="21"/>
                <w:color w:val="auto"/>
              </w:rPr>
            </w:pPr>
          </w:p>
        </w:tc>
        <w:tc>
          <w:tcPr>
            <w:tcW w:w="2540" w:type="dxa"/>
            <w:vAlign w:val="bottom"/>
          </w:tcPr>
          <w:p>
            <w:pPr>
              <w:ind w:left="900"/>
              <w:spacing w:after="0"/>
              <w:rPr>
                <w:sz w:val="20"/>
                <w:szCs w:val="20"/>
                <w:color w:val="auto"/>
              </w:rPr>
            </w:pPr>
            <w:r>
              <w:rPr>
                <w:rFonts w:ascii="Arial" w:cs="Arial" w:eastAsia="Arial" w:hAnsi="Arial"/>
                <w:sz w:val="18"/>
                <w:szCs w:val="18"/>
                <w:color w:val="auto"/>
              </w:rPr>
              <w:t>7,242,832</w:t>
            </w:r>
          </w:p>
        </w:tc>
        <w:tc>
          <w:tcPr>
            <w:tcW w:w="200" w:type="dxa"/>
            <w:vAlign w:val="bottom"/>
          </w:tcPr>
          <w:p>
            <w:pPr>
              <w:spacing w:after="0"/>
              <w:rPr>
                <w:sz w:val="21"/>
                <w:szCs w:val="21"/>
                <w:color w:val="auto"/>
              </w:rPr>
            </w:pPr>
          </w:p>
        </w:tc>
        <w:tc>
          <w:tcPr>
            <w:tcW w:w="2540" w:type="dxa"/>
            <w:vAlign w:val="bottom"/>
          </w:tcPr>
          <w:p>
            <w:pPr>
              <w:jc w:val="right"/>
              <w:ind w:right="830"/>
              <w:spacing w:after="0"/>
              <w:rPr>
                <w:sz w:val="20"/>
                <w:szCs w:val="20"/>
                <w:color w:val="auto"/>
              </w:rPr>
            </w:pPr>
            <w:r>
              <w:rPr>
                <w:rFonts w:ascii="Arial" w:cs="Arial" w:eastAsia="Arial" w:hAnsi="Arial"/>
                <w:sz w:val="18"/>
                <w:szCs w:val="18"/>
                <w:color w:val="auto"/>
              </w:rPr>
              <w:t>23,381,449</w:t>
            </w:r>
          </w:p>
        </w:tc>
        <w:tc>
          <w:tcPr>
            <w:tcW w:w="100" w:type="dxa"/>
            <w:vAlign w:val="bottom"/>
          </w:tcPr>
          <w:p>
            <w:pPr>
              <w:spacing w:after="0"/>
              <w:rPr>
                <w:sz w:val="21"/>
                <w:szCs w:val="21"/>
                <w:color w:val="auto"/>
              </w:rPr>
            </w:pPr>
          </w:p>
        </w:tc>
      </w:tr>
    </w:tbl>
    <w:p>
      <w:pPr>
        <w:spacing w:after="0" w:line="276" w:lineRule="exact"/>
        <w:rPr>
          <w:sz w:val="20"/>
          <w:szCs w:val="20"/>
          <w:color w:val="auto"/>
        </w:rPr>
      </w:pPr>
    </w:p>
    <w:p>
      <w:pPr>
        <w:ind w:right="20"/>
        <w:spacing w:after="0" w:line="312" w:lineRule="auto"/>
        <w:rPr>
          <w:sz w:val="20"/>
          <w:szCs w:val="20"/>
          <w:color w:val="auto"/>
        </w:rPr>
      </w:pPr>
      <w:r>
        <w:rPr>
          <w:rFonts w:ascii="Arial" w:cs="Arial" w:eastAsia="Arial" w:hAnsi="Arial"/>
          <w:sz w:val="19"/>
          <w:szCs w:val="19"/>
          <w:color w:val="auto"/>
        </w:rPr>
        <w:t>Proposal 2 - To ratify the appointment of Ernst &amp; Young LLP as Civeo’s independent registered public accounting firm for the year ending December 31, 2020 and until the next annual general meeting of shareholders and to authorize the directors of Civeo, acting through the Audit Committee, to determine the remuneration to be paid to Ernst &amp; Young LLP for 2020:</w:t>
      </w:r>
    </w:p>
    <w:p>
      <w:pPr>
        <w:spacing w:after="0" w:line="326" w:lineRule="exact"/>
        <w:rPr>
          <w:sz w:val="20"/>
          <w:szCs w:val="20"/>
          <w:color w:val="auto"/>
        </w:rPr>
      </w:pPr>
    </w:p>
    <w:tbl>
      <w:tblPr>
        <w:tblLayout w:type="fixed"/>
        <w:tblInd w:w="2040" w:type="dxa"/>
        <w:tblCellMar>
          <w:top w:w="0" w:type="dxa"/>
          <w:left w:w="0" w:type="dxa"/>
          <w:bottom w:w="0" w:type="dxa"/>
          <w:right w:w="0" w:type="dxa"/>
        </w:tblCellMar>
      </w:tblPr>
      <w:tr>
        <w:trPr>
          <w:trHeight w:val="234"/>
        </w:trPr>
        <w:tc>
          <w:tcPr>
            <w:tcW w:w="2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For</w:t>
            </w:r>
          </w:p>
        </w:tc>
        <w:tc>
          <w:tcPr>
            <w:tcW w:w="2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Withheld</w:t>
            </w:r>
          </w:p>
        </w:tc>
        <w:tc>
          <w:tcPr>
            <w:tcW w:w="2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7"/>
        </w:trPr>
        <w:tc>
          <w:tcPr>
            <w:tcW w:w="20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158,347,292</w:t>
            </w:r>
          </w:p>
        </w:tc>
        <w:tc>
          <w:tcPr>
            <w:tcW w:w="220" w:type="dxa"/>
            <w:vAlign w:val="bottom"/>
            <w:shd w:val="clear" w:color="auto" w:fill="CCEEFF"/>
          </w:tcPr>
          <w:p>
            <w:pPr>
              <w:spacing w:after="0"/>
              <w:rPr>
                <w:sz w:val="20"/>
                <w:szCs w:val="20"/>
                <w:color w:val="auto"/>
              </w:rPr>
            </w:pPr>
          </w:p>
        </w:tc>
        <w:tc>
          <w:tcPr>
            <w:tcW w:w="22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295,474</w:t>
            </w:r>
          </w:p>
        </w:tc>
        <w:tc>
          <w:tcPr>
            <w:tcW w:w="280" w:type="dxa"/>
            <w:vAlign w:val="bottom"/>
            <w:shd w:val="clear" w:color="auto" w:fill="CCEEFF"/>
          </w:tcPr>
          <w:p>
            <w:pPr>
              <w:spacing w:after="0"/>
              <w:rPr>
                <w:sz w:val="20"/>
                <w:szCs w:val="20"/>
                <w:color w:val="auto"/>
              </w:rPr>
            </w:pPr>
          </w:p>
        </w:tc>
        <w:tc>
          <w:tcPr>
            <w:tcW w:w="222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r>
      <w:tr>
        <w:trPr>
          <w:trHeight w:val="27"/>
        </w:trPr>
        <w:tc>
          <w:tcPr>
            <w:tcW w:w="2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Proposal 3 - To approve, on an advisory basis, the compensation of the named executive officers:</w:t>
      </w:r>
    </w:p>
    <w:p>
      <w:pPr>
        <w:spacing w:after="0" w:line="200" w:lineRule="exact"/>
        <w:rPr>
          <w:sz w:val="20"/>
          <w:szCs w:val="20"/>
          <w:color w:val="auto"/>
        </w:rPr>
      </w:pPr>
    </w:p>
    <w:p>
      <w:pPr>
        <w:spacing w:after="0" w:line="212"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2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For</w:t>
            </w:r>
          </w:p>
        </w:tc>
        <w:tc>
          <w:tcPr>
            <w:tcW w:w="30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Against</w:t>
            </w:r>
          </w:p>
        </w:tc>
        <w:tc>
          <w:tcPr>
            <w:tcW w:w="21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Abstain</w:t>
            </w:r>
          </w:p>
        </w:tc>
        <w:tc>
          <w:tcPr>
            <w:tcW w:w="292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19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37"/>
        </w:trPr>
        <w:tc>
          <w:tcPr>
            <w:tcW w:w="19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119,643,112</w:t>
            </w:r>
          </w:p>
        </w:tc>
        <w:tc>
          <w:tcPr>
            <w:tcW w:w="320" w:type="dxa"/>
            <w:vAlign w:val="bottom"/>
            <w:shd w:val="clear" w:color="auto" w:fill="CCEEFF"/>
          </w:tcPr>
          <w:p>
            <w:pPr>
              <w:spacing w:after="0"/>
              <w:rPr>
                <w:sz w:val="20"/>
                <w:szCs w:val="20"/>
                <w:color w:val="auto"/>
              </w:rPr>
            </w:pPr>
          </w:p>
        </w:tc>
        <w:tc>
          <w:tcPr>
            <w:tcW w:w="26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15,618,204</w:t>
            </w:r>
          </w:p>
        </w:tc>
        <w:tc>
          <w:tcPr>
            <w:tcW w:w="400" w:type="dxa"/>
            <w:vAlign w:val="bottom"/>
            <w:shd w:val="clear" w:color="auto" w:fill="CCEEFF"/>
          </w:tcPr>
          <w:p>
            <w:pPr>
              <w:spacing w:after="0"/>
              <w:rPr>
                <w:sz w:val="20"/>
                <w:szCs w:val="20"/>
                <w:color w:val="auto"/>
              </w:rPr>
            </w:pPr>
          </w:p>
        </w:tc>
        <w:tc>
          <w:tcPr>
            <w:tcW w:w="214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292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23,381,450</w:t>
            </w:r>
          </w:p>
        </w:tc>
      </w:tr>
      <w:tr>
        <w:trPr>
          <w:trHeight w:val="27"/>
        </w:trPr>
        <w:tc>
          <w:tcPr>
            <w:tcW w:w="1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r>
    </w:tbl>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Proposal 4 - To approve the Plan to, among other things, increase the number of shares available for issuance thereunder by 10,000,000 shares, subject to adjustment in accordance with the terms of the Plan upon implementation of the reverse share split described below in Proposal 5:</w:t>
      </w:r>
    </w:p>
    <w:p>
      <w:pPr>
        <w:spacing w:after="0" w:line="337"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2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For</w:t>
            </w:r>
          </w:p>
        </w:tc>
        <w:tc>
          <w:tcPr>
            <w:tcW w:w="30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Against</w:t>
            </w:r>
          </w:p>
        </w:tc>
        <w:tc>
          <w:tcPr>
            <w:tcW w:w="21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Abstain</w:t>
            </w:r>
          </w:p>
        </w:tc>
        <w:tc>
          <w:tcPr>
            <w:tcW w:w="292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19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37"/>
        </w:trPr>
        <w:tc>
          <w:tcPr>
            <w:tcW w:w="19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121,402,753</w:t>
            </w:r>
          </w:p>
        </w:tc>
        <w:tc>
          <w:tcPr>
            <w:tcW w:w="320" w:type="dxa"/>
            <w:vAlign w:val="bottom"/>
            <w:shd w:val="clear" w:color="auto" w:fill="CCEEFF"/>
          </w:tcPr>
          <w:p>
            <w:pPr>
              <w:spacing w:after="0"/>
              <w:rPr>
                <w:sz w:val="20"/>
                <w:szCs w:val="20"/>
                <w:color w:val="auto"/>
              </w:rPr>
            </w:pPr>
          </w:p>
        </w:tc>
        <w:tc>
          <w:tcPr>
            <w:tcW w:w="26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13,858,563</w:t>
            </w:r>
          </w:p>
        </w:tc>
        <w:tc>
          <w:tcPr>
            <w:tcW w:w="400" w:type="dxa"/>
            <w:vAlign w:val="bottom"/>
            <w:shd w:val="clear" w:color="auto" w:fill="CCEEFF"/>
          </w:tcPr>
          <w:p>
            <w:pPr>
              <w:spacing w:after="0"/>
              <w:rPr>
                <w:sz w:val="20"/>
                <w:szCs w:val="20"/>
                <w:color w:val="auto"/>
              </w:rPr>
            </w:pPr>
          </w:p>
        </w:tc>
        <w:tc>
          <w:tcPr>
            <w:tcW w:w="214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292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23,381,450</w:t>
            </w:r>
          </w:p>
        </w:tc>
      </w:tr>
      <w:tr>
        <w:trPr>
          <w:trHeight w:val="27"/>
        </w:trPr>
        <w:tc>
          <w:tcPr>
            <w:tcW w:w="1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490" w:right="339" w:bottom="1440" w:gutter="0" w:footer="0" w:header="0"/>
        </w:sectPr>
      </w:pPr>
    </w:p>
    <w:bookmarkStart w:id="2" w:name="page3"/>
    <w:bookmarkEnd w:id="2"/>
    <w:p>
      <w:pPr>
        <w:spacing w:after="0" w:line="247" w:lineRule="auto"/>
        <w:rPr>
          <w:sz w:val="20"/>
          <w:szCs w:val="20"/>
          <w:color w:val="auto"/>
        </w:rPr>
      </w:pPr>
      <w:r>
        <w:rPr>
          <w:rFonts w:ascii="Arial" w:cs="Arial" w:eastAsia="Arial" w:hAnsi="Arial"/>
          <w:sz w:val="22"/>
          <w:szCs w:val="22"/>
          <w:color w:val="auto"/>
        </w:rPr>
        <w:t>Proposal 5 - To approve a consolidation or reverse share split of the issued and outstanding common shares of Civeo, whereby, at the discretion of our board of directors, the outstanding common shares would be combined, converted and changed into a lesser number of common shares at a ratio to be selected by our board of directors in the range of 1:10 to 1:25, and a related amendment to our Notice of Articles to effect a proportional reduction in the number of authorized common shares based on the selected reverse share split ratio (rounded up to the nearest integral multiple of 1,000,000), effective upon implementation of the reverse share split:</w:t>
      </w:r>
    </w:p>
    <w:p>
      <w:pPr>
        <w:spacing w:after="0" w:line="345"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2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For</w:t>
            </w:r>
          </w:p>
        </w:tc>
        <w:tc>
          <w:tcPr>
            <w:tcW w:w="30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Against</w:t>
            </w:r>
          </w:p>
        </w:tc>
        <w:tc>
          <w:tcPr>
            <w:tcW w:w="21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Abstain</w:t>
            </w:r>
          </w:p>
        </w:tc>
        <w:tc>
          <w:tcPr>
            <w:tcW w:w="292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19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37"/>
        </w:trPr>
        <w:tc>
          <w:tcPr>
            <w:tcW w:w="19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157,553,214</w:t>
            </w:r>
          </w:p>
        </w:tc>
        <w:tc>
          <w:tcPr>
            <w:tcW w:w="320" w:type="dxa"/>
            <w:vAlign w:val="bottom"/>
            <w:shd w:val="clear" w:color="auto" w:fill="CCEEFF"/>
          </w:tcPr>
          <w:p>
            <w:pPr>
              <w:spacing w:after="0"/>
              <w:rPr>
                <w:sz w:val="20"/>
                <w:szCs w:val="20"/>
                <w:color w:val="auto"/>
              </w:rPr>
            </w:pPr>
          </w:p>
        </w:tc>
        <w:tc>
          <w:tcPr>
            <w:tcW w:w="262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1,089,550</w:t>
            </w:r>
          </w:p>
        </w:tc>
        <w:tc>
          <w:tcPr>
            <w:tcW w:w="400" w:type="dxa"/>
            <w:vAlign w:val="bottom"/>
            <w:shd w:val="clear" w:color="auto" w:fill="CCEEFF"/>
          </w:tcPr>
          <w:p>
            <w:pPr>
              <w:spacing w:after="0"/>
              <w:rPr>
                <w:sz w:val="20"/>
                <w:szCs w:val="20"/>
                <w:color w:val="auto"/>
              </w:rPr>
            </w:pPr>
          </w:p>
        </w:tc>
        <w:tc>
          <w:tcPr>
            <w:tcW w:w="214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292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rPr>
              <w:t>2</w:t>
            </w:r>
          </w:p>
        </w:tc>
      </w:tr>
      <w:tr>
        <w:trPr>
          <w:trHeight w:val="27"/>
        </w:trPr>
        <w:tc>
          <w:tcPr>
            <w:tcW w:w="1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r>
    </w:tbl>
    <w:p>
      <w:pPr>
        <w:sectPr>
          <w:pgSz w:w="11900" w:h="16838" w:orient="portrait"/>
          <w:cols w:equalWidth="0" w:num="1">
            <w:col w:w="11220"/>
          </w:cols>
          <w:pgMar w:left="320" w:top="348"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310"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5040" w:type="dxa"/>
            <w:vAlign w:val="bottom"/>
            <w:gridSpan w:val="3"/>
          </w:tcPr>
          <w:p>
            <w:pPr>
              <w:ind w:left="1360"/>
              <w:spacing w:after="0"/>
              <w:rPr>
                <w:sz w:val="20"/>
                <w:szCs w:val="20"/>
                <w:color w:val="auto"/>
              </w:rPr>
            </w:pPr>
            <w:r>
              <w:rPr>
                <w:rFonts w:ascii="Arial" w:cs="Arial" w:eastAsia="Arial" w:hAnsi="Arial"/>
                <w:sz w:val="18"/>
                <w:szCs w:val="18"/>
                <w:b w:val="1"/>
                <w:bCs w:val="1"/>
                <w:color w:val="auto"/>
              </w:rPr>
              <w:t>Civeo Corporation</w:t>
            </w:r>
          </w:p>
        </w:tc>
      </w:tr>
      <w:tr>
        <w:trPr>
          <w:trHeight w:val="851"/>
        </w:trPr>
        <w:tc>
          <w:tcPr>
            <w:tcW w:w="2900" w:type="dxa"/>
            <w:vAlign w:val="bottom"/>
          </w:tcPr>
          <w:p>
            <w:pPr>
              <w:spacing w:after="0"/>
              <w:rPr>
                <w:sz w:val="20"/>
                <w:szCs w:val="20"/>
                <w:color w:val="auto"/>
              </w:rPr>
            </w:pPr>
            <w:r>
              <w:rPr>
                <w:rFonts w:ascii="Arial" w:cs="Arial" w:eastAsia="Arial" w:hAnsi="Arial"/>
                <w:sz w:val="18"/>
                <w:szCs w:val="18"/>
                <w:color w:val="auto"/>
              </w:rPr>
              <w:t>Dated: June 11, 2020</w:t>
            </w:r>
          </w:p>
        </w:tc>
        <w:tc>
          <w:tcPr>
            <w:tcW w:w="2280" w:type="dxa"/>
            <w:vAlign w:val="bottom"/>
          </w:tcPr>
          <w:p>
            <w:pPr>
              <w:ind w:left="1360"/>
              <w:spacing w:after="0"/>
              <w:rPr>
                <w:sz w:val="20"/>
                <w:szCs w:val="20"/>
                <w:color w:val="auto"/>
              </w:rPr>
            </w:pPr>
            <w:r>
              <w:rPr>
                <w:rFonts w:ascii="Arial" w:cs="Arial" w:eastAsia="Arial" w:hAnsi="Arial"/>
                <w:sz w:val="18"/>
                <w:szCs w:val="18"/>
                <w:color w:val="auto"/>
              </w:rPr>
              <w:t>By:</w:t>
            </w:r>
          </w:p>
        </w:tc>
        <w:tc>
          <w:tcPr>
            <w:tcW w:w="2760" w:type="dxa"/>
            <w:vAlign w:val="bottom"/>
            <w:gridSpan w:val="2"/>
          </w:tcPr>
          <w:p>
            <w:pPr>
              <w:spacing w:after="0"/>
              <w:rPr>
                <w:sz w:val="20"/>
                <w:szCs w:val="20"/>
                <w:color w:val="auto"/>
              </w:rPr>
            </w:pPr>
            <w:r>
              <w:rPr>
                <w:rFonts w:ascii="Arial" w:cs="Arial" w:eastAsia="Arial" w:hAnsi="Arial"/>
                <w:sz w:val="18"/>
                <w:szCs w:val="18"/>
                <w:color w:val="auto"/>
              </w:rPr>
              <w:t>/s/ Carolyn J. Stone</w:t>
            </w:r>
          </w:p>
        </w:tc>
      </w:tr>
      <w:tr>
        <w:trPr>
          <w:trHeight w:val="318"/>
        </w:trPr>
        <w:tc>
          <w:tcPr>
            <w:tcW w:w="2900" w:type="dxa"/>
            <w:vAlign w:val="bottom"/>
          </w:tcPr>
          <w:p>
            <w:pPr>
              <w:spacing w:after="0"/>
              <w:rPr>
                <w:sz w:val="24"/>
                <w:szCs w:val="24"/>
                <w:color w:val="auto"/>
              </w:rPr>
            </w:pPr>
          </w:p>
        </w:tc>
        <w:tc>
          <w:tcPr>
            <w:tcW w:w="2280" w:type="dxa"/>
            <w:vAlign w:val="bottom"/>
          </w:tcPr>
          <w:p>
            <w:pPr>
              <w:ind w:left="1360"/>
              <w:spacing w:after="0"/>
              <w:rPr>
                <w:sz w:val="20"/>
                <w:szCs w:val="20"/>
                <w:color w:val="auto"/>
              </w:rPr>
            </w:pPr>
            <w:r>
              <w:rPr>
                <w:rFonts w:ascii="Arial" w:cs="Arial" w:eastAsia="Arial" w:hAnsi="Arial"/>
                <w:sz w:val="18"/>
                <w:szCs w:val="18"/>
                <w:color w:val="auto"/>
              </w:rPr>
              <w:t>Name:</w:t>
            </w: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Carolyn J. Stone</w:t>
            </w:r>
          </w:p>
        </w:tc>
        <w:tc>
          <w:tcPr>
            <w:tcW w:w="1360" w:type="dxa"/>
            <w:vAlign w:val="bottom"/>
          </w:tcPr>
          <w:p>
            <w:pPr>
              <w:spacing w:after="0"/>
              <w:rPr>
                <w:sz w:val="24"/>
                <w:szCs w:val="24"/>
                <w:color w:val="auto"/>
              </w:rPr>
            </w:pPr>
          </w:p>
        </w:tc>
      </w:tr>
      <w:tr>
        <w:trPr>
          <w:trHeight w:val="283"/>
        </w:trPr>
        <w:tc>
          <w:tcPr>
            <w:tcW w:w="29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w w:val="90"/>
              </w:rPr>
              <w:t>Senior Vice President, Chief Financial</w:t>
            </w:r>
          </w:p>
        </w:tc>
      </w:tr>
      <w:tr>
        <w:trPr>
          <w:trHeight w:val="230"/>
        </w:trPr>
        <w:tc>
          <w:tcPr>
            <w:tcW w:w="2900" w:type="dxa"/>
            <w:vAlign w:val="bottom"/>
          </w:tcPr>
          <w:p>
            <w:pPr>
              <w:spacing w:after="0"/>
              <w:rPr>
                <w:sz w:val="20"/>
                <w:szCs w:val="20"/>
                <w:color w:val="auto"/>
              </w:rPr>
            </w:pPr>
          </w:p>
        </w:tc>
        <w:tc>
          <w:tcPr>
            <w:tcW w:w="2280" w:type="dxa"/>
            <w:vAlign w:val="bottom"/>
          </w:tcPr>
          <w:p>
            <w:pPr>
              <w:ind w:left="1360"/>
              <w:spacing w:after="0"/>
              <w:rPr>
                <w:sz w:val="20"/>
                <w:szCs w:val="20"/>
                <w:color w:val="auto"/>
              </w:rPr>
            </w:pPr>
            <w:r>
              <w:rPr>
                <w:rFonts w:ascii="Arial" w:cs="Arial" w:eastAsia="Arial" w:hAnsi="Arial"/>
                <w:sz w:val="18"/>
                <w:szCs w:val="18"/>
                <w:color w:val="auto"/>
              </w:rPr>
              <w:t>Title:</w:t>
            </w:r>
          </w:p>
        </w:tc>
        <w:tc>
          <w:tcPr>
            <w:tcW w:w="2760" w:type="dxa"/>
            <w:vAlign w:val="bottom"/>
            <w:gridSpan w:val="2"/>
          </w:tcPr>
          <w:p>
            <w:pPr>
              <w:spacing w:after="0"/>
              <w:rPr>
                <w:sz w:val="20"/>
                <w:szCs w:val="20"/>
                <w:color w:val="auto"/>
              </w:rPr>
            </w:pPr>
            <w:r>
              <w:rPr>
                <w:rFonts w:ascii="Arial" w:cs="Arial" w:eastAsia="Arial" w:hAnsi="Arial"/>
                <w:sz w:val="18"/>
                <w:szCs w:val="18"/>
                <w:color w:val="auto"/>
              </w:rPr>
              <w:t>Officer and Treasurer</w:t>
            </w: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2020-06-11T15:32:09Z</dcterms:created>
  <dcterms:modified xsi:type="dcterms:W3CDTF">2020-06-11T15:32:09Z</dcterms:modified>
</cp:coreProperties>
</file>