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color w:val="auto"/>
        </w:rPr>
        <w:t>SECURITIES AND EXCHANGE COMMISSION</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Washington, D.C. 20549</w:t>
      </w:r>
    </w:p>
    <w:p>
      <w:pPr>
        <w:spacing w:after="0" w:line="16"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_______________</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SCHEDULE 13D</w:t>
      </w:r>
    </w:p>
    <w:p>
      <w:pPr>
        <w:spacing w:after="0" w:line="229" w:lineRule="exact"/>
        <w:rPr>
          <w:sz w:val="24"/>
          <w:szCs w:val="24"/>
          <w:color w:val="auto"/>
        </w:rPr>
      </w:pPr>
    </w:p>
    <w:p>
      <w:pPr>
        <w:jc w:val="center"/>
        <w:ind w:left="480" w:right="22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178787107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Marc Weingarten, Esq.</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Eleazer Klein, Esq.</w:t>
      </w:r>
    </w:p>
    <w:p>
      <w:pPr>
        <w:jc w:val="center"/>
        <w:ind w:right="-219"/>
        <w:spacing w:after="0"/>
        <w:rPr>
          <w:sz w:val="20"/>
          <w:szCs w:val="20"/>
          <w:color w:val="auto"/>
        </w:rPr>
      </w:pPr>
      <w:r>
        <w:rPr>
          <w:rFonts w:ascii="Arial" w:cs="Arial" w:eastAsia="Arial" w:hAnsi="Arial"/>
          <w:sz w:val="20"/>
          <w:szCs w:val="20"/>
          <w:color w:val="auto"/>
        </w:rPr>
        <w:t>919 Third Avenue</w:t>
      </w:r>
    </w:p>
    <w:p>
      <w:pPr>
        <w:jc w:val="center"/>
        <w:ind w:right="-219"/>
        <w:spacing w:after="0"/>
        <w:rPr>
          <w:sz w:val="20"/>
          <w:szCs w:val="20"/>
          <w:color w:val="auto"/>
        </w:rPr>
      </w:pPr>
      <w:r>
        <w:rPr>
          <w:rFonts w:ascii="Arial" w:cs="Arial" w:eastAsia="Arial" w:hAnsi="Arial"/>
          <w:sz w:val="20"/>
          <w:szCs w:val="20"/>
          <w:color w:val="auto"/>
        </w:rPr>
        <w:t>New York, New York 10022</w:t>
      </w:r>
    </w:p>
    <w:p>
      <w:pPr>
        <w:jc w:val="center"/>
        <w:ind w:right="-21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ind w:left="5160"/>
        <w:spacing w:after="0"/>
        <w:rPr>
          <w:sz w:val="20"/>
          <w:szCs w:val="20"/>
          <w:color w:val="auto"/>
        </w:rPr>
      </w:pPr>
      <w:r>
        <w:rPr>
          <w:rFonts w:ascii="Arial" w:cs="Arial" w:eastAsia="Arial" w:hAnsi="Arial"/>
          <w:sz w:val="20"/>
          <w:szCs w:val="20"/>
          <w:color w:val="auto"/>
        </w:rPr>
        <w:t>May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0"/>
          <w:szCs w:val="20"/>
          <w:color w:val="auto"/>
        </w:rPr>
        <w:t>(Date of Event which Requires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Filing of this Schedule)</w:t>
      </w:r>
    </w:p>
    <w:p>
      <w:pPr>
        <w:spacing w:after="0" w:line="213"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84" w:lineRule="exact"/>
        <w:rPr>
          <w:sz w:val="24"/>
          <w:szCs w:val="24"/>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 Rule 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(Continued on following pages)</w:t>
      </w: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(Page 1 of 5 Pages)</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w:t>
      </w:r>
    </w:p>
    <w:p>
      <w:pPr>
        <w:spacing w:after="0" w:line="16" w:lineRule="exact"/>
        <w:rPr>
          <w:sz w:val="24"/>
          <w:szCs w:val="24"/>
          <w:color w:val="auto"/>
        </w:rPr>
      </w:pPr>
    </w:p>
    <w:p>
      <w:pPr>
        <w:jc w:val="both"/>
        <w:spacing w:after="0" w:line="241"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460"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178787107</w:t>
            </w:r>
          </w:p>
        </w:tc>
        <w:tc>
          <w:tcPr>
            <w:tcW w:w="6440" w:type="dxa"/>
            <w:vAlign w:val="bottom"/>
          </w:tcPr>
          <w:p>
            <w:pPr>
              <w:ind w:left="3200"/>
              <w:spacing w:after="0"/>
              <w:rPr>
                <w:sz w:val="20"/>
                <w:szCs w:val="20"/>
                <w:color w:val="auto"/>
              </w:rPr>
            </w:pPr>
            <w:r>
              <w:rPr>
                <w:rFonts w:ascii="Arial" w:cs="Arial" w:eastAsia="Arial" w:hAnsi="Arial"/>
                <w:sz w:val="18"/>
                <w:szCs w:val="18"/>
                <w:b w:val="1"/>
                <w:bCs w:val="1"/>
                <w:color w:val="auto"/>
              </w:rPr>
              <w:t>SCHEDULE 13D</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5 Pages</w:t>
            </w:r>
          </w:p>
        </w:tc>
        <w:tc>
          <w:tcPr>
            <w:tcW w:w="0" w:type="dxa"/>
            <w:vAlign w:val="bottom"/>
          </w:tcPr>
          <w:p>
            <w:pPr>
              <w:spacing w:after="0"/>
              <w:rPr>
                <w:sz w:val="1"/>
                <w:szCs w:val="1"/>
                <w:color w:val="auto"/>
              </w:rPr>
            </w:pPr>
          </w:p>
        </w:tc>
      </w:tr>
      <w:tr>
        <w:trPr>
          <w:trHeight w:val="446"/>
        </w:trPr>
        <w:tc>
          <w:tcPr>
            <w:tcW w:w="18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4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40" w:type="dxa"/>
            <w:vAlign w:val="bottom"/>
            <w:vMerge w:val="restart"/>
          </w:tcPr>
          <w:p>
            <w:pPr>
              <w:ind w:left="460"/>
              <w:spacing w:after="0"/>
              <w:rPr>
                <w:sz w:val="20"/>
                <w:szCs w:val="20"/>
                <w:color w:val="auto"/>
              </w:rPr>
            </w:pPr>
            <w:r>
              <w:rPr>
                <w:rFonts w:ascii="Arial" w:cs="Arial" w:eastAsia="Arial" w:hAnsi="Arial"/>
                <w:sz w:val="20"/>
                <w:szCs w:val="20"/>
                <w:color w:val="auto"/>
              </w:rPr>
              <w:t>JANA PARTNERS LLC</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4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4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4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36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360035"/>
                    </a:xfrm>
                    <a:prstGeom prst="rect">
                      <a:avLst/>
                    </a:prstGeom>
                    <a:noFill/>
                  </pic:spPr>
                </pic:pic>
              </a:graphicData>
            </a:graphic>
          </wp:anchor>
        </w:drawing>
      </w:r>
    </w:p>
    <w:p>
      <w:pPr>
        <w:ind w:left="1960" w:hanging="1099"/>
        <w:spacing w:after="0" w:line="182" w:lineRule="auto"/>
        <w:tabs>
          <w:tab w:leader="none" w:pos="1960" w:val="left"/>
        </w:tabs>
        <w:numPr>
          <w:ilvl w:val="0"/>
          <w:numId w:val="1"/>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Delaware</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12,241,760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12,241,760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12,241,760</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11.5%</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IA</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3 of 5 Pages</w:t>
      </w:r>
    </w:p>
    <w:p>
      <w:pPr>
        <w:spacing w:after="0" w:line="200" w:lineRule="exact"/>
        <w:rPr>
          <w:sz w:val="20"/>
          <w:szCs w:val="20"/>
          <w:color w:val="auto"/>
        </w:rPr>
      </w:pPr>
    </w:p>
    <w:p>
      <w:pPr>
        <w:spacing w:after="0" w:line="250"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235"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This statement on Schedule 13D relates to the shares ("</w:t>
      </w:r>
      <w:r>
        <w:rPr>
          <w:rFonts w:ascii="Arial" w:cs="Arial" w:eastAsia="Arial" w:hAnsi="Arial"/>
          <w:sz w:val="20"/>
          <w:szCs w:val="20"/>
          <w:u w:val="single" w:color="auto"/>
          <w:color w:val="auto"/>
        </w:rPr>
        <w:t>Shares</w:t>
      </w:r>
      <w:r>
        <w:rPr>
          <w:rFonts w:ascii="Arial" w:cs="Arial" w:eastAsia="Arial" w:hAnsi="Arial"/>
          <w:sz w:val="20"/>
          <w:szCs w:val="20"/>
          <w:color w:val="auto"/>
        </w:rPr>
        <w:t>") of common stock, par value $0.01 per share, of Civeo Corporation, a Delaware corporation (the "</w:t>
      </w:r>
      <w:r>
        <w:rPr>
          <w:rFonts w:ascii="Arial" w:cs="Arial" w:eastAsia="Arial" w:hAnsi="Arial"/>
          <w:sz w:val="20"/>
          <w:szCs w:val="20"/>
          <w:u w:val="single" w:color="auto"/>
          <w:color w:val="auto"/>
        </w:rPr>
        <w:t>Issuer</w:t>
      </w:r>
      <w:r>
        <w:rPr>
          <w:rFonts w:ascii="Arial" w:cs="Arial" w:eastAsia="Arial" w:hAnsi="Arial"/>
          <w:sz w:val="20"/>
          <w:szCs w:val="20"/>
          <w:color w:val="auto"/>
        </w:rPr>
        <w:t>"). The principal executive office of the Issuer is located at Three Allen Center, 333 Clay Street, Suite 4980, Houston, Texas 77002.</w:t>
      </w:r>
    </w:p>
    <w:p>
      <w:pPr>
        <w:spacing w:after="0" w:line="180"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20"/>
          <w:szCs w:val="20"/>
          <w:b w:val="1"/>
          <w:bCs w:val="1"/>
          <w:color w:val="auto"/>
        </w:rPr>
        <w:t>IDENTITY AND BACKGROUND.</w:t>
      </w:r>
    </w:p>
    <w:p>
      <w:pPr>
        <w:spacing w:after="0" w:line="235" w:lineRule="exact"/>
        <w:rPr>
          <w:sz w:val="20"/>
          <w:szCs w:val="20"/>
          <w:color w:val="auto"/>
        </w:rPr>
      </w:pPr>
    </w:p>
    <w:p>
      <w:pPr>
        <w:jc w:val="both"/>
        <w:ind w:right="500" w:firstLine="656"/>
        <w:spacing w:after="0" w:line="269" w:lineRule="auto"/>
        <w:tabs>
          <w:tab w:leader="none" w:pos="917"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statement is filed by JANA Partners LLC, a Delaware limited liability company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 The Reporting Person is a private money management firm which holds Shares of the Issuer in various accounts under its management and control. The principal owner of the Reporting Person is Barry Rosenstein ("</w:t>
      </w:r>
      <w:r>
        <w:rPr>
          <w:rFonts w:ascii="Arial" w:cs="Arial" w:eastAsia="Arial" w:hAnsi="Arial"/>
          <w:sz w:val="19"/>
          <w:szCs w:val="19"/>
          <w:u w:val="single" w:color="auto"/>
          <w:color w:val="auto"/>
        </w:rPr>
        <w:t>Mr. Rosenstein</w:t>
      </w:r>
      <w:r>
        <w:rPr>
          <w:rFonts w:ascii="Arial" w:cs="Arial" w:eastAsia="Arial" w:hAnsi="Arial"/>
          <w:sz w:val="19"/>
          <w:szCs w:val="19"/>
          <w:color w:val="auto"/>
        </w:rPr>
        <w:t>" or the "</w:t>
      </w:r>
      <w:r>
        <w:rPr>
          <w:rFonts w:ascii="Arial" w:cs="Arial" w:eastAsia="Arial" w:hAnsi="Arial"/>
          <w:sz w:val="19"/>
          <w:szCs w:val="19"/>
          <w:u w:val="single" w:color="auto"/>
          <w:color w:val="auto"/>
        </w:rPr>
        <w:t>Principal</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 and the Principal is 767 Fifth Avenue, 8th Floor, New York, New York</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10153.</w:t>
      </w:r>
    </w:p>
    <w:p>
      <w:pPr>
        <w:spacing w:after="0" w:line="199"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principal business of the Reporting Person and the Principal is investing for accounts under their management.</w:t>
      </w:r>
    </w:p>
    <w:p>
      <w:pPr>
        <w:spacing w:after="0" w:line="215" w:lineRule="exact"/>
        <w:rPr>
          <w:rFonts w:ascii="Arial" w:cs="Arial" w:eastAsia="Arial" w:hAnsi="Arial"/>
          <w:sz w:val="20"/>
          <w:szCs w:val="20"/>
          <w:color w:val="auto"/>
        </w:rPr>
      </w:pPr>
    </w:p>
    <w:p>
      <w:pPr>
        <w:ind w:right="260" w:firstLine="656"/>
        <w:spacing w:after="0" w:line="260" w:lineRule="auto"/>
        <w:tabs>
          <w:tab w:leader="none" w:pos="929" w:val="left"/>
        </w:tabs>
        <w:numPr>
          <w:ilvl w:val="0"/>
          <w:numId w:val="2"/>
        </w:numPr>
        <w:rPr>
          <w:rFonts w:ascii="Arial" w:cs="Arial" w:eastAsia="Arial" w:hAnsi="Arial"/>
          <w:sz w:val="20"/>
          <w:szCs w:val="20"/>
          <w:color w:val="auto"/>
        </w:rPr>
      </w:pPr>
      <w:r>
        <w:rPr>
          <w:rFonts w:ascii="Arial" w:cs="Arial" w:eastAsia="Arial" w:hAnsi="Arial"/>
          <w:sz w:val="20"/>
          <w:szCs w:val="20"/>
          <w:color w:val="auto"/>
        </w:rPr>
        <w:t>Neither the Reporting Person nor the Principal has, during the last five years,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right="60" w:firstLine="656"/>
        <w:spacing w:after="0" w:line="246" w:lineRule="auto"/>
        <w:tabs>
          <w:tab w:leader="none" w:pos="917" w:val="left"/>
        </w:tabs>
        <w:numPr>
          <w:ilvl w:val="0"/>
          <w:numId w:val="2"/>
        </w:numPr>
        <w:rPr>
          <w:rFonts w:ascii="Arial" w:cs="Arial" w:eastAsia="Arial" w:hAnsi="Arial"/>
          <w:sz w:val="20"/>
          <w:szCs w:val="20"/>
          <w:color w:val="auto"/>
        </w:rPr>
      </w:pPr>
      <w:r>
        <w:rPr>
          <w:rFonts w:ascii="Arial" w:cs="Arial" w:eastAsia="Arial" w:hAnsi="Arial"/>
          <w:sz w:val="20"/>
          <w:szCs w:val="20"/>
          <w:color w:val="auto"/>
        </w:rPr>
        <w:t>Neither the Reporting Person nor the Principal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1" w:lineRule="exact"/>
        <w:rPr>
          <w:rFonts w:ascii="Arial" w:cs="Arial" w:eastAsia="Arial" w:hAnsi="Arial"/>
          <w:sz w:val="20"/>
          <w:szCs w:val="20"/>
          <w:color w:val="auto"/>
        </w:rPr>
      </w:pPr>
    </w:p>
    <w:p>
      <w:pPr>
        <w:ind w:left="900" w:hanging="244"/>
        <w:spacing w:after="0"/>
        <w:tabs>
          <w:tab w:leader="none" w:pos="9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Reporting Person is a limited liability company organized in Delaware. The Principal is a citizen of the United States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America.</w:t>
      </w:r>
    </w:p>
    <w:p>
      <w:pPr>
        <w:spacing w:after="0" w:line="200" w:lineRule="exact"/>
        <w:rPr>
          <w:sz w:val="20"/>
          <w:szCs w:val="20"/>
          <w:color w:val="auto"/>
        </w:rPr>
      </w:pPr>
    </w:p>
    <w:p>
      <w:pPr>
        <w:spacing w:after="0" w:line="223"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5"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20"/>
          <w:szCs w:val="20"/>
          <w:color w:val="auto"/>
        </w:rPr>
        <w:t>The 12,241,760 Shares reported herein by the Reporting Person were acquired in a spin-off of the Issuer from Oil States International, Inc. ("</w:t>
      </w:r>
      <w:r>
        <w:rPr>
          <w:rFonts w:ascii="Arial" w:cs="Arial" w:eastAsia="Arial" w:hAnsi="Arial"/>
          <w:sz w:val="20"/>
          <w:szCs w:val="20"/>
          <w:u w:val="single" w:color="auto"/>
          <w:color w:val="auto"/>
        </w:rPr>
        <w:t>Oil States</w:t>
      </w:r>
      <w:r>
        <w:rPr>
          <w:rFonts w:ascii="Arial" w:cs="Arial" w:eastAsia="Arial" w:hAnsi="Arial"/>
          <w:sz w:val="20"/>
          <w:szCs w:val="20"/>
          <w:color w:val="auto"/>
        </w:rPr>
        <w:t>"). On May 30, 2014, pursuant to the spin-off, each of Oil States' shareholders received two Shares for each share of Oil States common stock held by such shareholder as of the close of business on May 21, 2014.</w:t>
      </w:r>
    </w:p>
    <w:p>
      <w:pPr>
        <w:spacing w:after="0" w:line="194"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The Reporting Person acquired the Shares in a spin-off of the Issuer from Oil States and believes that the Shares are undervalued and represent an attractive investment opportunity. The Reporting Person has had and may continue to have discussions with the Issuer’s management regarding a potential REIT conversion, the Issuer’s capital structure and capital allocation policy, strategic acquisition strategy, corporate structure and assets, and board composition. The Reporting Person may also seek to discuss other topics including management, strategy and future plans. The Reporting Person expects to continue to have such discussions with the Issuer’s management as well as with the Issuer’s board of directors, shareholders and other parties relating to such matters, and may take other steps seeking to bring about changes to increase shareholder value as well as pursue other plans or proposals that relate to or would result in any of the matters set forth in subparagraphs (a)-(j) of Item 4 of Schedule 13D.</w:t>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5 Pages</w:t>
      </w:r>
    </w:p>
    <w:p>
      <w:pPr>
        <w:spacing w:after="0" w:line="200" w:lineRule="exact"/>
        <w:rPr>
          <w:sz w:val="20"/>
          <w:szCs w:val="20"/>
          <w:color w:val="auto"/>
        </w:rPr>
      </w:pP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Except as set forth herein or as would occur upon completion of any of the actions discussed herein, including in any Exhibits hereto, the Reporting Person has no present plan or proposal that would relate to or result in any of the matters set forth in subparagraphs (a)-(j) of Item 4 of Schedule 13D. Depending on various factors including, without limitation, the Issuer's financial position and strategic direction, the outcome of the discussions and actions referenced above, actions taken by the board of directors, price levels of the Shares, other investment opportunities available to the Reporting Person, conditions in the securities market and general economic and industry conditions, the Reporting Person may in the future take such actions with respect to its investment in the Issuer as it deems appropriate including, without limitation, purchasing additional Shares or selling some or all of its Shares, engaging in short selling of or any hedging or similar transactions with respect to the Shares and/or otherwise changing its intention with respect to any and all matters referred in Item 4 of Schedule 13D.</w:t>
      </w:r>
    </w:p>
    <w:p>
      <w:pPr>
        <w:spacing w:after="0" w:line="177"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INTEREST IN SECURITIES OF THE COMPANY.</w:t>
      </w:r>
    </w:p>
    <w:p>
      <w:pPr>
        <w:spacing w:after="0" w:line="235" w:lineRule="exact"/>
        <w:rPr>
          <w:sz w:val="20"/>
          <w:szCs w:val="20"/>
          <w:color w:val="auto"/>
        </w:rPr>
      </w:pPr>
    </w:p>
    <w:p>
      <w:pPr>
        <w:ind w:right="20" w:firstLine="656"/>
        <w:spacing w:after="0" w:line="250" w:lineRule="auto"/>
        <w:tabs>
          <w:tab w:leader="none" w:pos="917"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aggregate percentage of Shares reported to be beneficially owned by the Reporting Person is based upon 106,112,722 Shares outstanding, which is the total number of Shares expected to be issued in the spin-off discussed in Item 3, as reported in the Issuer's Information Statement filed on May 8, 2014.</w:t>
      </w:r>
    </w:p>
    <w:p>
      <w:pPr>
        <w:spacing w:after="0" w:line="186"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At the close of business on June 9, 2014, the Reporting Person may be deemed to beneficially own 12,241,760 Shares, constituting approximately 11.5% of the Shares outstanding.</w:t>
      </w:r>
    </w:p>
    <w:p>
      <w:pPr>
        <w:spacing w:after="0" w:line="177"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Reporting Person has sole voting and dispositive powers over 12,241,760 Shares, which powers are exercised by the Principal.</w:t>
      </w:r>
    </w:p>
    <w:p>
      <w:pPr>
        <w:spacing w:after="0" w:line="261" w:lineRule="exact"/>
        <w:rPr>
          <w:rFonts w:ascii="Arial" w:cs="Arial" w:eastAsia="Arial" w:hAnsi="Arial"/>
          <w:sz w:val="16"/>
          <w:szCs w:val="16"/>
          <w:color w:val="auto"/>
        </w:rPr>
      </w:pPr>
    </w:p>
    <w:p>
      <w:pPr>
        <w:ind w:right="40" w:firstLine="656"/>
        <w:spacing w:after="0" w:line="260" w:lineRule="auto"/>
        <w:tabs>
          <w:tab w:leader="none" w:pos="917" w:val="left"/>
        </w:tabs>
        <w:numPr>
          <w:ilvl w:val="0"/>
          <w:numId w:val="4"/>
        </w:numPr>
        <w:rPr>
          <w:rFonts w:ascii="Arial" w:cs="Arial" w:eastAsia="Arial" w:hAnsi="Arial"/>
          <w:sz w:val="20"/>
          <w:szCs w:val="20"/>
          <w:color w:val="auto"/>
        </w:rPr>
      </w:pPr>
      <w:r>
        <w:rPr>
          <w:rFonts w:ascii="Arial" w:cs="Arial" w:eastAsia="Arial" w:hAnsi="Arial"/>
          <w:sz w:val="20"/>
          <w:szCs w:val="20"/>
          <w:color w:val="auto"/>
        </w:rPr>
        <w:t>Information concerning transactions in the Shares effected during the past sixty days is set forth in Item 3 and is incorporated herein by reference.</w:t>
      </w:r>
    </w:p>
    <w:p>
      <w:pPr>
        <w:spacing w:after="0" w:line="176" w:lineRule="exact"/>
        <w:rPr>
          <w:rFonts w:ascii="Arial" w:cs="Arial" w:eastAsia="Arial" w:hAnsi="Arial"/>
          <w:sz w:val="20"/>
          <w:szCs w:val="20"/>
          <w:color w:val="auto"/>
        </w:rPr>
      </w:pPr>
    </w:p>
    <w:p>
      <w:pPr>
        <w:ind w:right="360" w:firstLine="656"/>
        <w:spacing w:after="0" w:line="260" w:lineRule="auto"/>
        <w:tabs>
          <w:tab w:leader="none" w:pos="929" w:val="left"/>
        </w:tabs>
        <w:numPr>
          <w:ilvl w:val="0"/>
          <w:numId w:val="4"/>
        </w:numPr>
        <w:rPr>
          <w:rFonts w:ascii="Arial" w:cs="Arial" w:eastAsia="Arial" w:hAnsi="Arial"/>
          <w:sz w:val="20"/>
          <w:szCs w:val="20"/>
          <w:color w:val="auto"/>
        </w:rPr>
      </w:pPr>
      <w:r>
        <w:rPr>
          <w:rFonts w:ascii="Arial" w:cs="Arial" w:eastAsia="Arial" w:hAnsi="Arial"/>
          <w:sz w:val="20"/>
          <w:szCs w:val="20"/>
          <w:color w:val="auto"/>
        </w:rPr>
        <w:t>No person (other than the Reporting Person) is known to have the right to receive or the power to direct the receipt of dividends from, or the proceeds from the sale of, the Shares.</w:t>
      </w:r>
    </w:p>
    <w:p>
      <w:pPr>
        <w:spacing w:after="0" w:line="176" w:lineRule="exact"/>
        <w:rPr>
          <w:rFonts w:ascii="Arial" w:cs="Arial" w:eastAsia="Arial" w:hAnsi="Arial"/>
          <w:sz w:val="20"/>
          <w:szCs w:val="20"/>
          <w:color w:val="auto"/>
        </w:rPr>
      </w:pPr>
    </w:p>
    <w:p>
      <w:pPr>
        <w:ind w:left="920" w:hanging="264"/>
        <w:spacing w:after="0"/>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360" w:right="1160" w:hanging="1255"/>
        <w:spacing w:after="0" w:line="267" w:lineRule="auto"/>
        <w:tabs>
          <w:tab w:leader="none" w:pos="13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CONTRACTS, ARRANGEMENTS, UNDERSTANDINGS OR RELATIONSHIPS WITH RESPECT TO SECURITIES OF THE ISSUER.</w:t>
      </w:r>
    </w:p>
    <w:p>
      <w:pPr>
        <w:spacing w:after="0" w:line="183" w:lineRule="exact"/>
        <w:rPr>
          <w:sz w:val="20"/>
          <w:szCs w:val="20"/>
          <w:color w:val="auto"/>
        </w:rPr>
      </w:pPr>
    </w:p>
    <w:p>
      <w:pPr>
        <w:ind w:right="540" w:firstLine="648"/>
        <w:spacing w:after="0" w:line="260" w:lineRule="auto"/>
        <w:rPr>
          <w:sz w:val="20"/>
          <w:szCs w:val="20"/>
          <w:color w:val="auto"/>
        </w:rPr>
      </w:pPr>
      <w:r>
        <w:rPr>
          <w:rFonts w:ascii="Arial" w:cs="Arial" w:eastAsia="Arial" w:hAnsi="Arial"/>
          <w:sz w:val="20"/>
          <w:szCs w:val="20"/>
          <w:color w:val="auto"/>
        </w:rPr>
        <w:t>The Reporting Person does not have any contract, arrangement, understanding or relationship with any person with respect to the securities of the Issuer.</w:t>
      </w:r>
    </w:p>
    <w:p>
      <w:pPr>
        <w:spacing w:after="0" w:line="171"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MATERIAL TO BE FILED AS EXHIBITS.</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5 Pages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June 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JANA PARTNERS LLC</w:t>
      </w:r>
    </w:p>
    <w:p>
      <w:pPr>
        <w:spacing w:after="0" w:line="200" w:lineRule="exact"/>
        <w:rPr>
          <w:sz w:val="20"/>
          <w:szCs w:val="20"/>
          <w:color w:val="auto"/>
        </w:rPr>
      </w:pPr>
    </w:p>
    <w:p>
      <w:pPr>
        <w:spacing w:after="0" w:line="258" w:lineRule="exact"/>
        <w:rPr>
          <w:sz w:val="20"/>
          <w:szCs w:val="20"/>
          <w:color w:val="auto"/>
        </w:rPr>
      </w:pPr>
    </w:p>
    <w:tbl>
      <w:tblPr>
        <w:tblLayout w:type="fixed"/>
        <w:tblInd w:w="696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gridSpan w:val="2"/>
          </w:tcPr>
          <w:p>
            <w:pPr>
              <w:ind w:left="200"/>
              <w:spacing w:after="0"/>
              <w:rPr>
                <w:sz w:val="20"/>
                <w:szCs w:val="20"/>
                <w:color w:val="auto"/>
              </w:rPr>
            </w:pPr>
            <w:r>
              <w:rPr>
                <w:rFonts w:ascii="Arial" w:cs="Arial" w:eastAsia="Arial" w:hAnsi="Arial"/>
                <w:sz w:val="20"/>
                <w:szCs w:val="20"/>
                <w:color w:val="auto"/>
              </w:rPr>
              <w:t>/s/ Jennifer Fanjiang</w:t>
            </w:r>
          </w:p>
        </w:tc>
      </w:tr>
      <w:tr>
        <w:trPr>
          <w:trHeight w:val="213"/>
        </w:trPr>
        <w:tc>
          <w:tcPr>
            <w:tcW w:w="74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200" w:type="dxa"/>
            <w:vAlign w:val="bottom"/>
          </w:tcPr>
          <w:p>
            <w:pPr>
              <w:spacing w:after="0"/>
              <w:rPr>
                <w:sz w:val="18"/>
                <w:szCs w:val="18"/>
                <w:color w:val="auto"/>
              </w:rPr>
            </w:pPr>
          </w:p>
        </w:tc>
        <w:tc>
          <w:tcPr>
            <w:tcW w:w="352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Jennifer Fanjiang</w:t>
            </w:r>
          </w:p>
        </w:tc>
      </w:t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20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20"/>
                <w:szCs w:val="20"/>
                <w:color w:val="auto"/>
              </w:rPr>
              <w:t>General Counsel</w:t>
            </w:r>
          </w:p>
        </w:tc>
      </w:tr>
    </w:tbl>
    <w:p>
      <w:pPr>
        <w:spacing w:after="0" w:line="1" w:lineRule="exact"/>
        <w:rPr>
          <w:sz w:val="20"/>
          <w:szCs w:val="20"/>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3"/>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2019-12-08T08:10:55Z</dcterms:created>
  <dcterms:modified xsi:type="dcterms:W3CDTF">2019-12-08T08:10:55Z</dcterms:modified>
</cp:coreProperties>
</file>