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34,626</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3"/>
                <w:szCs w:val="23"/>
                <w:color w:val="auto"/>
              </w:rPr>
            </w:pPr>
          </w:p>
        </w:tc>
        <w:tc>
          <w:tcPr>
            <w:tcW w:w="1380" w:type="dxa"/>
            <w:vAlign w:val="bottom"/>
            <w:gridSpan w:val="3"/>
          </w:tcPr>
          <w:p>
            <w:pPr>
              <w:jc w:val="right"/>
              <w:ind w:right="337"/>
              <w:spacing w:after="0"/>
              <w:rPr>
                <w:sz w:val="20"/>
                <w:szCs w:val="20"/>
                <w:color w:val="auto"/>
              </w:rPr>
            </w:pPr>
            <w:r>
              <w:rPr>
                <w:rFonts w:ascii="Arial" w:cs="Arial" w:eastAsia="Arial" w:hAnsi="Arial"/>
                <w:sz w:val="17"/>
                <w:szCs w:val="17"/>
                <w:color w:val="0000FF"/>
              </w:rPr>
              <w:t>34,626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02/11/2016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34,626</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0.8</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02/11/2016</w:t>
            </w:r>
          </w:p>
        </w:tc>
        <w:tc>
          <w:tcPr>
            <w:tcW w:w="11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34,626</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34,626</w:t>
            </w:r>
          </w:p>
        </w:tc>
        <w:tc>
          <w:tcPr>
            <w:tcW w:w="20" w:type="dxa"/>
            <w:vAlign w:val="bottom"/>
          </w:tcPr>
          <w:p>
            <w:pPr>
              <w:spacing w:after="0"/>
              <w:rPr>
                <w:sz w:val="21"/>
                <w:szCs w:val="21"/>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69,253</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34,626 shares vested on February 11, 2016.</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Human Resources/HS&amp;E</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02/15/2016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2019-12-09T00:31:06Z</dcterms:created>
  <dcterms:modified xsi:type="dcterms:W3CDTF">2019-12-09T00:31:06Z</dcterms:modified>
</cp:coreProperties>
</file>