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3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397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Gerry Elbridge Collin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4"/>
        <w:spacing w:after="0"/>
        <w:rPr>
          <w:sz w:val="20"/>
          <w:szCs w:val="20"/>
          <w:color w:val="auto"/>
        </w:rPr>
      </w:pPr>
      <w:r>
        <w:rPr>
          <w:rFonts w:ascii="Times New Roman" w:cs="Times New Roman" w:eastAsia="Times New Roman" w:hAnsi="Times New Roman"/>
          <w:sz w:val="17"/>
          <w:szCs w:val="17"/>
          <w:color w:val="0000FF"/>
        </w:rPr>
        <w:t>SVP CFO and Treasurer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4,981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left="13"/>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4,981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4,981</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3,247</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9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3,247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rPr>
              <w:t>02/25/2025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Pr>
          <w:p>
            <w:pPr>
              <w:spacing w:after="0"/>
              <w:rPr>
                <w:sz w:val="22"/>
                <w:szCs w:val="22"/>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1,316</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1,931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4,981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18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20,778</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payable in cash. the phantom shares vest at various times based on grant date. 4,981 shares vested on February 25,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performance share award under the 2014 Equity Participation Plan of Civeo Corporation that cliff vested at 65% on the third anniversary of February 25,2022.</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 Collin Gerry,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60" w:space="14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211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2025-02-27T15:06:52Z</dcterms:created>
  <dcterms:modified xsi:type="dcterms:W3CDTF">2025-02-27T15:06:52Z</dcterms:modified>
</cp:coreProperties>
</file>