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4616729349388.xml.htm"/>
      <w:bookmarkStart w:id="1" w:name="kswfform4_164616729349388"/>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Dodson Bradley J</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4980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Civeo Corp</w:t>
              </w:r>
            </w:hyperlink>
            <w:r>
              <w:rPr/>
              <w:t xml:space="preserve"> [ </w:t>
            </w:r>
            <w:r>
              <w:rPr>
                <w:rFonts w:ascii="Times;serif" w:hAnsi="Times;serif"/>
                <w:color w:val="0000FF"/>
                <w:sz w:val="24"/>
                <w:highlight w:val="white"/>
              </w:rPr>
              <w:t>CVEO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President &amp; CEO</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02/22/2022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Shares</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02/22/2022</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21,149</w:t>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181,754</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Shares</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02/22/2022</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34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21,149</w:t>
            </w:r>
          </w:p>
        </w:tc>
        <w:tc>
          <w:tcPr>
            <w:tcW w:w="45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22.51</w:t>
            </w:r>
            <w:r>
              <w:rPr/>
              <w:t xml:space="preserve"> </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160,605</w:t>
            </w:r>
          </w:p>
        </w:tc>
        <w:tc>
          <w:tcPr>
            <w:tcW w:w="9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089" w:type="dxa"/>
        <w:jc w:val="left"/>
        <w:tblInd w:w="0" w:type="dxa"/>
        <w:tblCellMar>
          <w:top w:w="60" w:type="dxa"/>
          <w:left w:w="60" w:type="dxa"/>
          <w:bottom w:w="60" w:type="dxa"/>
          <w:right w:w="60" w:type="dxa"/>
        </w:tblCellMar>
      </w:tblPr>
      <w:tblGrid>
        <w:gridCol w:w="87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7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Phantom Shares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02/22/2022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21,149</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21,149</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108,044</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phantom share was the economic equivalent of one Civeo common share payable in cash. the phantom shares vest at various times based on grant date. 21,149 shares vested on February 22, 2022.</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Bradley J. Dodson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03/01/2022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63974" TargetMode="External"/><Relationship Id="rId4" Type="http://schemas.openxmlformats.org/officeDocument/2006/relationships/hyperlink" Target="http://www.sec.gov/cgi-bin/browse-edgar?action=getcompany&amp;CIK=000159058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577</Words>
  <CharactersWithSpaces>3582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