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August 29, 2022</w:t>
      </w:r>
    </w:p>
    <w:p>
      <w:pPr>
        <w:spacing w:after="0" w:line="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146050</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2430145</wp:posOffset>
            </wp:positionH>
            <wp:positionV relativeFrom="paragraph">
              <wp:posOffset>-5080</wp:posOffset>
            </wp:positionV>
            <wp:extent cx="9601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S-3</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jc w:val="center"/>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2430145</wp:posOffset>
            </wp:positionH>
            <wp:positionV relativeFrom="paragraph">
              <wp:posOffset>-5080</wp:posOffset>
            </wp:positionV>
            <wp:extent cx="9601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CIVEO CORPORATION</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4" w:lineRule="exact"/>
        <w:rPr>
          <w:sz w:val="24"/>
          <w:szCs w:val="24"/>
          <w:color w:val="auto"/>
        </w:rPr>
      </w:pPr>
    </w:p>
    <w:tbl>
      <w:tblPr>
        <w:tblLayout w:type="fixed"/>
        <w:tblInd w:w="1020" w:type="dxa"/>
        <w:tblCellMar>
          <w:top w:w="0" w:type="dxa"/>
          <w:left w:w="0" w:type="dxa"/>
          <w:bottom w:w="0" w:type="dxa"/>
          <w:right w:w="0" w:type="dxa"/>
        </w:tblCellMar>
      </w:tblPr>
      <w:tr>
        <w:trPr>
          <w:trHeight w:val="161"/>
        </w:trPr>
        <w:tc>
          <w:tcPr>
            <w:tcW w:w="2400" w:type="dxa"/>
            <w:vAlign w:val="bottom"/>
          </w:tcPr>
          <w:p>
            <w:pPr>
              <w:spacing w:after="0"/>
              <w:rPr>
                <w:sz w:val="13"/>
                <w:szCs w:val="13"/>
                <w:color w:val="auto"/>
              </w:rPr>
            </w:pPr>
          </w:p>
        </w:tc>
        <w:tc>
          <w:tcPr>
            <w:tcW w:w="4560" w:type="dxa"/>
            <w:vAlign w:val="bottom"/>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rPr>
              <w:t>Three Allen Center</w:t>
            </w:r>
          </w:p>
        </w:tc>
        <w:tc>
          <w:tcPr>
            <w:tcW w:w="1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400" w:type="dxa"/>
            <w:vAlign w:val="bottom"/>
          </w:tcPr>
          <w:p>
            <w:pPr>
              <w:spacing w:after="0"/>
              <w:rPr>
                <w:sz w:val="13"/>
                <w:szCs w:val="13"/>
                <w:color w:val="auto"/>
              </w:rPr>
            </w:pPr>
          </w:p>
        </w:tc>
        <w:tc>
          <w:tcPr>
            <w:tcW w:w="4560" w:type="dxa"/>
            <w:vAlign w:val="bottom"/>
          </w:tcPr>
          <w:p>
            <w:pPr>
              <w:jc w:val="center"/>
              <w:ind w:right="109"/>
              <w:spacing w:after="0" w:line="159" w:lineRule="exact"/>
              <w:rPr>
                <w:sz w:val="20"/>
                <w:szCs w:val="20"/>
                <w:color w:val="auto"/>
              </w:rPr>
            </w:pPr>
            <w:r>
              <w:rPr>
                <w:rFonts w:ascii="Times New Roman" w:cs="Times New Roman" w:eastAsia="Times New Roman" w:hAnsi="Times New Roman"/>
                <w:sz w:val="14"/>
                <w:szCs w:val="14"/>
                <w:b w:val="1"/>
                <w:bCs w:val="1"/>
                <w:color w:val="auto"/>
              </w:rPr>
              <w:t>333 Clay Street, Suite 4980</w:t>
            </w:r>
          </w:p>
        </w:tc>
        <w:tc>
          <w:tcPr>
            <w:tcW w:w="1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400" w:type="dxa"/>
            <w:vAlign w:val="bottom"/>
          </w:tcPr>
          <w:p>
            <w:pPr>
              <w:spacing w:after="0"/>
              <w:rPr>
                <w:sz w:val="13"/>
                <w:szCs w:val="13"/>
                <w:color w:val="auto"/>
              </w:rPr>
            </w:pPr>
          </w:p>
        </w:tc>
        <w:tc>
          <w:tcPr>
            <w:tcW w:w="4560" w:type="dxa"/>
            <w:vAlign w:val="bottom"/>
          </w:tcPr>
          <w:p>
            <w:pPr>
              <w:jc w:val="center"/>
              <w:ind w:right="109"/>
              <w:spacing w:after="0" w:line="159" w:lineRule="exact"/>
              <w:rPr>
                <w:sz w:val="20"/>
                <w:szCs w:val="20"/>
                <w:color w:val="auto"/>
              </w:rPr>
            </w:pPr>
            <w:r>
              <w:rPr>
                <w:rFonts w:ascii="Times New Roman" w:cs="Times New Roman" w:eastAsia="Times New Roman" w:hAnsi="Times New Roman"/>
                <w:sz w:val="14"/>
                <w:szCs w:val="14"/>
                <w:b w:val="1"/>
                <w:bCs w:val="1"/>
                <w:color w:val="auto"/>
                <w:w w:val="99"/>
              </w:rPr>
              <w:t>Houston, Texas 77002</w:t>
            </w:r>
          </w:p>
        </w:tc>
        <w:tc>
          <w:tcPr>
            <w:tcW w:w="1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400" w:type="dxa"/>
            <w:vAlign w:val="bottom"/>
            <w:vMerge w:val="restart"/>
          </w:tcPr>
          <w:p>
            <w:pPr>
              <w:jc w:val="center"/>
              <w:ind w:right="629"/>
              <w:spacing w:after="0"/>
              <w:rPr>
                <w:sz w:val="20"/>
                <w:szCs w:val="20"/>
                <w:color w:val="auto"/>
              </w:rPr>
            </w:pPr>
            <w:r>
              <w:rPr>
                <w:rFonts w:ascii="Times New Roman" w:cs="Times New Roman" w:eastAsia="Times New Roman" w:hAnsi="Times New Roman"/>
                <w:sz w:val="14"/>
                <w:szCs w:val="14"/>
                <w:b w:val="1"/>
                <w:bCs w:val="1"/>
                <w:color w:val="auto"/>
              </w:rPr>
              <w:t>British Columbia, Canada</w:t>
            </w:r>
          </w:p>
        </w:tc>
        <w:tc>
          <w:tcPr>
            <w:tcW w:w="4560" w:type="dxa"/>
            <w:vAlign w:val="bottom"/>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rPr>
              <w:t>(713) 510-2400</w:t>
            </w:r>
          </w:p>
        </w:tc>
        <w:tc>
          <w:tcPr>
            <w:tcW w:w="1920" w:type="dxa"/>
            <w:vAlign w:val="bottom"/>
            <w:vMerge w:val="restart"/>
          </w:tcPr>
          <w:p>
            <w:pPr>
              <w:jc w:val="center"/>
              <w:ind w:left="769"/>
              <w:spacing w:after="0"/>
              <w:rPr>
                <w:sz w:val="20"/>
                <w:szCs w:val="20"/>
                <w:color w:val="auto"/>
              </w:rPr>
            </w:pPr>
            <w:r>
              <w:rPr>
                <w:rFonts w:ascii="Times New Roman" w:cs="Times New Roman" w:eastAsia="Times New Roman" w:hAnsi="Times New Roman"/>
                <w:sz w:val="14"/>
                <w:szCs w:val="14"/>
                <w:b w:val="1"/>
                <w:bCs w:val="1"/>
                <w:color w:val="auto"/>
              </w:rPr>
              <w:t>98-1253716</w:t>
            </w:r>
          </w:p>
        </w:tc>
        <w:tc>
          <w:tcPr>
            <w:tcW w:w="0" w:type="dxa"/>
            <w:vAlign w:val="bottom"/>
          </w:tcPr>
          <w:p>
            <w:pPr>
              <w:spacing w:after="0"/>
              <w:rPr>
                <w:sz w:val="1"/>
                <w:szCs w:val="1"/>
                <w:color w:val="auto"/>
              </w:rPr>
            </w:pPr>
          </w:p>
        </w:tc>
      </w:tr>
      <w:tr>
        <w:trPr>
          <w:trHeight w:val="159"/>
        </w:trPr>
        <w:tc>
          <w:tcPr>
            <w:tcW w:w="2400" w:type="dxa"/>
            <w:vAlign w:val="bottom"/>
            <w:vMerge w:val="continue"/>
          </w:tcPr>
          <w:p>
            <w:pPr>
              <w:spacing w:after="0"/>
              <w:rPr>
                <w:sz w:val="13"/>
                <w:szCs w:val="13"/>
                <w:color w:val="auto"/>
              </w:rPr>
            </w:pPr>
          </w:p>
        </w:tc>
        <w:tc>
          <w:tcPr>
            <w:tcW w:w="4560" w:type="dxa"/>
            <w:vAlign w:val="bottom"/>
          </w:tcPr>
          <w:p>
            <w:pPr>
              <w:jc w:val="center"/>
              <w:ind w:right="109"/>
              <w:spacing w:after="0" w:line="159" w:lineRule="exact"/>
              <w:rPr>
                <w:sz w:val="20"/>
                <w:szCs w:val="20"/>
                <w:color w:val="auto"/>
              </w:rPr>
            </w:pPr>
            <w:r>
              <w:rPr>
                <w:rFonts w:ascii="Times New Roman" w:cs="Times New Roman" w:eastAsia="Times New Roman" w:hAnsi="Times New Roman"/>
                <w:sz w:val="14"/>
                <w:szCs w:val="14"/>
                <w:color w:val="auto"/>
              </w:rPr>
              <w:t>(Address, including zip code, and telephone number,</w:t>
            </w:r>
          </w:p>
        </w:tc>
        <w:tc>
          <w:tcPr>
            <w:tcW w:w="1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400" w:type="dxa"/>
            <w:vAlign w:val="bottom"/>
          </w:tcPr>
          <w:p>
            <w:pPr>
              <w:jc w:val="center"/>
              <w:ind w:right="629"/>
              <w:spacing w:after="0" w:line="15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4560" w:type="dxa"/>
            <w:vAlign w:val="bottom"/>
          </w:tcPr>
          <w:p>
            <w:pPr>
              <w:jc w:val="center"/>
              <w:ind w:right="89"/>
              <w:spacing w:after="0" w:line="159" w:lineRule="exact"/>
              <w:rPr>
                <w:sz w:val="20"/>
                <w:szCs w:val="20"/>
                <w:color w:val="auto"/>
              </w:rPr>
            </w:pPr>
            <w:r>
              <w:rPr>
                <w:rFonts w:ascii="Times New Roman" w:cs="Times New Roman" w:eastAsia="Times New Roman" w:hAnsi="Times New Roman"/>
                <w:sz w:val="14"/>
                <w:szCs w:val="14"/>
                <w:color w:val="auto"/>
              </w:rPr>
              <w:t>including area code, of registrant’s</w:t>
            </w:r>
          </w:p>
        </w:tc>
        <w:tc>
          <w:tcPr>
            <w:tcW w:w="1920" w:type="dxa"/>
            <w:vAlign w:val="bottom"/>
          </w:tcPr>
          <w:p>
            <w:pPr>
              <w:jc w:val="center"/>
              <w:ind w:left="769"/>
              <w:spacing w:after="0" w:line="159" w:lineRule="exact"/>
              <w:rPr>
                <w:sz w:val="20"/>
                <w:szCs w:val="20"/>
                <w:color w:val="auto"/>
              </w:rPr>
            </w:pPr>
            <w:r>
              <w:rPr>
                <w:rFonts w:ascii="Times New Roman" w:cs="Times New Roman" w:eastAsia="Times New Roman" w:hAnsi="Times New Roman"/>
                <w:sz w:val="14"/>
                <w:szCs w:val="14"/>
                <w:color w:val="auto"/>
              </w:rPr>
              <w:t>(I.R.S. Employer</w:t>
            </w:r>
          </w:p>
        </w:tc>
        <w:tc>
          <w:tcPr>
            <w:tcW w:w="0" w:type="dxa"/>
            <w:vAlign w:val="bottom"/>
          </w:tcPr>
          <w:p>
            <w:pPr>
              <w:spacing w:after="0"/>
              <w:rPr>
                <w:sz w:val="1"/>
                <w:szCs w:val="1"/>
                <w:color w:val="auto"/>
              </w:rPr>
            </w:pPr>
          </w:p>
        </w:tc>
      </w:tr>
      <w:tr>
        <w:trPr>
          <w:trHeight w:val="184"/>
        </w:trPr>
        <w:tc>
          <w:tcPr>
            <w:tcW w:w="2400" w:type="dxa"/>
            <w:vAlign w:val="bottom"/>
          </w:tcPr>
          <w:p>
            <w:pPr>
              <w:jc w:val="center"/>
              <w:ind w:right="629"/>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456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rPr>
              <w:t>principal executive offices)</w:t>
            </w:r>
          </w:p>
        </w:tc>
        <w:tc>
          <w:tcPr>
            <w:tcW w:w="1920" w:type="dxa"/>
            <w:vAlign w:val="bottom"/>
          </w:tcPr>
          <w:p>
            <w:pPr>
              <w:jc w:val="center"/>
              <w:ind w:left="789"/>
              <w:spacing w:after="0"/>
              <w:rPr>
                <w:sz w:val="20"/>
                <w:szCs w:val="20"/>
                <w:color w:val="auto"/>
              </w:rPr>
            </w:pPr>
            <w:r>
              <w:rPr>
                <w:rFonts w:ascii="Times New Roman" w:cs="Times New Roman" w:eastAsia="Times New Roman" w:hAnsi="Times New Roman"/>
                <w:sz w:val="14"/>
                <w:szCs w:val="14"/>
                <w:color w:val="auto"/>
              </w:rPr>
              <w:t>Identification No.)</w:t>
            </w:r>
          </w:p>
        </w:tc>
        <w:tc>
          <w:tcPr>
            <w:tcW w:w="0" w:type="dxa"/>
            <w:vAlign w:val="bottom"/>
          </w:tcPr>
          <w:p>
            <w:pPr>
              <w:spacing w:after="0"/>
              <w:rPr>
                <w:sz w:val="1"/>
                <w:szCs w:val="1"/>
                <w:color w:val="auto"/>
              </w:rPr>
            </w:pPr>
          </w:p>
        </w:tc>
      </w:tr>
      <w:tr>
        <w:trPr>
          <w:trHeight w:val="398"/>
        </w:trPr>
        <w:tc>
          <w:tcPr>
            <w:tcW w:w="2400" w:type="dxa"/>
            <w:vAlign w:val="bottom"/>
          </w:tcPr>
          <w:p>
            <w:pPr>
              <w:spacing w:after="0"/>
              <w:rPr>
                <w:sz w:val="24"/>
                <w:szCs w:val="24"/>
                <w:color w:val="auto"/>
              </w:rPr>
            </w:pPr>
          </w:p>
        </w:tc>
        <w:tc>
          <w:tcPr>
            <w:tcW w:w="4560" w:type="dxa"/>
            <w:vAlign w:val="bottom"/>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Bradley J. Dodson</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400" w:type="dxa"/>
            <w:vAlign w:val="bottom"/>
          </w:tcPr>
          <w:p>
            <w:pPr>
              <w:spacing w:after="0"/>
              <w:rPr>
                <w:sz w:val="13"/>
                <w:szCs w:val="13"/>
                <w:color w:val="auto"/>
              </w:rPr>
            </w:pPr>
          </w:p>
        </w:tc>
        <w:tc>
          <w:tcPr>
            <w:tcW w:w="4560" w:type="dxa"/>
            <w:vAlign w:val="bottom"/>
          </w:tcPr>
          <w:p>
            <w:pPr>
              <w:jc w:val="center"/>
              <w:ind w:right="89"/>
              <w:spacing w:after="0" w:line="159" w:lineRule="exact"/>
              <w:rPr>
                <w:sz w:val="20"/>
                <w:szCs w:val="20"/>
                <w:color w:val="auto"/>
              </w:rPr>
            </w:pPr>
            <w:r>
              <w:rPr>
                <w:rFonts w:ascii="Times New Roman" w:cs="Times New Roman" w:eastAsia="Times New Roman" w:hAnsi="Times New Roman"/>
                <w:sz w:val="14"/>
                <w:szCs w:val="14"/>
                <w:b w:val="1"/>
                <w:bCs w:val="1"/>
                <w:color w:val="auto"/>
              </w:rPr>
              <w:t>President and Chief Executive Officer</w:t>
            </w:r>
          </w:p>
        </w:tc>
        <w:tc>
          <w:tcPr>
            <w:tcW w:w="1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400" w:type="dxa"/>
            <w:vAlign w:val="bottom"/>
          </w:tcPr>
          <w:p>
            <w:pPr>
              <w:spacing w:after="0"/>
              <w:rPr>
                <w:sz w:val="14"/>
                <w:szCs w:val="14"/>
                <w:color w:val="auto"/>
              </w:rPr>
            </w:pPr>
          </w:p>
        </w:tc>
        <w:tc>
          <w:tcPr>
            <w:tcW w:w="4560" w:type="dxa"/>
            <w:vAlign w:val="bottom"/>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Civeo Corporation</w:t>
            </w: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400" w:type="dxa"/>
            <w:vAlign w:val="bottom"/>
          </w:tcPr>
          <w:p>
            <w:pPr>
              <w:spacing w:after="0"/>
              <w:rPr>
                <w:sz w:val="13"/>
                <w:szCs w:val="13"/>
                <w:color w:val="auto"/>
              </w:rPr>
            </w:pPr>
          </w:p>
        </w:tc>
        <w:tc>
          <w:tcPr>
            <w:tcW w:w="4560" w:type="dxa"/>
            <w:vAlign w:val="bottom"/>
          </w:tcPr>
          <w:p>
            <w:pPr>
              <w:jc w:val="center"/>
              <w:ind w:right="89"/>
              <w:spacing w:after="0" w:line="159" w:lineRule="exact"/>
              <w:rPr>
                <w:sz w:val="20"/>
                <w:szCs w:val="20"/>
                <w:color w:val="auto"/>
              </w:rPr>
            </w:pPr>
            <w:r>
              <w:rPr>
                <w:rFonts w:ascii="Times New Roman" w:cs="Times New Roman" w:eastAsia="Times New Roman" w:hAnsi="Times New Roman"/>
                <w:sz w:val="14"/>
                <w:szCs w:val="14"/>
                <w:b w:val="1"/>
                <w:bCs w:val="1"/>
                <w:color w:val="auto"/>
              </w:rPr>
              <w:t>Three Allen Center</w:t>
            </w:r>
          </w:p>
        </w:tc>
        <w:tc>
          <w:tcPr>
            <w:tcW w:w="1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400" w:type="dxa"/>
            <w:vAlign w:val="bottom"/>
          </w:tcPr>
          <w:p>
            <w:pPr>
              <w:spacing w:after="0"/>
              <w:rPr>
                <w:sz w:val="13"/>
                <w:szCs w:val="13"/>
                <w:color w:val="auto"/>
              </w:rPr>
            </w:pPr>
          </w:p>
        </w:tc>
        <w:tc>
          <w:tcPr>
            <w:tcW w:w="4560" w:type="dxa"/>
            <w:vAlign w:val="bottom"/>
          </w:tcPr>
          <w:p>
            <w:pPr>
              <w:jc w:val="center"/>
              <w:ind w:right="69"/>
              <w:spacing w:after="0" w:line="159" w:lineRule="exact"/>
              <w:rPr>
                <w:sz w:val="20"/>
                <w:szCs w:val="20"/>
                <w:color w:val="auto"/>
              </w:rPr>
            </w:pPr>
            <w:r>
              <w:rPr>
                <w:rFonts w:ascii="Times New Roman" w:cs="Times New Roman" w:eastAsia="Times New Roman" w:hAnsi="Times New Roman"/>
                <w:sz w:val="14"/>
                <w:szCs w:val="14"/>
                <w:b w:val="1"/>
                <w:bCs w:val="1"/>
                <w:color w:val="auto"/>
              </w:rPr>
              <w:t>333 Clay Street, Suite 4980</w:t>
            </w:r>
          </w:p>
        </w:tc>
        <w:tc>
          <w:tcPr>
            <w:tcW w:w="1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400" w:type="dxa"/>
            <w:vAlign w:val="bottom"/>
          </w:tcPr>
          <w:p>
            <w:pPr>
              <w:spacing w:after="0"/>
              <w:rPr>
                <w:sz w:val="14"/>
                <w:szCs w:val="14"/>
                <w:color w:val="auto"/>
              </w:rPr>
            </w:pPr>
          </w:p>
        </w:tc>
        <w:tc>
          <w:tcPr>
            <w:tcW w:w="4560" w:type="dxa"/>
            <w:vAlign w:val="bottom"/>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Houston, Texas 77002</w:t>
            </w: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400" w:type="dxa"/>
            <w:vAlign w:val="bottom"/>
          </w:tcPr>
          <w:p>
            <w:pPr>
              <w:spacing w:after="0"/>
              <w:rPr>
                <w:sz w:val="14"/>
                <w:szCs w:val="14"/>
                <w:color w:val="auto"/>
              </w:rPr>
            </w:pPr>
          </w:p>
        </w:tc>
        <w:tc>
          <w:tcPr>
            <w:tcW w:w="4560" w:type="dxa"/>
            <w:vAlign w:val="bottom"/>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(713) 510-2400</w:t>
            </w: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400" w:type="dxa"/>
            <w:vAlign w:val="bottom"/>
          </w:tcPr>
          <w:p>
            <w:pPr>
              <w:spacing w:after="0"/>
              <w:rPr>
                <w:sz w:val="13"/>
                <w:szCs w:val="13"/>
                <w:color w:val="auto"/>
              </w:rPr>
            </w:pPr>
          </w:p>
        </w:tc>
        <w:tc>
          <w:tcPr>
            <w:tcW w:w="4560" w:type="dxa"/>
            <w:vAlign w:val="bottom"/>
          </w:tcPr>
          <w:p>
            <w:pPr>
              <w:jc w:val="center"/>
              <w:ind w:right="109"/>
              <w:spacing w:after="0" w:line="159" w:lineRule="exact"/>
              <w:rPr>
                <w:sz w:val="20"/>
                <w:szCs w:val="20"/>
                <w:color w:val="auto"/>
              </w:rPr>
            </w:pPr>
            <w:r>
              <w:rPr>
                <w:rFonts w:ascii="Times New Roman" w:cs="Times New Roman" w:eastAsia="Times New Roman" w:hAnsi="Times New Roman"/>
                <w:sz w:val="14"/>
                <w:szCs w:val="14"/>
                <w:color w:val="auto"/>
              </w:rPr>
              <w:t>(Name, address, including zip code, and telephone</w:t>
            </w:r>
          </w:p>
        </w:tc>
        <w:tc>
          <w:tcPr>
            <w:tcW w:w="1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400" w:type="dxa"/>
            <w:vAlign w:val="bottom"/>
          </w:tcPr>
          <w:p>
            <w:pPr>
              <w:spacing w:after="0"/>
              <w:rPr>
                <w:sz w:val="16"/>
                <w:szCs w:val="16"/>
                <w:color w:val="auto"/>
              </w:rPr>
            </w:pPr>
          </w:p>
        </w:tc>
        <w:tc>
          <w:tcPr>
            <w:tcW w:w="456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number, including area code, of agent for service)</w:t>
            </w: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4"/>
        </w:trPr>
        <w:tc>
          <w:tcPr>
            <w:tcW w:w="2400" w:type="dxa"/>
            <w:vAlign w:val="bottom"/>
          </w:tcPr>
          <w:p>
            <w:pPr>
              <w:spacing w:after="0"/>
              <w:rPr>
                <w:sz w:val="24"/>
                <w:szCs w:val="24"/>
                <w:color w:val="auto"/>
              </w:rPr>
            </w:pPr>
          </w:p>
        </w:tc>
        <w:tc>
          <w:tcPr>
            <w:tcW w:w="4560" w:type="dxa"/>
            <w:vAlign w:val="bottom"/>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Copy to:</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400" w:type="dxa"/>
            <w:vAlign w:val="bottom"/>
          </w:tcPr>
          <w:p>
            <w:pPr>
              <w:spacing w:after="0"/>
              <w:rPr>
                <w:sz w:val="13"/>
                <w:szCs w:val="13"/>
                <w:color w:val="auto"/>
              </w:rPr>
            </w:pPr>
          </w:p>
        </w:tc>
        <w:tc>
          <w:tcPr>
            <w:tcW w:w="4560" w:type="dxa"/>
            <w:vAlign w:val="bottom"/>
          </w:tcPr>
          <w:p>
            <w:pPr>
              <w:jc w:val="center"/>
              <w:ind w:right="89"/>
              <w:spacing w:after="0" w:line="159" w:lineRule="exact"/>
              <w:rPr>
                <w:sz w:val="20"/>
                <w:szCs w:val="20"/>
                <w:color w:val="auto"/>
              </w:rPr>
            </w:pPr>
            <w:r>
              <w:rPr>
                <w:rFonts w:ascii="Times New Roman" w:cs="Times New Roman" w:eastAsia="Times New Roman" w:hAnsi="Times New Roman"/>
                <w:sz w:val="14"/>
                <w:szCs w:val="14"/>
                <w:b w:val="1"/>
                <w:bCs w:val="1"/>
                <w:color w:val="auto"/>
                <w:w w:val="99"/>
              </w:rPr>
              <w:t>Tull R. Florey</w:t>
            </w:r>
          </w:p>
        </w:tc>
        <w:tc>
          <w:tcPr>
            <w:tcW w:w="1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400" w:type="dxa"/>
            <w:vAlign w:val="bottom"/>
          </w:tcPr>
          <w:p>
            <w:pPr>
              <w:spacing w:after="0"/>
              <w:rPr>
                <w:sz w:val="13"/>
                <w:szCs w:val="13"/>
                <w:color w:val="auto"/>
              </w:rPr>
            </w:pPr>
          </w:p>
        </w:tc>
        <w:tc>
          <w:tcPr>
            <w:tcW w:w="4560" w:type="dxa"/>
            <w:vAlign w:val="bottom"/>
          </w:tcPr>
          <w:p>
            <w:pPr>
              <w:jc w:val="center"/>
              <w:ind w:right="69"/>
              <w:spacing w:after="0" w:line="159" w:lineRule="exact"/>
              <w:rPr>
                <w:sz w:val="20"/>
                <w:szCs w:val="20"/>
                <w:color w:val="auto"/>
              </w:rPr>
            </w:pPr>
            <w:r>
              <w:rPr>
                <w:rFonts w:ascii="Times New Roman" w:cs="Times New Roman" w:eastAsia="Times New Roman" w:hAnsi="Times New Roman"/>
                <w:sz w:val="14"/>
                <w:szCs w:val="14"/>
                <w:b w:val="1"/>
                <w:bCs w:val="1"/>
                <w:color w:val="auto"/>
              </w:rPr>
              <w:t>Gibson, Dunn &amp; Crutcher LLP</w:t>
            </w:r>
          </w:p>
        </w:tc>
        <w:tc>
          <w:tcPr>
            <w:tcW w:w="1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400" w:type="dxa"/>
            <w:vAlign w:val="bottom"/>
          </w:tcPr>
          <w:p>
            <w:pPr>
              <w:spacing w:after="0"/>
              <w:rPr>
                <w:sz w:val="13"/>
                <w:szCs w:val="13"/>
                <w:color w:val="auto"/>
              </w:rPr>
            </w:pPr>
          </w:p>
        </w:tc>
        <w:tc>
          <w:tcPr>
            <w:tcW w:w="4560" w:type="dxa"/>
            <w:vAlign w:val="bottom"/>
          </w:tcPr>
          <w:p>
            <w:pPr>
              <w:jc w:val="center"/>
              <w:ind w:right="89"/>
              <w:spacing w:after="0" w:line="159" w:lineRule="exact"/>
              <w:rPr>
                <w:sz w:val="20"/>
                <w:szCs w:val="20"/>
                <w:color w:val="auto"/>
              </w:rPr>
            </w:pPr>
            <w:r>
              <w:rPr>
                <w:rFonts w:ascii="Times New Roman" w:cs="Times New Roman" w:eastAsia="Times New Roman" w:hAnsi="Times New Roman"/>
                <w:sz w:val="14"/>
                <w:szCs w:val="14"/>
                <w:b w:val="1"/>
                <w:bCs w:val="1"/>
                <w:color w:val="auto"/>
                <w:w w:val="99"/>
              </w:rPr>
              <w:t>811 Main Street, Suite 3000</w:t>
            </w:r>
          </w:p>
        </w:tc>
        <w:tc>
          <w:tcPr>
            <w:tcW w:w="1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400" w:type="dxa"/>
            <w:vAlign w:val="bottom"/>
          </w:tcPr>
          <w:p>
            <w:pPr>
              <w:spacing w:after="0"/>
              <w:rPr>
                <w:sz w:val="14"/>
                <w:szCs w:val="14"/>
                <w:color w:val="auto"/>
              </w:rPr>
            </w:pPr>
          </w:p>
        </w:tc>
        <w:tc>
          <w:tcPr>
            <w:tcW w:w="4560" w:type="dxa"/>
            <w:vAlign w:val="bottom"/>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Houston, Texas 77002</w:t>
            </w: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400" w:type="dxa"/>
            <w:vAlign w:val="bottom"/>
          </w:tcPr>
          <w:p>
            <w:pPr>
              <w:spacing w:after="0"/>
              <w:rPr>
                <w:sz w:val="16"/>
                <w:szCs w:val="16"/>
                <w:color w:val="auto"/>
              </w:rPr>
            </w:pPr>
          </w:p>
        </w:tc>
        <w:tc>
          <w:tcPr>
            <w:tcW w:w="4560" w:type="dxa"/>
            <w:vAlign w:val="bottom"/>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Telephone: (346) 718-6600</w:t>
            </w: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2430145</wp:posOffset>
            </wp:positionH>
            <wp:positionV relativeFrom="paragraph">
              <wp:posOffset>-674370</wp:posOffset>
            </wp:positionV>
            <wp:extent cx="9601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126"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4"/>
          <w:szCs w:val="14"/>
          <w:b w:val="1"/>
          <w:bCs w:val="1"/>
          <w:color w:val="auto"/>
        </w:rPr>
        <w:t xml:space="preserve">Approximate date of commencement of proposed sale to the public: </w:t>
      </w:r>
      <w:r>
        <w:rPr>
          <w:rFonts w:ascii="Times New Roman" w:cs="Times New Roman" w:eastAsia="Times New Roman" w:hAnsi="Times New Roman"/>
          <w:sz w:val="14"/>
          <w:szCs w:val="14"/>
          <w:color w:val="auto"/>
        </w:rPr>
        <w:t>From time to time after the effective date of this Registration Statement.</w:t>
      </w:r>
    </w:p>
    <w:p>
      <w:pPr>
        <w:spacing w:after="0" w:line="112" w:lineRule="exact"/>
        <w:rPr>
          <w:sz w:val="24"/>
          <w:szCs w:val="24"/>
          <w:color w:val="auto"/>
        </w:rPr>
      </w:pPr>
    </w:p>
    <w:p>
      <w:pPr>
        <w:ind w:left="480"/>
        <w:spacing w:after="0" w:line="161" w:lineRule="exact"/>
        <w:rPr>
          <w:sz w:val="20"/>
          <w:szCs w:val="20"/>
          <w:color w:val="auto"/>
        </w:rPr>
      </w:pPr>
      <w:r>
        <w:rPr>
          <w:rFonts w:ascii="Times New Roman" w:cs="Times New Roman" w:eastAsia="Times New Roman" w:hAnsi="Times New Roman"/>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126" w:lineRule="exact"/>
        <w:rPr>
          <w:sz w:val="24"/>
          <w:szCs w:val="24"/>
          <w:color w:val="auto"/>
        </w:rPr>
      </w:pPr>
    </w:p>
    <w:p>
      <w:pPr>
        <w:ind w:right="220" w:firstLine="477"/>
        <w:spacing w:after="0" w:line="186"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as amended (the “Securities Act”),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66" w:lineRule="exact"/>
        <w:rPr>
          <w:sz w:val="24"/>
          <w:szCs w:val="24"/>
          <w:color w:val="auto"/>
        </w:rPr>
      </w:pPr>
    </w:p>
    <w:p>
      <w:pPr>
        <w:ind w:right="240" w:firstLine="477"/>
        <w:spacing w:after="0" w:line="193"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66" w:lineRule="exact"/>
        <w:rPr>
          <w:sz w:val="24"/>
          <w:szCs w:val="24"/>
          <w:color w:val="auto"/>
        </w:rPr>
      </w:pPr>
    </w:p>
    <w:p>
      <w:pPr>
        <w:ind w:right="260" w:firstLine="477"/>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66" w:lineRule="exact"/>
        <w:rPr>
          <w:sz w:val="24"/>
          <w:szCs w:val="24"/>
          <w:color w:val="auto"/>
        </w:rPr>
      </w:pPr>
    </w:p>
    <w:p>
      <w:pPr>
        <w:ind w:right="240" w:firstLine="477"/>
        <w:spacing w:after="0" w:line="193" w:lineRule="exact"/>
        <w:rPr>
          <w:sz w:val="20"/>
          <w:szCs w:val="20"/>
          <w:color w:val="auto"/>
        </w:rPr>
      </w:pPr>
      <w:r>
        <w:rPr>
          <w:rFonts w:ascii="Times New Roman" w:cs="Times New Roman" w:eastAsia="Times New Roman" w:hAnsi="Times New Roman"/>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66" w:lineRule="exact"/>
        <w:rPr>
          <w:sz w:val="24"/>
          <w:szCs w:val="24"/>
          <w:color w:val="auto"/>
        </w:rPr>
      </w:pPr>
    </w:p>
    <w:p>
      <w:pPr>
        <w:ind w:firstLine="477"/>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79" w:lineRule="exact"/>
        <w:rPr>
          <w:sz w:val="24"/>
          <w:szCs w:val="24"/>
          <w:color w:val="auto"/>
        </w:rPr>
      </w:pPr>
    </w:p>
    <w:p>
      <w:pPr>
        <w:ind w:right="140" w:firstLine="477"/>
        <w:spacing w:after="0" w:line="27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6" w:lineRule="exact"/>
        <w:rPr>
          <w:sz w:val="24"/>
          <w:szCs w:val="24"/>
          <w:color w:val="auto"/>
        </w:rPr>
      </w:pPr>
    </w:p>
    <w:tbl>
      <w:tblPr>
        <w:tblLayout w:type="fixed"/>
        <w:tblInd w:w="80" w:type="dxa"/>
        <w:tblCellMar>
          <w:top w:w="0" w:type="dxa"/>
          <w:left w:w="0" w:type="dxa"/>
          <w:bottom w:w="0" w:type="dxa"/>
          <w:right w:w="0" w:type="dxa"/>
        </w:tblCellMar>
      </w:tblPr>
      <w:tr>
        <w:trPr>
          <w:trHeight w:val="221"/>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320" w:type="dxa"/>
            <w:vAlign w:val="bottom"/>
          </w:tcPr>
          <w:p>
            <w:pPr>
              <w:ind w:left="1760"/>
              <w:spacing w:after="0" w:line="141" w:lineRule="exact"/>
              <w:rPr>
                <w:sz w:val="20"/>
                <w:szCs w:val="20"/>
                <w:color w:val="auto"/>
              </w:rPr>
            </w:pPr>
            <w:r>
              <w:rPr>
                <w:rFonts w:ascii="MS PGothic" w:cs="MS PGothic" w:eastAsia="MS PGothic" w:hAnsi="MS PGothic"/>
                <w:sz w:val="14"/>
                <w:szCs w:val="14"/>
                <w:color w:val="auto"/>
              </w:rPr>
              <w:t>☐</w:t>
            </w:r>
          </w:p>
        </w:tc>
        <w:tc>
          <w:tcPr>
            <w:tcW w:w="37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Accelerated filer</w:t>
            </w:r>
          </w:p>
        </w:tc>
        <w:tc>
          <w:tcPr>
            <w:tcW w:w="1860" w:type="dxa"/>
            <w:vAlign w:val="bottom"/>
          </w:tcPr>
          <w:p>
            <w:pPr>
              <w:ind w:left="17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320" w:type="dxa"/>
            <w:vAlign w:val="bottom"/>
          </w:tcPr>
          <w:p>
            <w:pPr>
              <w:ind w:left="1760"/>
              <w:spacing w:after="0" w:line="141" w:lineRule="exact"/>
              <w:rPr>
                <w:sz w:val="20"/>
                <w:szCs w:val="20"/>
                <w:color w:val="auto"/>
              </w:rPr>
            </w:pPr>
            <w:r>
              <w:rPr>
                <w:rFonts w:ascii="MS PGothic" w:cs="MS PGothic" w:eastAsia="MS PGothic" w:hAnsi="MS PGothic"/>
                <w:sz w:val="14"/>
                <w:szCs w:val="14"/>
                <w:color w:val="auto"/>
              </w:rPr>
              <w:t>☐</w:t>
            </w:r>
          </w:p>
        </w:tc>
        <w:tc>
          <w:tcPr>
            <w:tcW w:w="37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860" w:type="dxa"/>
            <w:vAlign w:val="bottom"/>
          </w:tcPr>
          <w:p>
            <w:pPr>
              <w:ind w:left="17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30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37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Emerging growth company</w:t>
            </w:r>
          </w:p>
        </w:tc>
        <w:tc>
          <w:tcPr>
            <w:tcW w:w="1860" w:type="dxa"/>
            <w:vAlign w:val="bottom"/>
          </w:tcPr>
          <w:p>
            <w:pPr>
              <w:ind w:left="1720"/>
              <w:spacing w:after="0" w:line="141" w:lineRule="exact"/>
              <w:rPr>
                <w:sz w:val="20"/>
                <w:szCs w:val="20"/>
                <w:color w:val="auto"/>
              </w:rPr>
            </w:pPr>
            <w:r>
              <w:rPr>
                <w:rFonts w:ascii="MS PGothic" w:cs="MS PGothic" w:eastAsia="MS PGothic" w:hAnsi="MS PGothic"/>
                <w:sz w:val="14"/>
                <w:szCs w:val="14"/>
                <w:color w:val="auto"/>
                <w:w w:val="85"/>
              </w:rPr>
              <w:t>☐</w:t>
            </w:r>
          </w:p>
        </w:tc>
      </w:tr>
    </w:tbl>
    <w:p>
      <w:pPr>
        <w:sectPr>
          <w:pgSz w:w="11900" w:h="16838" w:orient="portrait"/>
          <w:cols w:equalWidth="0" w:num="1">
            <w:col w:w="11240"/>
          </w:cols>
          <w:pgMar w:left="320" w:top="1402" w:right="339" w:bottom="1440" w:gutter="0" w:footer="0" w:header="0"/>
        </w:sectPr>
      </w:pPr>
    </w:p>
    <w:bookmarkStart w:id="1" w:name="page2"/>
    <w:bookmarkEnd w:id="1"/>
    <w:p>
      <w:pPr>
        <w:ind w:firstLine="71"/>
        <w:spacing w:after="0" w:line="193"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-19050</wp:posOffset>
            </wp:positionV>
            <wp:extent cx="56603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60390" cy="8255"/>
                    </a:xfrm>
                    <a:prstGeom prst="rect">
                      <a:avLst/>
                    </a:prstGeom>
                    <a:noFill/>
                  </pic:spPr>
                </pic:pic>
              </a:graphicData>
            </a:graphic>
          </wp:anchor>
        </w:drawing>
      </w:r>
    </w:p>
    <w:p>
      <w:pPr>
        <w:spacing w:after="0" w:line="31" w:lineRule="exact"/>
        <w:rPr>
          <w:sz w:val="20"/>
          <w:szCs w:val="20"/>
          <w:color w:val="auto"/>
        </w:rPr>
      </w:pPr>
    </w:p>
    <w:p>
      <w:pPr>
        <w:jc w:val="both"/>
        <w:ind w:right="140"/>
        <w:spacing w:after="0" w:line="265"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148590</wp:posOffset>
            </wp:positionV>
            <wp:extent cx="71348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120"/>
          </w:cols>
          <w:pgMar w:left="320" w:top="1059" w:right="459" w:bottom="1440" w:gutter="0" w:footer="0" w:header="0"/>
        </w:sectPr>
      </w:pPr>
    </w:p>
    <w:bookmarkStart w:id="2" w:name="page3"/>
    <w:bookmarkEnd w:id="2"/>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registration statement consists of two prospectuses, covering the registration of:</w:t>
      </w:r>
    </w:p>
    <w:p>
      <w:pPr>
        <w:spacing w:after="0" w:line="218" w:lineRule="exact"/>
        <w:rPr>
          <w:sz w:val="20"/>
          <w:szCs w:val="20"/>
          <w:color w:val="auto"/>
        </w:rPr>
      </w:pPr>
    </w:p>
    <w:p>
      <w:pPr>
        <w:ind w:left="400" w:hanging="318"/>
        <w:spacing w:after="0"/>
        <w:tabs>
          <w:tab w:leader="none" w:pos="40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common shares, preferred shares, debt securities and warrants of Civeo Corporation to be issued by Civeo in a primary offering; and</w:t>
      </w:r>
    </w:p>
    <w:p>
      <w:pPr>
        <w:spacing w:after="0" w:line="189" w:lineRule="exact"/>
        <w:rPr>
          <w:rFonts w:ascii="Times New Roman" w:cs="Times New Roman" w:eastAsia="Times New Roman" w:hAnsi="Times New Roman"/>
          <w:sz w:val="17"/>
          <w:szCs w:val="17"/>
          <w:color w:val="auto"/>
        </w:rPr>
      </w:pPr>
    </w:p>
    <w:p>
      <w:pPr>
        <w:ind w:left="400" w:hanging="318"/>
        <w:spacing w:after="0"/>
        <w:tabs>
          <w:tab w:leader="none" w:pos="4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shares of Civeo that may be sold in one or more secondary offerings or resales by the selling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-401955</wp:posOffset>
            </wp:positionH>
            <wp:positionV relativeFrom="paragraph">
              <wp:posOffset>225425</wp:posOffset>
            </wp:positionV>
            <wp:extent cx="56603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60390" cy="8255"/>
                    </a:xfrm>
                    <a:prstGeom prst="rect">
                      <a:avLst/>
                    </a:prstGeom>
                    <a:noFill/>
                  </pic:spPr>
                </pic:pic>
              </a:graphicData>
            </a:graphic>
          </wp:anchor>
        </w:drawing>
      </w:r>
    </w:p>
    <w:p>
      <w:pPr>
        <w:sectPr>
          <w:pgSz w:w="11900" w:h="16838" w:orient="portrait"/>
          <w:cols w:equalWidth="0" w:num="1">
            <w:col w:w="9780"/>
          </w:cols>
          <w:pgMar w:left="960" w:top="1300" w:right="1159" w:bottom="1440" w:gutter="0" w:footer="0" w:header="0"/>
        </w:sectPr>
      </w:pPr>
    </w:p>
    <w:bookmarkStart w:id="3" w:name="page4"/>
    <w:bookmarkEnd w:id="3"/>
    <w:p>
      <w:pPr>
        <w:spacing w:after="0" w:line="253" w:lineRule="auto"/>
        <w:rPr>
          <w:sz w:val="20"/>
          <w:szCs w:val="20"/>
          <w:color w:val="auto"/>
        </w:rPr>
      </w:pPr>
      <w:r>
        <w:rPr>
          <w:rFonts w:ascii="Times New Roman" w:cs="Times New Roman" w:eastAsia="Times New Roman" w:hAnsi="Times New Roman"/>
          <w:sz w:val="18"/>
          <w:szCs w:val="18"/>
          <w:b w:val="1"/>
          <w:bCs w:val="1"/>
          <w:color w:val="FF0000"/>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FF0000"/>
        </w:rPr>
        <w:t>SUBJECT TO COMPLETION, DATED AUGUST 29, 2022</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2303780</wp:posOffset>
            </wp:positionH>
            <wp:positionV relativeFrom="paragraph">
              <wp:posOffset>184785</wp:posOffset>
            </wp:positionV>
            <wp:extent cx="2535555" cy="13055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35555" cy="1305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CIVEO CORPORATION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$300,000,000</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Shares</w:t>
      </w:r>
    </w:p>
    <w:p>
      <w:pPr>
        <w:jc w:val="center"/>
        <w:ind w:right="-19"/>
        <w:spacing w:after="0" w:line="236" w:lineRule="auto"/>
        <w:rPr>
          <w:sz w:val="20"/>
          <w:szCs w:val="20"/>
          <w:color w:val="auto"/>
        </w:rPr>
      </w:pPr>
      <w:r>
        <w:rPr>
          <w:rFonts w:ascii="Times New Roman" w:cs="Times New Roman" w:eastAsia="Times New Roman" w:hAnsi="Times New Roman"/>
          <w:sz w:val="18"/>
          <w:szCs w:val="18"/>
          <w:b w:val="1"/>
          <w:bCs w:val="1"/>
          <w:color w:val="auto"/>
        </w:rPr>
        <w:t>Preferred Shares</w:t>
      </w:r>
    </w:p>
    <w:p>
      <w:pPr>
        <w:jc w:val="center"/>
        <w:ind w:right="-19"/>
        <w:spacing w:after="0" w:line="231" w:lineRule="auto"/>
        <w:rPr>
          <w:sz w:val="20"/>
          <w:szCs w:val="20"/>
          <w:color w:val="auto"/>
        </w:rPr>
      </w:pPr>
      <w:r>
        <w:rPr>
          <w:rFonts w:ascii="Times New Roman" w:cs="Times New Roman" w:eastAsia="Times New Roman" w:hAnsi="Times New Roman"/>
          <w:sz w:val="18"/>
          <w:szCs w:val="18"/>
          <w:b w:val="1"/>
          <w:bCs w:val="1"/>
          <w:color w:val="auto"/>
        </w:rPr>
        <w:t>Debt Securities</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357" w:lineRule="exact"/>
        <w:rPr>
          <w:sz w:val="20"/>
          <w:szCs w:val="20"/>
          <w:color w:val="auto"/>
        </w:rPr>
      </w:pPr>
    </w:p>
    <w:p>
      <w:pPr>
        <w:ind w:firstLine="637"/>
        <w:spacing w:after="0" w:line="245" w:lineRule="auto"/>
        <w:rPr>
          <w:sz w:val="20"/>
          <w:szCs w:val="20"/>
          <w:color w:val="auto"/>
        </w:rPr>
      </w:pPr>
      <w:r>
        <w:rPr>
          <w:rFonts w:ascii="Times New Roman" w:cs="Times New Roman" w:eastAsia="Times New Roman" w:hAnsi="Times New Roman"/>
          <w:sz w:val="18"/>
          <w:szCs w:val="18"/>
          <w:color w:val="auto"/>
        </w:rPr>
        <w:t>We may issue and sell from time to time securities described in this prospectus for a total initial offering price of up to $300,000,000. This prospectus contains summaries of the general terms of the securities. At the time of each offering, we will provide the specific terms of the offering and the securities in supplements to this prospectus. You should read this prospectus and any prospectus supplement carefully before you invest. Our common shares are listed on the New York Stock Exchange (the “NYSE”) under the symbol “CVEO.” The last reported sale price of our common shares on August 26, 2022, as reported by the NYSE, was $29.47 per share.</w:t>
      </w:r>
    </w:p>
    <w:p>
      <w:pPr>
        <w:spacing w:after="0" w:line="160" w:lineRule="exact"/>
        <w:rPr>
          <w:sz w:val="20"/>
          <w:szCs w:val="20"/>
          <w:color w:val="auto"/>
        </w:rPr>
      </w:pPr>
    </w:p>
    <w:p>
      <w:pPr>
        <w:ind w:right="80" w:firstLine="637"/>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Investing in our securities involves risks. Please carefully review the information under the heading “Risk Factors” on page 1. In addition, risks associated with any investment in our securities may be described in the applicable prospectus supplement and certain of our filings with the Securities and Exchange Commission, as described in “Risk Factors” on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2430145</wp:posOffset>
            </wp:positionH>
            <wp:positionV relativeFrom="paragraph">
              <wp:posOffset>102235</wp:posOffset>
            </wp:positionV>
            <wp:extent cx="8426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42645" cy="8255"/>
                    </a:xfrm>
                    <a:prstGeom prst="rect">
                      <a:avLst/>
                    </a:prstGeom>
                    <a:noFill/>
                  </pic:spPr>
                </pic:pic>
              </a:graphicData>
            </a:graphic>
          </wp:anchor>
        </w:drawing>
      </w:r>
    </w:p>
    <w:p>
      <w:pPr>
        <w:spacing w:after="0" w:line="386" w:lineRule="exact"/>
        <w:rPr>
          <w:sz w:val="20"/>
          <w:szCs w:val="20"/>
          <w:color w:val="auto"/>
        </w:rPr>
      </w:pPr>
    </w:p>
    <w:p>
      <w:pPr>
        <w:ind w:right="320" w:firstLine="637"/>
        <w:spacing w:after="0" w:line="27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whether this prospectus is truthful or complete. Any representation to the contrary is a criminal offense.</w:t>
      </w:r>
    </w:p>
    <w:p>
      <w:pPr>
        <w:spacing w:after="0" w:line="200" w:lineRule="exact"/>
        <w:rPr>
          <w:sz w:val="20"/>
          <w:szCs w:val="20"/>
          <w:color w:val="auto"/>
        </w:rPr>
      </w:pPr>
    </w:p>
    <w:p>
      <w:pPr>
        <w:spacing w:after="0" w:line="321" w:lineRule="exact"/>
        <w:rPr>
          <w:sz w:val="20"/>
          <w:szCs w:val="20"/>
          <w:color w:val="auto"/>
        </w:rPr>
      </w:pPr>
    </w:p>
    <w:p>
      <w:pPr>
        <w:jc w:val="center"/>
        <w:ind w:right="-19"/>
        <w:spacing w:after="0"/>
        <w:tabs>
          <w:tab w:leader="none" w:pos="200" w:val="left"/>
        </w:tabs>
        <w:rPr>
          <w:sz w:val="20"/>
          <w:szCs w:val="20"/>
          <w:color w:val="auto"/>
        </w:rPr>
      </w:pPr>
      <w:r>
        <w:rPr>
          <w:rFonts w:ascii="Times New Roman" w:cs="Times New Roman" w:eastAsia="Times New Roman" w:hAnsi="Times New Roman"/>
          <w:sz w:val="18"/>
          <w:szCs w:val="18"/>
          <w:color w:val="auto"/>
        </w:rPr>
        <w:t>The date of this prospectus is</w:t>
      </w:r>
      <w:r>
        <w:rPr>
          <w:sz w:val="20"/>
          <w:szCs w:val="20"/>
          <w:color w:val="auto"/>
        </w:rPr>
        <w:tab/>
      </w:r>
      <w:r>
        <w:rPr>
          <w:rFonts w:ascii="Times New Roman" w:cs="Times New Roman" w:eastAsia="Times New Roman" w:hAnsi="Times New Roman"/>
          <w:sz w:val="17"/>
          <w:szCs w:val="17"/>
          <w:color w:val="auto"/>
        </w:rPr>
        <w: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343535</wp:posOffset>
            </wp:positionV>
            <wp:extent cx="56603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60390" cy="8255"/>
                    </a:xfrm>
                    <a:prstGeom prst="rect">
                      <a:avLst/>
                    </a:prstGeom>
                    <a:noFill/>
                  </pic:spPr>
                </pic:pic>
              </a:graphicData>
            </a:graphic>
          </wp:anchor>
        </w:drawing>
      </w:r>
    </w:p>
    <w:p>
      <w:pPr>
        <w:sectPr>
          <w:pgSz w:w="11900" w:h="16838" w:orient="portrait"/>
          <w:cols w:equalWidth="0" w:num="1">
            <w:col w:w="11220"/>
          </w:cols>
          <w:pgMar w:left="320" w:top="1313" w:right="359" w:bottom="1440" w:gutter="0" w:footer="0" w:header="0"/>
        </w:sectPr>
      </w:pPr>
    </w:p>
    <w:bookmarkStart w:id="4" w:name="page5"/>
    <w:bookmarkEnd w:id="4"/>
    <w:tbl>
      <w:tblPr>
        <w:tblLayout w:type="fixed"/>
        <w:tblInd w:w="8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460" w:type="dxa"/>
            <w:vAlign w:val="bottom"/>
            <w:gridSpan w:val="2"/>
          </w:tcPr>
          <w:p>
            <w:pPr>
              <w:jc w:val="right"/>
              <w:ind w:right="4612"/>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583"/>
        </w:trPr>
        <w:tc>
          <w:tcPr>
            <w:tcW w:w="3700" w:type="dxa"/>
            <w:vAlign w:val="bottom"/>
          </w:tcPr>
          <w:p>
            <w:pPr>
              <w:spacing w:after="0"/>
              <w:rPr>
                <w:sz w:val="24"/>
                <w:szCs w:val="24"/>
                <w:color w:val="auto"/>
              </w:rPr>
            </w:pPr>
          </w:p>
        </w:tc>
        <w:tc>
          <w:tcPr>
            <w:tcW w:w="7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Page</w:t>
            </w:r>
          </w:p>
        </w:tc>
      </w:tr>
      <w:tr>
        <w:trPr>
          <w:trHeight w:val="267"/>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0563C1"/>
              </w:rPr>
              <w:t>About Civeo Corporation</w:t>
            </w:r>
          </w:p>
        </w:tc>
        <w:tc>
          <w:tcPr>
            <w:tcW w:w="7120" w:type="dxa"/>
            <w:vAlign w:val="bottom"/>
          </w:tcPr>
          <w:p>
            <w:pPr>
              <w:spacing w:after="0"/>
              <w:rPr>
                <w:sz w:val="23"/>
                <w:szCs w:val="23"/>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0563C1"/>
              </w:rPr>
              <w:t>Risk Factors</w:t>
            </w:r>
          </w:p>
        </w:tc>
        <w:tc>
          <w:tcPr>
            <w:tcW w:w="7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0563C1"/>
              </w:rPr>
              <w:t>Forward-Looking Information</w:t>
            </w:r>
          </w:p>
        </w:tc>
        <w:tc>
          <w:tcPr>
            <w:tcW w:w="7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0563C1"/>
              </w:rPr>
              <w:t>Use of Proceeds</w:t>
            </w:r>
          </w:p>
        </w:tc>
        <w:tc>
          <w:tcPr>
            <w:tcW w:w="7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0563C1"/>
              </w:rPr>
              <w:t>Description of Debt Securities</w:t>
            </w:r>
          </w:p>
        </w:tc>
        <w:tc>
          <w:tcPr>
            <w:tcW w:w="7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0563C1"/>
              </w:rPr>
              <w:t>Description of Share Capital</w:t>
            </w:r>
          </w:p>
        </w:tc>
        <w:tc>
          <w:tcPr>
            <w:tcW w:w="7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0563C1"/>
              </w:rPr>
              <w:t>Description of Warrants</w:t>
            </w:r>
          </w:p>
        </w:tc>
        <w:tc>
          <w:tcPr>
            <w:tcW w:w="7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0563C1"/>
              </w:rPr>
              <w:t>Plan of Distribution</w:t>
            </w:r>
          </w:p>
        </w:tc>
        <w:tc>
          <w:tcPr>
            <w:tcW w:w="7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0563C1"/>
              </w:rPr>
              <w:t>Legal Matters</w:t>
            </w:r>
          </w:p>
        </w:tc>
        <w:tc>
          <w:tcPr>
            <w:tcW w:w="7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0563C1"/>
              </w:rPr>
              <w:t>Experts</w:t>
            </w:r>
          </w:p>
        </w:tc>
        <w:tc>
          <w:tcPr>
            <w:tcW w:w="7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0563C1"/>
              </w:rPr>
              <w:t>Where You Can Find More Information</w:t>
            </w:r>
          </w:p>
        </w:tc>
        <w:tc>
          <w:tcPr>
            <w:tcW w:w="7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bl>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80" w:lineRule="exact"/>
        <w:rPr>
          <w:sz w:val="20"/>
          <w:szCs w:val="20"/>
          <w:color w:val="auto"/>
        </w:rPr>
      </w:pPr>
    </w:p>
    <w:p>
      <w:pPr>
        <w:ind w:right="40" w:firstLine="637"/>
        <w:spacing w:after="0"/>
        <w:rPr>
          <w:sz w:val="20"/>
          <w:szCs w:val="20"/>
          <w:color w:val="auto"/>
        </w:rPr>
      </w:pPr>
      <w:r>
        <w:rPr>
          <w:rFonts w:ascii="Times New Roman" w:cs="Times New Roman" w:eastAsia="Times New Roman" w:hAnsi="Times New Roman"/>
          <w:sz w:val="18"/>
          <w:szCs w:val="18"/>
          <w:color w:val="auto"/>
        </w:rPr>
        <w:t>This prospectus is part of a registration statement that we have filed with the Securities and Exchange Commission (the “SEC”) using a “shelf” registration process. Under this shelf registration process, we may offer any combination of the securities described in this prospectus in one or more offerings with a total initial offering price of up to $300,000,000. This prospectus provides a general description of the securities offered by us. Each time we use this prospectus to offer securities, we will provide a prospectus supplement that will contain specific information about the terms of that offering and the securities being offered. The prospectus supplement may also add to, update or change information contained in this prospectus and, accordingly, to the extent inconsistent, information in this prospectus will be superseded by the information in the prospectus supplement. You should read both this prospectus and any prospectus supplement together with additional information described under the heading “Where You Can Find More Information.”</w:t>
      </w:r>
    </w:p>
    <w:p>
      <w:pPr>
        <w:spacing w:after="0" w:line="154" w:lineRule="exact"/>
        <w:rPr>
          <w:sz w:val="20"/>
          <w:szCs w:val="20"/>
          <w:color w:val="auto"/>
        </w:rPr>
      </w:pPr>
    </w:p>
    <w:p>
      <w:pPr>
        <w:ind w:right="60" w:firstLine="637"/>
        <w:spacing w:after="0" w:line="239" w:lineRule="auto"/>
        <w:rPr>
          <w:sz w:val="20"/>
          <w:szCs w:val="20"/>
          <w:color w:val="auto"/>
        </w:rPr>
      </w:pPr>
      <w:r>
        <w:rPr>
          <w:rFonts w:ascii="Times New Roman" w:cs="Times New Roman" w:eastAsia="Times New Roman" w:hAnsi="Times New Roman"/>
          <w:sz w:val="18"/>
          <w:szCs w:val="18"/>
          <w:b w:val="1"/>
          <w:bCs w:val="1"/>
          <w:color w:val="auto"/>
        </w:rPr>
        <w:t>We have not authorized anyone to provide any information or to make any representations other than those contained in this prospectus or incorporated by reference in this prospectus. We take no responsibility for, and can provide no assurance as to the reliability of, any other information that others may give you. This prospectus may only be used where it is legal to sell the offered securities. You should not assume that the information in this prospectus is accurate as of any date other than the date on the cover page of this prospectus or that any information we have incorporated by reference is accurate as of any date other than the date of the documents incorporated by reference. Our business, financial condition, results of operations and prospects may have changed since those dates.</w:t>
      </w:r>
    </w:p>
    <w:p>
      <w:pPr>
        <w:spacing w:after="0" w:line="224" w:lineRule="exact"/>
        <w:rPr>
          <w:sz w:val="20"/>
          <w:szCs w:val="20"/>
          <w:color w:val="auto"/>
        </w:rPr>
      </w:pPr>
    </w:p>
    <w:p>
      <w:pPr>
        <w:ind w:right="220" w:firstLine="637"/>
        <w:spacing w:after="0" w:line="259" w:lineRule="auto"/>
        <w:rPr>
          <w:sz w:val="20"/>
          <w:szCs w:val="20"/>
          <w:color w:val="auto"/>
        </w:rPr>
      </w:pPr>
      <w:r>
        <w:rPr>
          <w:rFonts w:ascii="Times New Roman" w:cs="Times New Roman" w:eastAsia="Times New Roman" w:hAnsi="Times New Roman"/>
          <w:sz w:val="18"/>
          <w:szCs w:val="18"/>
          <w:color w:val="auto"/>
        </w:rPr>
        <w:t>Unless the context requires otherwise, references in this prospectus to “Civeo,” the “Company,” “we,” “us,” “our” and similar terms refer to Civeo Corporation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w:t>
      </w:r>
    </w:p>
    <w:p>
      <w:pPr>
        <w:sectPr>
          <w:pgSz w:w="11900" w:h="16838" w:orient="portrait"/>
          <w:cols w:equalWidth="0" w:num="1">
            <w:col w:w="11240"/>
          </w:cols>
          <w:pgMar w:left="320" w:top="1074"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CIVEO CORPORATION</w:t>
      </w:r>
    </w:p>
    <w:p>
      <w:pPr>
        <w:spacing w:after="0" w:line="180" w:lineRule="exact"/>
        <w:rPr>
          <w:sz w:val="20"/>
          <w:szCs w:val="20"/>
          <w:color w:val="auto"/>
        </w:rPr>
      </w:pPr>
    </w:p>
    <w:p>
      <w:pPr>
        <w:ind w:right="20" w:firstLine="637"/>
        <w:spacing w:after="0" w:line="257" w:lineRule="auto"/>
        <w:rPr>
          <w:sz w:val="20"/>
          <w:szCs w:val="20"/>
          <w:color w:val="auto"/>
        </w:rPr>
      </w:pPr>
      <w:r>
        <w:rPr>
          <w:rFonts w:ascii="Times New Roman" w:cs="Times New Roman" w:eastAsia="Times New Roman" w:hAnsi="Times New Roman"/>
          <w:sz w:val="17"/>
          <w:szCs w:val="17"/>
          <w:color w:val="auto"/>
        </w:rPr>
        <w:t>We provide hospitality services to the natural resources industry in Canada, Australia and the U.S. Our full suite of hospitality services for our guests includes lodging, catering and food service, housekeeping and maintenance at accommodation facilities that we or our customers own. In many cases, we provide services that support the day-to-day operations, such as laundry, facility management and maintenance, water and wastewater treatment, power generation, communication systems, security and logistics. We also offer development activities for workforce accommodation facilities, including site selection, permitting, engineering and design, manufacturing management and site construction, along with providing hospitality services once the facility is constructed. We primarily operate in some of the world’s most active oil, metallurgical (met) coal, liquefied natural gas (LNG) and iron ore producing regions, and our customers include major and independent oil companies, mining companies, engineering companies and oilfield and mining service companies.</w:t>
      </w:r>
    </w:p>
    <w:p>
      <w:pPr>
        <w:spacing w:after="0" w:line="1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Our executive offices are located at Three Allen Center, 333 Clay Street, Suite 4980, Houston, Texas 77002, and our telephone number is (713) 510-</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2400.</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80" w:lineRule="exact"/>
        <w:rPr>
          <w:sz w:val="20"/>
          <w:szCs w:val="20"/>
          <w:color w:val="auto"/>
        </w:rPr>
      </w:pPr>
    </w:p>
    <w:p>
      <w:pPr>
        <w:ind w:right="100" w:firstLine="637"/>
        <w:spacing w:after="0" w:line="241" w:lineRule="auto"/>
        <w:rPr>
          <w:sz w:val="20"/>
          <w:szCs w:val="20"/>
          <w:color w:val="auto"/>
        </w:rPr>
      </w:pPr>
      <w:r>
        <w:rPr>
          <w:rFonts w:ascii="Times New Roman" w:cs="Times New Roman" w:eastAsia="Times New Roman" w:hAnsi="Times New Roman"/>
          <w:sz w:val="18"/>
          <w:szCs w:val="18"/>
          <w:color w:val="auto"/>
        </w:rPr>
        <w:t>An investment in our securities involves a high degree of risk. You should carefully consider the risks described in our filings with the SEC referred to under the heading “Where You Can Find More Information,” including the risk factors incorporated by reference herein from Civeo’s most recent annual report on Form 10-K and quarterly reports on Form 10-Q and from other reports and documents we file with the SEC after the date of this prospectus that are incorporated by reference herein, together with all of the other information included in this prospectus, the applicable prospectus supplement and the documents we incorporate by reference.</w:t>
      </w:r>
    </w:p>
    <w:p>
      <w:pPr>
        <w:spacing w:after="0" w:line="155" w:lineRule="exact"/>
        <w:rPr>
          <w:sz w:val="20"/>
          <w:szCs w:val="20"/>
          <w:color w:val="auto"/>
        </w:rPr>
      </w:pPr>
    </w:p>
    <w:p>
      <w:pPr>
        <w:jc w:val="both"/>
        <w:ind w:right="180" w:firstLine="637"/>
        <w:spacing w:after="0" w:line="252" w:lineRule="auto"/>
        <w:rPr>
          <w:sz w:val="20"/>
          <w:szCs w:val="20"/>
          <w:color w:val="auto"/>
        </w:rPr>
      </w:pPr>
      <w:r>
        <w:rPr>
          <w:rFonts w:ascii="Times New Roman" w:cs="Times New Roman" w:eastAsia="Times New Roman" w:hAnsi="Times New Roman"/>
          <w:sz w:val="18"/>
          <w:szCs w:val="18"/>
          <w:color w:val="auto"/>
        </w:rPr>
        <w:t>If any of these risks were to occur, our business, financial condition, results of operations or cash flows could be adversely affected. You could lose all or part of your investment. When we offer and sell any securities pursuant to a prospectus supplement, we may include additional risk factors relevant to that offering in the prospectus supplement.</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180" w:lineRule="exact"/>
        <w:rPr>
          <w:sz w:val="20"/>
          <w:szCs w:val="20"/>
          <w:color w:val="auto"/>
        </w:rPr>
      </w:pPr>
    </w:p>
    <w:p>
      <w:pPr>
        <w:ind w:right="20" w:firstLine="637"/>
        <w:spacing w:after="0" w:line="239" w:lineRule="auto"/>
        <w:rPr>
          <w:sz w:val="20"/>
          <w:szCs w:val="20"/>
          <w:color w:val="auto"/>
        </w:rPr>
      </w:pPr>
      <w:r>
        <w:rPr>
          <w:rFonts w:ascii="Times New Roman" w:cs="Times New Roman" w:eastAsia="Times New Roman" w:hAnsi="Times New Roman"/>
          <w:sz w:val="18"/>
          <w:szCs w:val="18"/>
          <w:color w:val="auto"/>
        </w:rPr>
        <w:t>We include the following cautionary statement to take advantage of the “safe harbor” provisions of the Private Securities Litigation Reform Act of 1995 for any “forward-looking statement” made by us or on our behalf. All statements other than statements of historical facts included in this prospectus, including the information we incorporate by reference, are forward-looking statements. The forward-looking statements can be identified by the use of forward-looking terminology including “may,” “expect,” “anticipate,” “estimate,” “continue,” “believe” or other similar words. Such statements may include statements regarding our future financial position, budgets, capital expenditures, projected costs, plans and objectives of management for future operations and possible future strategic transactions. Where any such forward-looking statement includes a statement of the assumptions or bases underlying such forward-looking statement, we caution that, while we believe such assumptions or bases to be reasonable and make them in good faith, assumed facts or bases almost always vary from actual results. The differences between assumed facts or bases and actual results can be material, depending upon the circumstances. The factors identified in this cautionary statement are important factors (but not necessarily all of the important factors) that could cause actual results to differ materially from those expressed in any forward-looking statement made by us, or on our behalf.</w:t>
      </w:r>
    </w:p>
    <w:p>
      <w:pPr>
        <w:spacing w:after="0" w:line="141" w:lineRule="exact"/>
        <w:rPr>
          <w:sz w:val="20"/>
          <w:szCs w:val="20"/>
          <w:color w:val="auto"/>
        </w:rPr>
      </w:pPr>
    </w:p>
    <w:p>
      <w:pPr>
        <w:ind w:firstLine="637"/>
        <w:spacing w:after="0" w:line="245" w:lineRule="auto"/>
        <w:rPr>
          <w:sz w:val="20"/>
          <w:szCs w:val="20"/>
          <w:color w:val="auto"/>
        </w:rPr>
      </w:pPr>
      <w:r>
        <w:rPr>
          <w:rFonts w:ascii="Times New Roman" w:cs="Times New Roman" w:eastAsia="Times New Roman" w:hAnsi="Times New Roman"/>
          <w:sz w:val="18"/>
          <w:szCs w:val="18"/>
          <w:color w:val="auto"/>
        </w:rPr>
        <w:t>In any forward-looking statement where we, or our management, express an expectation or belief as to future results, such expectation or belief is expressed in good faith and believed to have a reasonable basis. However, there can be no assurance that the statement of expectation or belief will result or be achieved or accomplished. Taking this into account, the following are identified as important factors that could cause actual results to differ materially from those expressed in any forward-looking statement made by, or on behalf of, our company:</w:t>
      </w:r>
    </w:p>
    <w:p>
      <w:pPr>
        <w:spacing w:after="0" w:line="163" w:lineRule="exact"/>
        <w:rPr>
          <w:sz w:val="20"/>
          <w:szCs w:val="20"/>
          <w:color w:val="auto"/>
        </w:rPr>
      </w:pPr>
    </w:p>
    <w:p>
      <w:pPr>
        <w:ind w:left="960" w:hanging="317"/>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supply and demand for oil, met coal, natural gas, iron ore and other minerals;</w:t>
      </w:r>
    </w:p>
    <w:p>
      <w:pPr>
        <w:spacing w:after="0" w:line="177"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activity, spending and developments in the Canadian oil sands;</w:t>
      </w:r>
    </w:p>
    <w:p>
      <w:pPr>
        <w:spacing w:after="0" w:line="190"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particularly from China, for met coal and other natural resources from and investments and opportunities in Australia;</w:t>
      </w:r>
    </w:p>
    <w:p>
      <w:pPr>
        <w:spacing w:after="0" w:line="177" w:lineRule="exact"/>
        <w:rPr>
          <w:rFonts w:ascii="Times New Roman" w:cs="Times New Roman" w:eastAsia="Times New Roman" w:hAnsi="Times New Roman"/>
          <w:sz w:val="18"/>
          <w:szCs w:val="18"/>
          <w:color w:val="auto"/>
        </w:rPr>
      </w:pPr>
    </w:p>
    <w:p>
      <w:pPr>
        <w:ind w:left="960" w:right="340" w:hanging="317"/>
        <w:spacing w:after="0" w:line="234" w:lineRule="auto"/>
        <w:tabs>
          <w:tab w:leader="none" w:pos="9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attractive oil and natural gas field assets, which may be affected by governmental actions or environmental activists which may restrict drilling;</w:t>
      </w:r>
    </w:p>
    <w:p>
      <w:pPr>
        <w:spacing w:after="0" w:line="166"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current and future prices of oil, met coal, natural gas, iron ore and other minerals;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1074" w:right="339" w:bottom="1440" w:gutter="0" w:footer="0" w:header="0"/>
        </w:sectPr>
      </w:pPr>
    </w:p>
    <w:bookmarkStart w:id="6" w:name="page7"/>
    <w:bookmarkEnd w:id="6"/>
    <w:p>
      <w:pPr>
        <w:ind w:left="960" w:right="40" w:hanging="317"/>
        <w:spacing w:after="0" w:line="234" w:lineRule="auto"/>
        <w:tabs>
          <w:tab w:leader="none" w:pos="9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our customers to reach positive final investment decisions on, or otherwise not complete, projects with respect to which we have been awarded contracts to provide related hospitality services, which may cause those customers to terminate or postpone the contracts;</w:t>
      </w:r>
    </w:p>
    <w:p>
      <w:pPr>
        <w:spacing w:after="0" w:line="166"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w:t>
      </w:r>
    </w:p>
    <w:p>
      <w:pPr>
        <w:spacing w:after="0" w:line="177"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ongoing COVID-19 pandemic and the response thereto;</w:t>
      </w:r>
    </w:p>
    <w:p>
      <w:pPr>
        <w:spacing w:after="0" w:line="177"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global economic conditions and the pace of global economic growth;</w:t>
      </w:r>
    </w:p>
    <w:p>
      <w:pPr>
        <w:spacing w:after="0" w:line="190" w:lineRule="exact"/>
        <w:rPr>
          <w:rFonts w:ascii="Times New Roman" w:cs="Times New Roman" w:eastAsia="Times New Roman" w:hAnsi="Times New Roman"/>
          <w:sz w:val="18"/>
          <w:szCs w:val="18"/>
          <w:color w:val="auto"/>
        </w:rPr>
      </w:pPr>
    </w:p>
    <w:p>
      <w:pPr>
        <w:ind w:left="960" w:hanging="317"/>
        <w:spacing w:after="0" w:line="234" w:lineRule="auto"/>
        <w:tabs>
          <w:tab w:leader="none" w:pos="9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tax treaties or tax regulations or the interpretation or enforcement thereof, including taxing authorities not agreeing with our assessment of the effects of such laws, treaties and regulations;</w:t>
      </w:r>
    </w:p>
    <w:p>
      <w:pPr>
        <w:spacing w:after="0" w:line="153"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government and environmental regulations, including climate change;</w:t>
      </w:r>
    </w:p>
    <w:p>
      <w:pPr>
        <w:spacing w:after="0" w:line="190"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weather conditions, natural disasters, global health concerns and security threats;</w:t>
      </w:r>
    </w:p>
    <w:p>
      <w:pPr>
        <w:spacing w:after="0" w:line="177"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skilled personnel;</w:t>
      </w:r>
    </w:p>
    <w:p>
      <w:pPr>
        <w:spacing w:after="0" w:line="177"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capital, including the ability to access the debt and equity markets;</w:t>
      </w:r>
    </w:p>
    <w:p>
      <w:pPr>
        <w:spacing w:after="0" w:line="190"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acquisitions;</w:t>
      </w:r>
    </w:p>
    <w:p>
      <w:pPr>
        <w:spacing w:after="0" w:line="177"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new projects, including whether such projects will continue in the future; and</w:t>
      </w:r>
    </w:p>
    <w:p>
      <w:pPr>
        <w:spacing w:after="0" w:line="177"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identified under “Risk Factors” above.</w:t>
      </w:r>
    </w:p>
    <w:p>
      <w:pPr>
        <w:spacing w:after="0" w:line="204" w:lineRule="exact"/>
        <w:rPr>
          <w:sz w:val="20"/>
          <w:szCs w:val="20"/>
          <w:color w:val="auto"/>
        </w:rPr>
      </w:pPr>
    </w:p>
    <w:p>
      <w:pPr>
        <w:ind w:right="160" w:firstLine="637"/>
        <w:spacing w:after="0" w:line="259" w:lineRule="auto"/>
        <w:rPr>
          <w:sz w:val="20"/>
          <w:szCs w:val="20"/>
          <w:color w:val="auto"/>
        </w:rPr>
      </w:pPr>
      <w:r>
        <w:rPr>
          <w:rFonts w:ascii="Times New Roman" w:cs="Times New Roman" w:eastAsia="Times New Roman" w:hAnsi="Times New Roman"/>
          <w:sz w:val="18"/>
          <w:szCs w:val="18"/>
          <w:color w:val="auto"/>
        </w:rPr>
        <w:t>Such risks and uncertainties are beyond our ability to control, and in many cases, we cannot predict the risks and uncertainties that could cause our actual results to differ materially from those indicated by the forward-looking statements.</w:t>
      </w:r>
    </w:p>
    <w:p>
      <w:pPr>
        <w:spacing w:after="0" w:line="137" w:lineRule="exact"/>
        <w:rPr>
          <w:sz w:val="20"/>
          <w:szCs w:val="20"/>
          <w:color w:val="auto"/>
        </w:rPr>
      </w:pPr>
    </w:p>
    <w:p>
      <w:pPr>
        <w:ind w:right="260" w:firstLine="637"/>
        <w:spacing w:after="0" w:line="245" w:lineRule="auto"/>
        <w:rPr>
          <w:sz w:val="20"/>
          <w:szCs w:val="20"/>
          <w:color w:val="auto"/>
        </w:rPr>
      </w:pPr>
      <w:r>
        <w:rPr>
          <w:rFonts w:ascii="Times New Roman" w:cs="Times New Roman" w:eastAsia="Times New Roman" w:hAnsi="Times New Roman"/>
          <w:sz w:val="18"/>
          <w:szCs w:val="18"/>
          <w:color w:val="auto"/>
        </w:rPr>
        <w:t>All subsequent written and oral forward-looking statements attributable to us or to persons acting on our behalf are expressly qualified in their entirety by reference to these risks and uncertainties. You should not place undue reliance on forward-looking statements. Each forward-looking statement speaks only as of the date of the particular statement, and we do not undertake any obligation to publicly update or revise any forward-looking statements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180"/>
          </w:cols>
          <w:pgMar w:left="320" w:top="1063" w:right="399" w:bottom="1440" w:gutter="0" w:footer="0" w:header="0"/>
        </w:sectPr>
      </w:pPr>
    </w:p>
    <w:bookmarkStart w:id="7" w:name="page8"/>
    <w:bookmarkEnd w:id="7"/>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80" w:lineRule="exact"/>
        <w:rPr>
          <w:sz w:val="20"/>
          <w:szCs w:val="20"/>
          <w:color w:val="auto"/>
        </w:rPr>
      </w:pPr>
    </w:p>
    <w:p>
      <w:pPr>
        <w:ind w:right="40" w:firstLine="637"/>
        <w:spacing w:after="0" w:line="259" w:lineRule="auto"/>
        <w:rPr>
          <w:sz w:val="20"/>
          <w:szCs w:val="20"/>
          <w:color w:val="auto"/>
        </w:rPr>
      </w:pPr>
      <w:r>
        <w:rPr>
          <w:rFonts w:ascii="Times New Roman" w:cs="Times New Roman" w:eastAsia="Times New Roman" w:hAnsi="Times New Roman"/>
          <w:sz w:val="18"/>
          <w:szCs w:val="18"/>
          <w:color w:val="auto"/>
        </w:rPr>
        <w:t>Unless we inform you otherwise in an applicable prospectus supplement, we expect to use the net proceeds from the sale of securities offered by us under this prospectus for general corporate purposes. These purposes may include:</w:t>
      </w:r>
    </w:p>
    <w:p>
      <w:pPr>
        <w:spacing w:after="0" w:line="140" w:lineRule="exact"/>
        <w:rPr>
          <w:sz w:val="20"/>
          <w:szCs w:val="20"/>
          <w:color w:val="auto"/>
        </w:rPr>
      </w:pPr>
    </w:p>
    <w:p>
      <w:pPr>
        <w:ind w:left="680" w:hanging="356"/>
        <w:spacing w:after="0"/>
        <w:tabs>
          <w:tab w:leader="none" w:pos="680" w:val="left"/>
        </w:tabs>
        <w:numPr>
          <w:ilvl w:val="0"/>
          <w:numId w:val="4"/>
        </w:numPr>
        <w:rPr>
          <w:rFonts w:ascii="Arial" w:cs="Arial" w:eastAsia="Arial" w:hAnsi="Arial"/>
          <w:sz w:val="21"/>
          <w:szCs w:val="21"/>
          <w:color w:val="auto"/>
        </w:rPr>
      </w:pPr>
      <w:r>
        <w:rPr>
          <w:rFonts w:ascii="Times New Roman" w:cs="Times New Roman" w:eastAsia="Times New Roman" w:hAnsi="Times New Roman"/>
          <w:sz w:val="18"/>
          <w:szCs w:val="18"/>
          <w:color w:val="auto"/>
        </w:rPr>
        <w:t>capital expenditures;</w:t>
      </w:r>
    </w:p>
    <w:p>
      <w:pPr>
        <w:spacing w:after="0" w:line="209" w:lineRule="exact"/>
        <w:rPr>
          <w:rFonts w:ascii="Arial" w:cs="Arial" w:eastAsia="Arial" w:hAnsi="Arial"/>
          <w:sz w:val="21"/>
          <w:szCs w:val="21"/>
          <w:color w:val="auto"/>
        </w:rPr>
      </w:pPr>
    </w:p>
    <w:p>
      <w:pPr>
        <w:ind w:left="680" w:hanging="356"/>
        <w:spacing w:after="0"/>
        <w:tabs>
          <w:tab w:leader="none" w:pos="680" w:val="left"/>
        </w:tabs>
        <w:numPr>
          <w:ilvl w:val="0"/>
          <w:numId w:val="4"/>
        </w:numPr>
        <w:rPr>
          <w:rFonts w:ascii="Arial" w:cs="Arial" w:eastAsia="Arial" w:hAnsi="Arial"/>
          <w:sz w:val="21"/>
          <w:szCs w:val="21"/>
          <w:color w:val="auto"/>
        </w:rPr>
      </w:pPr>
      <w:r>
        <w:rPr>
          <w:rFonts w:ascii="Times New Roman" w:cs="Times New Roman" w:eastAsia="Times New Roman" w:hAnsi="Times New Roman"/>
          <w:sz w:val="18"/>
          <w:szCs w:val="18"/>
          <w:color w:val="auto"/>
        </w:rPr>
        <w:t>acquisitions;</w:t>
      </w:r>
    </w:p>
    <w:p>
      <w:pPr>
        <w:ind w:left="680" w:hanging="356"/>
        <w:spacing w:after="0" w:line="210" w:lineRule="auto"/>
        <w:tabs>
          <w:tab w:leader="none" w:pos="680" w:val="left"/>
        </w:tabs>
        <w:numPr>
          <w:ilvl w:val="0"/>
          <w:numId w:val="4"/>
        </w:numPr>
        <w:rPr>
          <w:rFonts w:ascii="Arial" w:cs="Arial" w:eastAsia="Arial" w:hAnsi="Arial"/>
          <w:sz w:val="21"/>
          <w:szCs w:val="21"/>
          <w:color w:val="auto"/>
        </w:rPr>
      </w:pPr>
      <w:r>
        <w:rPr>
          <w:rFonts w:ascii="Times New Roman" w:cs="Times New Roman" w:eastAsia="Times New Roman" w:hAnsi="Times New Roman"/>
          <w:sz w:val="18"/>
          <w:szCs w:val="18"/>
          <w:color w:val="auto"/>
        </w:rPr>
        <w:t>working capital; and</w:t>
      </w:r>
    </w:p>
    <w:p>
      <w:pPr>
        <w:spacing w:after="0" w:line="209" w:lineRule="exact"/>
        <w:rPr>
          <w:rFonts w:ascii="Arial" w:cs="Arial" w:eastAsia="Arial" w:hAnsi="Arial"/>
          <w:sz w:val="21"/>
          <w:szCs w:val="21"/>
          <w:color w:val="auto"/>
        </w:rPr>
      </w:pPr>
    </w:p>
    <w:p>
      <w:pPr>
        <w:ind w:left="680" w:hanging="356"/>
        <w:spacing w:after="0"/>
        <w:tabs>
          <w:tab w:leader="none" w:pos="680" w:val="left"/>
        </w:tabs>
        <w:numPr>
          <w:ilvl w:val="0"/>
          <w:numId w:val="4"/>
        </w:numPr>
        <w:rPr>
          <w:rFonts w:ascii="Arial" w:cs="Arial" w:eastAsia="Arial" w:hAnsi="Arial"/>
          <w:sz w:val="21"/>
          <w:szCs w:val="21"/>
          <w:color w:val="auto"/>
        </w:rPr>
      </w:pPr>
      <w:r>
        <w:rPr>
          <w:rFonts w:ascii="Times New Roman" w:cs="Times New Roman" w:eastAsia="Times New Roman" w:hAnsi="Times New Roman"/>
          <w:sz w:val="18"/>
          <w:szCs w:val="18"/>
          <w:color w:val="auto"/>
        </w:rPr>
        <w:t>repayment, refinancing or redemption of indebtedness or other securities.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Pending any specific application, we may initially invest funds in short-term marketable securities or apply them to the reduction of short-term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100"/>
          </w:cols>
          <w:pgMar w:left="320" w:top="1313" w:right="47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180" w:lineRule="exact"/>
        <w:rPr>
          <w:sz w:val="20"/>
          <w:szCs w:val="20"/>
          <w:color w:val="auto"/>
        </w:rPr>
      </w:pPr>
    </w:p>
    <w:p>
      <w:pPr>
        <w:ind w:right="40" w:firstLine="637"/>
        <w:spacing w:after="0" w:line="259" w:lineRule="auto"/>
        <w:rPr>
          <w:sz w:val="20"/>
          <w:szCs w:val="20"/>
          <w:color w:val="auto"/>
        </w:rPr>
      </w:pPr>
      <w:r>
        <w:rPr>
          <w:rFonts w:ascii="Times New Roman" w:cs="Times New Roman" w:eastAsia="Times New Roman" w:hAnsi="Times New Roman"/>
          <w:sz w:val="17"/>
          <w:szCs w:val="17"/>
          <w:color w:val="auto"/>
        </w:rPr>
        <w:t>The debt securities covered by this prospectus will be our general unsecured obligations. We will issue senior debt securities under an indenture to be entered into between us and a trustee we will name in the prospectus supplement relating to senior debt securities. We refer to this indenture as the “senior indenture.” We will issue subordinated debt securities under an indenture to be entered into between us and a trustee we will name in the prospectus supplement relating to subordinated debt securities. We refer to this indenture as the “subordinated indenture.” We refer to the senior indenture and the subordinated indenture collectively as the “indentures.” The indentures will be substantially identical, except for provisions relating to subordination.</w:t>
      </w:r>
    </w:p>
    <w:p>
      <w:pPr>
        <w:spacing w:after="0" w:line="139" w:lineRule="exact"/>
        <w:rPr>
          <w:sz w:val="20"/>
          <w:szCs w:val="20"/>
          <w:color w:val="auto"/>
        </w:rPr>
      </w:pPr>
    </w:p>
    <w:p>
      <w:pPr>
        <w:jc w:val="both"/>
        <w:ind w:right="140" w:firstLine="637"/>
        <w:spacing w:after="0" w:line="244" w:lineRule="auto"/>
        <w:rPr>
          <w:sz w:val="20"/>
          <w:szCs w:val="20"/>
          <w:color w:val="auto"/>
        </w:rPr>
      </w:pPr>
      <w:r>
        <w:rPr>
          <w:rFonts w:ascii="Times New Roman" w:cs="Times New Roman" w:eastAsia="Times New Roman" w:hAnsi="Times New Roman"/>
          <w:sz w:val="18"/>
          <w:szCs w:val="18"/>
          <w:color w:val="auto"/>
        </w:rPr>
        <w:t>We have summarized material provisions of the indentures and the debt securities below. This summary is not complete. We have filed the forms of indentures with the SEC as exhibits to the registration statement, and you should read the indentures for provisions that may be important to you. Please read “Where You Can Find More Information.”</w:t>
      </w:r>
    </w:p>
    <w:p>
      <w:pPr>
        <w:spacing w:after="0" w:line="151" w:lineRule="exact"/>
        <w:rPr>
          <w:sz w:val="20"/>
          <w:szCs w:val="20"/>
          <w:color w:val="auto"/>
        </w:rPr>
      </w:pPr>
    </w:p>
    <w:p>
      <w:pPr>
        <w:ind w:right="60" w:firstLine="637"/>
        <w:spacing w:after="0" w:line="259" w:lineRule="auto"/>
        <w:rPr>
          <w:sz w:val="20"/>
          <w:szCs w:val="20"/>
          <w:color w:val="auto"/>
        </w:rPr>
      </w:pPr>
      <w:r>
        <w:rPr>
          <w:rFonts w:ascii="Times New Roman" w:cs="Times New Roman" w:eastAsia="Times New Roman" w:hAnsi="Times New Roman"/>
          <w:sz w:val="18"/>
          <w:szCs w:val="18"/>
          <w:color w:val="auto"/>
        </w:rPr>
        <w:t>In this summary description of the debt securities, unless we state otherwise or the context clearly indicates otherwise, all references to “we,” “us” or “our” refer to Civeo Corporation only and not to any of its subsidiaries.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80" w:lineRule="exact"/>
        <w:rPr>
          <w:sz w:val="20"/>
          <w:szCs w:val="20"/>
          <w:color w:val="auto"/>
        </w:rPr>
      </w:pPr>
    </w:p>
    <w:p>
      <w:pPr>
        <w:jc w:val="both"/>
        <w:ind w:right="80" w:firstLine="637"/>
        <w:spacing w:after="0" w:line="244" w:lineRule="auto"/>
        <w:rPr>
          <w:sz w:val="20"/>
          <w:szCs w:val="20"/>
          <w:color w:val="auto"/>
        </w:rPr>
      </w:pPr>
      <w:r>
        <w:rPr>
          <w:rFonts w:ascii="Times New Roman" w:cs="Times New Roman" w:eastAsia="Times New Roman" w:hAnsi="Times New Roman"/>
          <w:sz w:val="18"/>
          <w:szCs w:val="18"/>
          <w:color w:val="auto"/>
        </w:rPr>
        <w:t>Neither indenture limits the amount of debt securities that may be issued under that indenture, and neither limits the amount of other unsecured debt or securities that we may issue. We may issue debt securities under the indentures from time to time in one or more series, each in an amount authorized prior to issuance.</w:t>
      </w:r>
    </w:p>
    <w:p>
      <w:pPr>
        <w:spacing w:after="0" w:line="151" w:lineRule="exact"/>
        <w:rPr>
          <w:sz w:val="20"/>
          <w:szCs w:val="20"/>
          <w:color w:val="auto"/>
        </w:rPr>
      </w:pPr>
    </w:p>
    <w:p>
      <w:pPr>
        <w:ind w:right="100" w:firstLine="637"/>
        <w:spacing w:after="0" w:line="264" w:lineRule="auto"/>
        <w:rPr>
          <w:sz w:val="20"/>
          <w:szCs w:val="20"/>
          <w:color w:val="auto"/>
        </w:rPr>
      </w:pPr>
      <w:r>
        <w:rPr>
          <w:rFonts w:ascii="Times New Roman" w:cs="Times New Roman" w:eastAsia="Times New Roman" w:hAnsi="Times New Roman"/>
          <w:sz w:val="17"/>
          <w:szCs w:val="17"/>
          <w:color w:val="auto"/>
        </w:rPr>
        <w:t>The senior debt securities will constitute our senior unsecured indebtedness and will rank equally in right of payment with all of our other unsecured and unsubordinated debt and senior in right of payment to all of our subordinated indebtedness. The senior debt securities will be effectively subordinated to, and thus have a junior position to, our secured indebtedness with respect to the assets securing that indebtedness. The subordinated debt securities will rank junior to all of our senior indebtedness and may rank equally with or senior to other subordinated indebtedness we may issue from time to time.</w:t>
      </w:r>
    </w:p>
    <w:p>
      <w:pPr>
        <w:spacing w:after="0" w:line="135" w:lineRule="exact"/>
        <w:rPr>
          <w:sz w:val="20"/>
          <w:szCs w:val="20"/>
          <w:color w:val="auto"/>
        </w:rPr>
      </w:pPr>
    </w:p>
    <w:p>
      <w:pPr>
        <w:ind w:firstLine="637"/>
        <w:spacing w:after="0" w:line="241" w:lineRule="auto"/>
        <w:rPr>
          <w:sz w:val="20"/>
          <w:szCs w:val="20"/>
          <w:color w:val="auto"/>
        </w:rPr>
      </w:pPr>
      <w:r>
        <w:rPr>
          <w:rFonts w:ascii="Times New Roman" w:cs="Times New Roman" w:eastAsia="Times New Roman" w:hAnsi="Times New Roman"/>
          <w:sz w:val="18"/>
          <w:szCs w:val="18"/>
          <w:color w:val="auto"/>
        </w:rPr>
        <w:t>We currently conduct our operations through subsidiaries, and our operating income and cash flow are generated by our subsidiaries. As a result, cash we obtain from our subsidiaries is the principal source of funds necessary to meet our debt service obligations. Contractual provisions or laws, as well as our subsidiaries’ financial condition and operating requirements, may limit our ability to obtain cash from our subsidiaries that we require to pay our debt service obligations, including payments on the debt securities. In addition, holders of the debt securities will have a junior position to the claims of creditors, including trade creditors and tort claimants, of our subsidiaries on their assets and earnings.</w:t>
      </w:r>
    </w:p>
    <w:p>
      <w:pPr>
        <w:spacing w:after="0" w:line="155" w:lineRule="exact"/>
        <w:rPr>
          <w:sz w:val="20"/>
          <w:szCs w:val="20"/>
          <w:color w:val="auto"/>
        </w:rPr>
      </w:pPr>
    </w:p>
    <w:p>
      <w:pPr>
        <w:ind w:right="120" w:firstLine="637"/>
        <w:spacing w:after="0"/>
        <w:rPr>
          <w:sz w:val="20"/>
          <w:szCs w:val="20"/>
          <w:color w:val="auto"/>
        </w:rPr>
      </w:pPr>
      <w:r>
        <w:rPr>
          <w:rFonts w:ascii="Times New Roman" w:cs="Times New Roman" w:eastAsia="Times New Roman" w:hAnsi="Times New Roman"/>
          <w:sz w:val="18"/>
          <w:szCs w:val="18"/>
          <w:color w:val="auto"/>
        </w:rPr>
        <w:t>Neither indenture contains any covenants or other provisions designed to protect holders of the debt securities in the event we participate in a highly leveraged transaction or upon a change of control. The indentures also do not contain provisions that give holders of the debt securities the right to require us to repurchase their securities in the event of a decline in our credit rating for any reason, including as a result of a takeover, recapitalization or similar restructuring or otherwise.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w:t>
      </w:r>
    </w:p>
    <w:p>
      <w:pPr>
        <w:spacing w:after="0" w:line="180" w:lineRule="exact"/>
        <w:rPr>
          <w:sz w:val="20"/>
          <w:szCs w:val="20"/>
          <w:color w:val="auto"/>
        </w:rPr>
      </w:pPr>
    </w:p>
    <w:p>
      <w:pPr>
        <w:ind w:right="100" w:firstLine="637"/>
        <w:spacing w:after="0" w:line="259" w:lineRule="auto"/>
        <w:rPr>
          <w:sz w:val="20"/>
          <w:szCs w:val="20"/>
          <w:color w:val="auto"/>
        </w:rPr>
      </w:pPr>
      <w:r>
        <w:rPr>
          <w:rFonts w:ascii="Times New Roman" w:cs="Times New Roman" w:eastAsia="Times New Roman" w:hAnsi="Times New Roman"/>
          <w:sz w:val="18"/>
          <w:szCs w:val="18"/>
          <w:color w:val="auto"/>
        </w:rPr>
        <w:t>The prospectus supplement relating to any series of debt securities being offered will include specific terms relating to the offering. These terms will include some or all of the following:</w:t>
      </w:r>
    </w:p>
    <w:p>
      <w:pPr>
        <w:spacing w:after="0" w:line="124" w:lineRule="exact"/>
        <w:rPr>
          <w:sz w:val="20"/>
          <w:szCs w:val="20"/>
          <w:color w:val="auto"/>
        </w:rPr>
      </w:pPr>
    </w:p>
    <w:p>
      <w:pPr>
        <w:ind w:left="960" w:hanging="317"/>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senior or subordinated debt securities;</w:t>
      </w:r>
    </w:p>
    <w:p>
      <w:pPr>
        <w:spacing w:after="0" w:line="177"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we will issue the debt securities;</w:t>
      </w:r>
    </w:p>
    <w:p>
      <w:pPr>
        <w:spacing w:after="0" w:line="177"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securities;</w:t>
      </w:r>
    </w:p>
    <w:p>
      <w:pPr>
        <w:spacing w:after="0" w:line="190"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principal amount of the debt securities;</w:t>
      </w:r>
    </w:p>
    <w:p>
      <w:pPr>
        <w:spacing w:after="0" w:line="177" w:lineRule="exact"/>
        <w:rPr>
          <w:rFonts w:ascii="Times New Roman" w:cs="Times New Roman" w:eastAsia="Times New Roman" w:hAnsi="Times New Roman"/>
          <w:sz w:val="18"/>
          <w:szCs w:val="18"/>
          <w:color w:val="auto"/>
        </w:rPr>
      </w:pPr>
    </w:p>
    <w:p>
      <w:pPr>
        <w:ind w:left="960" w:right="100" w:hanging="317"/>
        <w:spacing w:after="0" w:line="234" w:lineRule="auto"/>
        <w:tabs>
          <w:tab w:leader="none" w:pos="9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issue the debt securities in individual certificates to each holder or in the form of temporary or permanent global securities held by a depositary on behalf of holders;</w:t>
      </w:r>
    </w:p>
    <w:p>
      <w:pPr>
        <w:spacing w:after="0" w:line="166"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and any premium on the debt securities will be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40"/>
          </w:cols>
          <w:pgMar w:left="320" w:top="1313" w:right="339" w:bottom="1440" w:gutter="0" w:footer="0" w:header="0"/>
        </w:sectPr>
      </w:pPr>
    </w:p>
    <w:bookmarkStart w:id="9" w:name="page10"/>
    <w:bookmarkEnd w:id="9"/>
    <w:p>
      <w:pPr>
        <w:ind w:left="960" w:hanging="317"/>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rate, the date from which interest will accrue, interest payment dates and record dates for interest payments;</w:t>
      </w:r>
    </w:p>
    <w:p>
      <w:pPr>
        <w:spacing w:after="0" w:line="177"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we will pay any additional amounts with respect to the debt securities;</w:t>
      </w:r>
    </w:p>
    <w:p>
      <w:pPr>
        <w:spacing w:after="0" w:line="190"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payments on the debt securities will be payable;</w:t>
      </w:r>
    </w:p>
    <w:p>
      <w:pPr>
        <w:spacing w:after="0" w:line="177"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optional redemption or early repayment;</w:t>
      </w:r>
    </w:p>
    <w:p>
      <w:pPr>
        <w:spacing w:after="0" w:line="177"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sinking fund or other provisions that would obligate us to redeem, purchase or repay the debt securities;</w:t>
      </w:r>
    </w:p>
    <w:p>
      <w:pPr>
        <w:spacing w:after="0" w:line="190"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we will issue the debt securities if other than $1,000 and integral multiples of $1,000;</w:t>
      </w:r>
    </w:p>
    <w:p>
      <w:pPr>
        <w:spacing w:after="0" w:line="177" w:lineRule="exact"/>
        <w:rPr>
          <w:rFonts w:ascii="Times New Roman" w:cs="Times New Roman" w:eastAsia="Times New Roman" w:hAnsi="Times New Roman"/>
          <w:sz w:val="18"/>
          <w:szCs w:val="18"/>
          <w:color w:val="auto"/>
        </w:rPr>
      </w:pPr>
    </w:p>
    <w:p>
      <w:pPr>
        <w:ind w:left="960" w:right="440" w:hanging="317"/>
        <w:spacing w:after="0" w:line="234" w:lineRule="auto"/>
        <w:tabs>
          <w:tab w:leader="none" w:pos="9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payments on the debt securities will be payable in foreign currency or currency unit or another form and whether payments will be payable by reference to any index or formula;</w:t>
      </w:r>
    </w:p>
    <w:p>
      <w:pPr>
        <w:spacing w:after="0" w:line="166"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portion of the principal amount of debt securities that will be payable if the maturity is accelerated, if other than the entire principal amount;</w:t>
      </w:r>
    </w:p>
    <w:p>
      <w:pPr>
        <w:spacing w:after="0" w:line="189" w:lineRule="exact"/>
        <w:rPr>
          <w:rFonts w:ascii="Times New Roman" w:cs="Times New Roman" w:eastAsia="Times New Roman" w:hAnsi="Times New Roman"/>
          <w:sz w:val="17"/>
          <w:szCs w:val="17"/>
          <w:color w:val="auto"/>
        </w:rPr>
      </w:pPr>
    </w:p>
    <w:p>
      <w:pPr>
        <w:ind w:left="960" w:right="380" w:hanging="317"/>
        <w:spacing w:after="0" w:line="234" w:lineRule="auto"/>
        <w:tabs>
          <w:tab w:leader="none" w:pos="9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means of defeasance of the debt securities, any additional conditions or limitations to defeasance of the debt securities or any changes to those conditions or limitations;</w:t>
      </w:r>
    </w:p>
    <w:p>
      <w:pPr>
        <w:spacing w:after="0" w:line="166"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or additions to the events of default or covenants described in this prospectus;</w:t>
      </w:r>
    </w:p>
    <w:p>
      <w:pPr>
        <w:spacing w:after="0" w:line="177"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or other provisions relating to the transfer or exchange of debt securities;</w:t>
      </w:r>
    </w:p>
    <w:p>
      <w:pPr>
        <w:spacing w:after="0" w:line="177"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terms for the conversion or exchange of the debt securities for other securities;</w:t>
      </w:r>
    </w:p>
    <w:p>
      <w:pPr>
        <w:spacing w:after="0" w:line="190"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subordinated indenture, any changes to the subordination provisions for the subordinated debt securities; and</w:t>
      </w:r>
    </w:p>
    <w:p>
      <w:pPr>
        <w:spacing w:after="0" w:line="177"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not inconsistent with the applicable indenture.</w:t>
      </w:r>
    </w:p>
    <w:p>
      <w:pPr>
        <w:spacing w:after="0" w:line="191" w:lineRule="exact"/>
        <w:rPr>
          <w:sz w:val="20"/>
          <w:szCs w:val="20"/>
          <w:color w:val="auto"/>
        </w:rPr>
      </w:pPr>
    </w:p>
    <w:p>
      <w:pPr>
        <w:ind w:firstLine="637"/>
        <w:spacing w:after="0" w:line="252" w:lineRule="auto"/>
        <w:rPr>
          <w:sz w:val="20"/>
          <w:szCs w:val="20"/>
          <w:color w:val="auto"/>
        </w:rPr>
      </w:pPr>
      <w:r>
        <w:rPr>
          <w:rFonts w:ascii="Times New Roman" w:cs="Times New Roman" w:eastAsia="Times New Roman" w:hAnsi="Times New Roman"/>
          <w:sz w:val="18"/>
          <w:szCs w:val="18"/>
          <w:color w:val="auto"/>
        </w:rPr>
        <w:t>We may sell the debt securities at a discount, which may be substantial, below their stated principal amount. These debt securities may bear no interest or interest at a rate that at the time of issuance is below market rates. If we sell these debt securities, we will describe in the prospectus supplement any material U.S. federal income tax consequences and other special considerations.</w:t>
      </w:r>
    </w:p>
    <w:p>
      <w:pPr>
        <w:spacing w:after="0" w:line="144" w:lineRule="exact"/>
        <w:rPr>
          <w:sz w:val="20"/>
          <w:szCs w:val="20"/>
          <w:color w:val="auto"/>
        </w:rPr>
      </w:pPr>
    </w:p>
    <w:p>
      <w:pPr>
        <w:ind w:right="20" w:firstLine="637"/>
        <w:spacing w:after="0" w:line="244" w:lineRule="auto"/>
        <w:rPr>
          <w:sz w:val="20"/>
          <w:szCs w:val="20"/>
          <w:color w:val="auto"/>
        </w:rPr>
      </w:pPr>
      <w:r>
        <w:rPr>
          <w:rFonts w:ascii="Times New Roman" w:cs="Times New Roman" w:eastAsia="Times New Roman" w:hAnsi="Times New Roman"/>
          <w:sz w:val="18"/>
          <w:szCs w:val="18"/>
          <w:color w:val="auto"/>
        </w:rPr>
        <w:t>If we sell any of the debt securities for any foreign currency or currency unit or if payments on the debt securities are payable in any foreign currency or currency unit, we will describe in the prospectus supplement the restrictions, elections, tax consequences, specific terms and other information relating to those debt securities and the foreign currency or currency unit.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Subordination</w:t>
      </w:r>
    </w:p>
    <w:p>
      <w:pPr>
        <w:spacing w:after="0" w:line="180" w:lineRule="exact"/>
        <w:rPr>
          <w:sz w:val="20"/>
          <w:szCs w:val="20"/>
          <w:color w:val="auto"/>
        </w:rPr>
      </w:pPr>
    </w:p>
    <w:p>
      <w:pPr>
        <w:ind w:right="340" w:firstLine="637"/>
        <w:spacing w:after="0" w:line="244" w:lineRule="auto"/>
        <w:rPr>
          <w:sz w:val="20"/>
          <w:szCs w:val="20"/>
          <w:color w:val="auto"/>
        </w:rPr>
      </w:pPr>
      <w:r>
        <w:rPr>
          <w:rFonts w:ascii="Times New Roman" w:cs="Times New Roman" w:eastAsia="Times New Roman" w:hAnsi="Times New Roman"/>
          <w:sz w:val="18"/>
          <w:szCs w:val="18"/>
          <w:color w:val="auto"/>
        </w:rPr>
        <w:t>Under the subordinated indenture, payment of the principal of and any premium and interest on the subordinated debt securities will generally be subordinated and junior in right of payment to the prior payment in full of all Senior Debt (as defined below). Unless we inform you otherwise in the prospectus supplement, we may not make any payment of principal of or any premium or interest on the subordinated debt securities if:</w:t>
      </w:r>
    </w:p>
    <w:p>
      <w:pPr>
        <w:spacing w:after="0" w:line="138" w:lineRule="exact"/>
        <w:rPr>
          <w:sz w:val="20"/>
          <w:szCs w:val="20"/>
          <w:color w:val="auto"/>
        </w:rPr>
      </w:pPr>
    </w:p>
    <w:p>
      <w:pPr>
        <w:ind w:left="960" w:hanging="317"/>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pay the principal, interest, premium or any other amounts on any Senior Debt when due; or</w:t>
      </w:r>
    </w:p>
    <w:p>
      <w:pPr>
        <w:spacing w:after="0" w:line="177" w:lineRule="exact"/>
        <w:rPr>
          <w:rFonts w:ascii="Times New Roman" w:cs="Times New Roman" w:eastAsia="Times New Roman" w:hAnsi="Times New Roman"/>
          <w:sz w:val="18"/>
          <w:szCs w:val="18"/>
          <w:color w:val="auto"/>
        </w:rPr>
      </w:pPr>
    </w:p>
    <w:p>
      <w:pPr>
        <w:ind w:left="960" w:right="220" w:hanging="317"/>
        <w:spacing w:after="0" w:line="243" w:lineRule="auto"/>
        <w:tabs>
          <w:tab w:leader="none" w:pos="9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default in performing any other covenant (a “covenant default”) on any Senior Debt that we have designated if the covenant default allows the holders of that Senior Debt to accelerate the maturity of the Senior Debt they hold.</w:t>
      </w:r>
    </w:p>
    <w:p>
      <w:pPr>
        <w:spacing w:after="0" w:line="165" w:lineRule="exact"/>
        <w:rPr>
          <w:sz w:val="20"/>
          <w:szCs w:val="20"/>
          <w:color w:val="auto"/>
        </w:rPr>
      </w:pPr>
    </w:p>
    <w:p>
      <w:pPr>
        <w:ind w:right="160" w:firstLine="637"/>
        <w:spacing w:after="0" w:line="259" w:lineRule="auto"/>
        <w:rPr>
          <w:sz w:val="20"/>
          <w:szCs w:val="20"/>
          <w:color w:val="auto"/>
        </w:rPr>
      </w:pPr>
      <w:r>
        <w:rPr>
          <w:rFonts w:ascii="Times New Roman" w:cs="Times New Roman" w:eastAsia="Times New Roman" w:hAnsi="Times New Roman"/>
          <w:sz w:val="18"/>
          <w:szCs w:val="18"/>
          <w:color w:val="auto"/>
        </w:rPr>
        <w:t>Unless we inform you otherwise in the prospectus supplement, a covenant default will prevent us from paying the subordinated debt securities only for up to 179 days after holders of the designated Senior Debt give the trustee for the subordinated debt securities notice of the covenant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240"/>
          </w:cols>
          <w:pgMar w:left="320" w:top="1063" w:right="339" w:bottom="1440" w:gutter="0" w:footer="0" w:header="0"/>
        </w:sectPr>
      </w:pPr>
    </w:p>
    <w:bookmarkStart w:id="10" w:name="page11"/>
    <w:bookmarkEnd w:id="10"/>
    <w:p>
      <w:pPr>
        <w:jc w:val="both"/>
        <w:ind w:right="200" w:firstLine="637"/>
        <w:spacing w:after="0" w:line="288" w:lineRule="auto"/>
        <w:rPr>
          <w:sz w:val="20"/>
          <w:szCs w:val="20"/>
          <w:color w:val="auto"/>
        </w:rPr>
      </w:pPr>
      <w:r>
        <w:rPr>
          <w:rFonts w:ascii="Times New Roman" w:cs="Times New Roman" w:eastAsia="Times New Roman" w:hAnsi="Times New Roman"/>
          <w:sz w:val="17"/>
          <w:szCs w:val="17"/>
          <w:color w:val="auto"/>
        </w:rPr>
        <w:t>The subordination does not affect our obligation, which is absolute and unconditional, to pay, when due, the principal of and any premium and interest on the subordinated debt securities. In addition, the subordination does not prevent the occurrence of any default under the subordinated indenture.</w:t>
      </w:r>
    </w:p>
    <w:p>
      <w:pPr>
        <w:spacing w:after="0" w:line="115" w:lineRule="exact"/>
        <w:rPr>
          <w:sz w:val="20"/>
          <w:szCs w:val="20"/>
          <w:color w:val="auto"/>
        </w:rPr>
      </w:pPr>
    </w:p>
    <w:p>
      <w:pPr>
        <w:ind w:right="240" w:firstLine="637"/>
        <w:spacing w:after="0" w:line="259" w:lineRule="auto"/>
        <w:rPr>
          <w:sz w:val="20"/>
          <w:szCs w:val="20"/>
          <w:color w:val="auto"/>
        </w:rPr>
      </w:pPr>
      <w:r>
        <w:rPr>
          <w:rFonts w:ascii="Times New Roman" w:cs="Times New Roman" w:eastAsia="Times New Roman" w:hAnsi="Times New Roman"/>
          <w:sz w:val="18"/>
          <w:szCs w:val="18"/>
          <w:color w:val="auto"/>
        </w:rPr>
        <w:t>The subordinated indenture does not limit the amount of Senior Debt that we may incur. As a result of the subordination of the subordinated debt securities, if we become insolvent, holders of subordinated debt securities may receive less on a proportionate basis than other creditors.</w:t>
      </w:r>
    </w:p>
    <w:p>
      <w:pPr>
        <w:spacing w:after="0" w:line="137" w:lineRule="exact"/>
        <w:rPr>
          <w:sz w:val="20"/>
          <w:szCs w:val="20"/>
          <w:color w:val="auto"/>
        </w:rPr>
      </w:pPr>
    </w:p>
    <w:p>
      <w:pPr>
        <w:jc w:val="both"/>
        <w:ind w:right="180" w:firstLine="637"/>
        <w:spacing w:after="0" w:line="252" w:lineRule="auto"/>
        <w:rPr>
          <w:sz w:val="20"/>
          <w:szCs w:val="20"/>
          <w:color w:val="auto"/>
        </w:rPr>
      </w:pPr>
      <w:r>
        <w:rPr>
          <w:rFonts w:ascii="Times New Roman" w:cs="Times New Roman" w:eastAsia="Times New Roman" w:hAnsi="Times New Roman"/>
          <w:sz w:val="18"/>
          <w:szCs w:val="18"/>
          <w:color w:val="auto"/>
        </w:rPr>
        <w:t>Unless we inform you otherwise in the prospectus supplement, “Senior Debt” will mean all of our indebtedness, including guarantees, unless the indebtedness states that it is not senior to the subordinated debt securities or our other junior debt. Senior Debt with respect to a series of subordinated debt securities could include other series of debt securities issued under the subordinated indenture.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Amalgamation, Merger and Sales of Assets</w:t>
      </w:r>
    </w:p>
    <w:p>
      <w:pPr>
        <w:spacing w:after="0" w:line="180" w:lineRule="exact"/>
        <w:rPr>
          <w:sz w:val="20"/>
          <w:szCs w:val="20"/>
          <w:color w:val="auto"/>
        </w:rPr>
      </w:pPr>
    </w:p>
    <w:p>
      <w:pPr>
        <w:jc w:val="both"/>
        <w:ind w:right="20" w:firstLine="637"/>
        <w:spacing w:after="0" w:line="252" w:lineRule="auto"/>
        <w:rPr>
          <w:sz w:val="20"/>
          <w:szCs w:val="20"/>
          <w:color w:val="auto"/>
        </w:rPr>
      </w:pPr>
      <w:r>
        <w:rPr>
          <w:rFonts w:ascii="Times New Roman" w:cs="Times New Roman" w:eastAsia="Times New Roman" w:hAnsi="Times New Roman"/>
          <w:sz w:val="18"/>
          <w:szCs w:val="18"/>
          <w:color w:val="auto"/>
        </w:rPr>
        <w:t>The indentures generally permit a consolidation, amalgamation or merger involving us. They also permit us to sell, lease, convey, assign, transfer or otherwise dispose of all or substantially all of our assets. We have agreed, however, that we will not consolidate or amalgamate with or merge into any entity or sell, lease, convey, assign, transfer or dispose of all or substantially all of our assets to any entity unless:</w:t>
      </w:r>
    </w:p>
    <w:p>
      <w:pPr>
        <w:spacing w:after="0" w:line="117" w:lineRule="exact"/>
        <w:rPr>
          <w:sz w:val="20"/>
          <w:szCs w:val="20"/>
          <w:color w:val="auto"/>
        </w:rPr>
      </w:pPr>
    </w:p>
    <w:p>
      <w:pPr>
        <w:ind w:left="960" w:hanging="317"/>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90" w:lineRule="exact"/>
        <w:rPr>
          <w:rFonts w:ascii="Times New Roman" w:cs="Times New Roman" w:eastAsia="Times New Roman" w:hAnsi="Times New Roman"/>
          <w:sz w:val="18"/>
          <w:szCs w:val="18"/>
          <w:color w:val="auto"/>
        </w:rPr>
      </w:pPr>
    </w:p>
    <w:p>
      <w:pPr>
        <w:ind w:left="1280" w:hanging="319"/>
        <w:spacing w:after="0"/>
        <w:tabs>
          <w:tab w:leader="none" w:pos="12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continuing entity, or</w:t>
      </w:r>
    </w:p>
    <w:p>
      <w:pPr>
        <w:spacing w:after="0" w:line="177" w:lineRule="exact"/>
        <w:rPr>
          <w:rFonts w:ascii="Times New Roman" w:cs="Times New Roman" w:eastAsia="Times New Roman" w:hAnsi="Times New Roman"/>
          <w:sz w:val="18"/>
          <w:szCs w:val="18"/>
          <w:color w:val="auto"/>
        </w:rPr>
      </w:pPr>
    </w:p>
    <w:p>
      <w:pPr>
        <w:ind w:left="1280" w:hanging="319"/>
        <w:spacing w:after="0" w:line="216" w:lineRule="auto"/>
        <w:tabs>
          <w:tab w:leader="none" w:pos="127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the continuing entity, the resulting entity is organized under the laws of the United States, Australia, the Bahamas, Barbados, Bermuda, the British Virgin Islands, Canada, the Cayman Islands, any of the Channel Islands, the United Kingdom, any member of the European Union (as constituted on the date of the indenture) or any other member of the European Union that becomes a member after that date, the Netherlands Antilles or any state, province or political subdivision of any of the foregoing, and assumes by a supplemental indenture the due and punctual payments on the debt securities and the performance of our covenants and obligations under the indentures, and</w:t>
      </w:r>
    </w:p>
    <w:p>
      <w:pPr>
        <w:spacing w:after="0" w:line="155" w:lineRule="exact"/>
        <w:rPr>
          <w:rFonts w:ascii="Times New Roman" w:cs="Times New Roman" w:eastAsia="Times New Roman" w:hAnsi="Times New Roman"/>
          <w:sz w:val="18"/>
          <w:szCs w:val="18"/>
          <w:color w:val="auto"/>
        </w:rPr>
      </w:pPr>
    </w:p>
    <w:p>
      <w:pPr>
        <w:ind w:left="960" w:right="220" w:hanging="317"/>
        <w:spacing w:after="0" w:line="234" w:lineRule="auto"/>
        <w:tabs>
          <w:tab w:leader="none" w:pos="95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or event of default under the indentures has occurred and is continuing or would result from the transaction.</w:t>
      </w:r>
    </w:p>
    <w:p>
      <w:pPr>
        <w:spacing w:after="0" w:line="180" w:lineRule="exact"/>
        <w:rPr>
          <w:sz w:val="20"/>
          <w:szCs w:val="20"/>
          <w:color w:val="auto"/>
        </w:rPr>
      </w:pPr>
    </w:p>
    <w:p>
      <w:pPr>
        <w:ind w:firstLine="637"/>
        <w:spacing w:after="0" w:line="241" w:lineRule="auto"/>
        <w:rPr>
          <w:sz w:val="20"/>
          <w:szCs w:val="20"/>
          <w:color w:val="auto"/>
        </w:rPr>
      </w:pPr>
      <w:r>
        <w:rPr>
          <w:rFonts w:ascii="Times New Roman" w:cs="Times New Roman" w:eastAsia="Times New Roman" w:hAnsi="Times New Roman"/>
          <w:sz w:val="18"/>
          <w:szCs w:val="18"/>
          <w:color w:val="auto"/>
        </w:rPr>
        <w:t>This covenant will not apply to any merger of another entity into us. Upon any transaction of the type described in and effected in accordance with this section, the resulting entity will succeed to and be substituted for us and may exercise all of our rights and powers under the applicable indenture and the debt securities with the same effect as if the resulting entity had been named as us in the indenture. In the case of any asset transfer or disposition other than a lease, when the resulting entity assumes all of our obligations and covenants under the applicable indenture and the debt securities, we will be relieved of all such obligations.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66" w:lineRule="exact"/>
        <w:rPr>
          <w:sz w:val="20"/>
          <w:szCs w:val="20"/>
          <w:color w:val="auto"/>
        </w:rPr>
      </w:pPr>
    </w:p>
    <w:p>
      <w:pPr>
        <w:ind w:right="620" w:firstLine="637"/>
        <w:spacing w:after="0" w:line="259" w:lineRule="auto"/>
        <w:rPr>
          <w:sz w:val="20"/>
          <w:szCs w:val="20"/>
          <w:color w:val="auto"/>
        </w:rPr>
      </w:pPr>
      <w:r>
        <w:rPr>
          <w:rFonts w:ascii="Times New Roman" w:cs="Times New Roman" w:eastAsia="Times New Roman" w:hAnsi="Times New Roman"/>
          <w:sz w:val="18"/>
          <w:szCs w:val="18"/>
          <w:color w:val="auto"/>
        </w:rPr>
        <w:t>Unless we inform you otherwise in the applicable prospectus supplement, the following are events of default with respect to a series of debt securities:</w:t>
      </w:r>
    </w:p>
    <w:p>
      <w:pPr>
        <w:spacing w:after="0" w:line="124" w:lineRule="exact"/>
        <w:rPr>
          <w:sz w:val="20"/>
          <w:szCs w:val="20"/>
          <w:color w:val="auto"/>
        </w:rPr>
      </w:pPr>
    </w:p>
    <w:p>
      <w:pPr>
        <w:ind w:left="960" w:hanging="317"/>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pay interest on any debt security of that series for 30 days when due;</w:t>
      </w:r>
    </w:p>
    <w:p>
      <w:pPr>
        <w:spacing w:after="0" w:line="177"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pay principal of or any premium on any debt security of that series when due;</w:t>
      </w:r>
    </w:p>
    <w:p>
      <w:pPr>
        <w:spacing w:after="0" w:line="190"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deposit any sinking fund payment for 30 days when due;</w:t>
      </w:r>
    </w:p>
    <w:p>
      <w:pPr>
        <w:spacing w:after="0" w:line="177" w:lineRule="exact"/>
        <w:rPr>
          <w:rFonts w:ascii="Times New Roman" w:cs="Times New Roman" w:eastAsia="Times New Roman" w:hAnsi="Times New Roman"/>
          <w:sz w:val="18"/>
          <w:szCs w:val="18"/>
          <w:color w:val="auto"/>
        </w:rPr>
      </w:pPr>
    </w:p>
    <w:p>
      <w:pPr>
        <w:ind w:left="960" w:right="180" w:hanging="317"/>
        <w:spacing w:after="0" w:line="220" w:lineRule="auto"/>
        <w:tabs>
          <w:tab w:leader="none" w:pos="9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any covenant or agreement in that series of debt securities or the applicable indenture (other than an agreement or covenant that has been included in the indenture solely for the benefit of other series of debt securities) for 90 days after written notice by the trustee or by the holders of at least 25% in principal amount of the outstanding debt securities issued under that indenture that are affected by that failure;</w:t>
      </w:r>
    </w:p>
    <w:p>
      <w:pPr>
        <w:spacing w:after="0" w:line="156"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specified events involving bankruptcy, insolvency or reorganization of us; and</w:t>
      </w:r>
    </w:p>
    <w:p>
      <w:pPr>
        <w:spacing w:after="0" w:line="190"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for that series of debt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140"/>
          </w:cols>
          <w:pgMar w:left="320" w:top="1076" w:right="439" w:bottom="1440" w:gutter="0" w:footer="0" w:header="0"/>
        </w:sectPr>
      </w:pPr>
    </w:p>
    <w:bookmarkStart w:id="11" w:name="page12"/>
    <w:bookmarkEnd w:id="11"/>
    <w:p>
      <w:pPr>
        <w:ind w:right="140" w:firstLine="637"/>
        <w:spacing w:after="0" w:line="245" w:lineRule="auto"/>
        <w:rPr>
          <w:sz w:val="20"/>
          <w:szCs w:val="20"/>
          <w:color w:val="auto"/>
        </w:rPr>
      </w:pPr>
      <w:r>
        <w:rPr>
          <w:rFonts w:ascii="Times New Roman" w:cs="Times New Roman" w:eastAsia="Times New Roman" w:hAnsi="Times New Roman"/>
          <w:sz w:val="18"/>
          <w:szCs w:val="18"/>
          <w:color w:val="auto"/>
        </w:rPr>
        <w:t>A default under one series of debt securities will not necessarily be a default under any other series. If a default or event of default for any series of debt securities occurs, is continuing and is known to the trustee, the trustee will notify the holders of applicable debt securities within 90 days after it occurs. The trustee may withhold notice to the holders of the debt securities of any default or event of default, except in any payment on the debt securities, if the trustee in good faith determines that withholding notice is in the interests of the holders of those debt securities.</w:t>
      </w:r>
    </w:p>
    <w:p>
      <w:pPr>
        <w:spacing w:after="0" w:line="150" w:lineRule="exact"/>
        <w:rPr>
          <w:sz w:val="20"/>
          <w:szCs w:val="20"/>
          <w:color w:val="auto"/>
        </w:rPr>
      </w:pPr>
    </w:p>
    <w:p>
      <w:pPr>
        <w:ind w:right="40" w:firstLine="637"/>
        <w:spacing w:after="0" w:line="239" w:lineRule="auto"/>
        <w:rPr>
          <w:sz w:val="20"/>
          <w:szCs w:val="20"/>
          <w:color w:val="auto"/>
        </w:rPr>
      </w:pPr>
      <w:r>
        <w:rPr>
          <w:rFonts w:ascii="Times New Roman" w:cs="Times New Roman" w:eastAsia="Times New Roman" w:hAnsi="Times New Roman"/>
          <w:sz w:val="18"/>
          <w:szCs w:val="18"/>
          <w:color w:val="auto"/>
        </w:rPr>
        <w:t>If an event of default for any series of debt securities occurs and is continuing, the trustee or the holders of at least 25% in principal amount of the outstanding debt securities of the series affected by the default (or, in some cases, 25% in principal amount of all debt securities issued under the applicable indenture that are affected, voting as one class) may declare the principal of and all accrued and unpaid interest on those debt securities to be due and payable immediately. If an event of default relating to certain events of bankruptcy, insolvency or reorganization of our company occurs, the principal of and accrued and unpaid interest on all the debt securities issued under the applicable indenture will become immediately due and payable without any action on the part of the trustee or any holder. At any time after a declaration of acceleration has been made, the holders of a majority in principal amount of the outstanding debt securities of the series affected by the default (or, in some cases, of all debt securities issued under the applicable indenture that are affected, voting as one class) may in some cases rescind this accelerated payment requirement and its consequences.</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 holder of a debt security of any series issued under an indenture may pursue any remedy under that indenture only if:</w:t>
      </w:r>
    </w:p>
    <w:p>
      <w:pPr>
        <w:spacing w:after="0" w:line="151" w:lineRule="exact"/>
        <w:rPr>
          <w:sz w:val="20"/>
          <w:szCs w:val="20"/>
          <w:color w:val="auto"/>
        </w:rPr>
      </w:pPr>
    </w:p>
    <w:p>
      <w:pPr>
        <w:ind w:left="960" w:hanging="317"/>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gives the trustee written notice of a continuing event of default with respect to that series;</w:t>
      </w:r>
    </w:p>
    <w:p>
      <w:pPr>
        <w:spacing w:after="0" w:line="190" w:lineRule="exact"/>
        <w:rPr>
          <w:rFonts w:ascii="Times New Roman" w:cs="Times New Roman" w:eastAsia="Times New Roman" w:hAnsi="Times New Roman"/>
          <w:sz w:val="18"/>
          <w:szCs w:val="18"/>
          <w:color w:val="auto"/>
        </w:rPr>
      </w:pPr>
    </w:p>
    <w:p>
      <w:pPr>
        <w:ind w:left="960" w:right="60" w:hanging="317"/>
        <w:spacing w:after="0" w:line="234" w:lineRule="auto"/>
        <w:tabs>
          <w:tab w:leader="none" w:pos="9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principal amount of the outstanding debt securities of that series make a written request to the trustee to pursue the remedy;</w:t>
      </w:r>
    </w:p>
    <w:p>
      <w:pPr>
        <w:spacing w:after="0" w:line="153"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offer to the trustee an indemnity satisfactory to the trustee against any loss, liability or expense;</w:t>
      </w:r>
    </w:p>
    <w:p>
      <w:pPr>
        <w:spacing w:after="0" w:line="190"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comply with the request within 60 days after receipt of the request and offer of indemnity; and</w:t>
      </w:r>
    </w:p>
    <w:p>
      <w:pPr>
        <w:spacing w:after="0" w:line="177" w:lineRule="exact"/>
        <w:rPr>
          <w:rFonts w:ascii="Times New Roman" w:cs="Times New Roman" w:eastAsia="Times New Roman" w:hAnsi="Times New Roman"/>
          <w:sz w:val="18"/>
          <w:szCs w:val="18"/>
          <w:color w:val="auto"/>
        </w:rPr>
      </w:pPr>
    </w:p>
    <w:p>
      <w:pPr>
        <w:ind w:left="960" w:right="340" w:hanging="317"/>
        <w:spacing w:after="0" w:line="234" w:lineRule="auto"/>
        <w:tabs>
          <w:tab w:leader="none" w:pos="9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that 60-day period, the holders of a majority in principal amount of the debt securities of that series do not give the trustee a direction inconsistent with the request.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provision does not, however, affect the right of a holder of a debt security to sue for enforcement of any overdue payment.</w:t>
      </w:r>
    </w:p>
    <w:p>
      <w:pPr>
        <w:spacing w:after="0" w:line="164" w:lineRule="exact"/>
        <w:rPr>
          <w:sz w:val="20"/>
          <w:szCs w:val="20"/>
          <w:color w:val="auto"/>
        </w:rPr>
      </w:pPr>
    </w:p>
    <w:p>
      <w:pPr>
        <w:ind w:right="80" w:firstLine="637"/>
        <w:spacing w:after="0" w:line="245" w:lineRule="auto"/>
        <w:rPr>
          <w:sz w:val="20"/>
          <w:szCs w:val="20"/>
          <w:color w:val="auto"/>
        </w:rPr>
      </w:pPr>
      <w:r>
        <w:rPr>
          <w:rFonts w:ascii="Times New Roman" w:cs="Times New Roman" w:eastAsia="Times New Roman" w:hAnsi="Times New Roman"/>
          <w:sz w:val="18"/>
          <w:szCs w:val="18"/>
          <w:color w:val="auto"/>
        </w:rPr>
        <w:t>In most cases, the trustee will be under no obligation to exercise any of its rights or powers under the indenture at the request or direction of any of the holders unless those holders have offered to the trustee indemnity satisfactory to it. Subject to this provision for indemnification, the holders of a majority in principal amount of the outstanding debt securities of a series (or of all debt securities issued under the applicable indenture that are affected, voting as one class) generally may direct the time, method and place of:</w:t>
      </w:r>
    </w:p>
    <w:p>
      <w:pPr>
        <w:spacing w:after="0" w:line="136" w:lineRule="exact"/>
        <w:rPr>
          <w:sz w:val="20"/>
          <w:szCs w:val="20"/>
          <w:color w:val="auto"/>
        </w:rPr>
      </w:pPr>
    </w:p>
    <w:p>
      <w:pPr>
        <w:ind w:left="960" w:hanging="317"/>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any proceeding for any remedy available to the trustee; or</w:t>
      </w:r>
    </w:p>
    <w:p>
      <w:pPr>
        <w:spacing w:after="0" w:line="177"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any trust or power conferred on the trustee relating to or arising as a result of an event of default.</w:t>
      </w:r>
    </w:p>
    <w:p>
      <w:pPr>
        <w:spacing w:after="0" w:line="204" w:lineRule="exact"/>
        <w:rPr>
          <w:sz w:val="20"/>
          <w:szCs w:val="20"/>
          <w:color w:val="auto"/>
        </w:rPr>
      </w:pPr>
    </w:p>
    <w:p>
      <w:pPr>
        <w:ind w:right="320"/>
        <w:spacing w:after="0" w:line="259" w:lineRule="auto"/>
        <w:rPr>
          <w:sz w:val="20"/>
          <w:szCs w:val="20"/>
          <w:color w:val="auto"/>
        </w:rPr>
      </w:pPr>
      <w:r>
        <w:rPr>
          <w:rFonts w:ascii="Times New Roman" w:cs="Times New Roman" w:eastAsia="Times New Roman" w:hAnsi="Times New Roman"/>
          <w:sz w:val="18"/>
          <w:szCs w:val="18"/>
          <w:color w:val="auto"/>
        </w:rPr>
        <w:t>If an event of default occurs and is continuing, the trustee will be required to use the degree of care and skill of a prudent person in the conduct of his own affairs.</w:t>
      </w:r>
    </w:p>
    <w:p>
      <w:pPr>
        <w:spacing w:after="0" w:line="124" w:lineRule="exact"/>
        <w:rPr>
          <w:sz w:val="20"/>
          <w:szCs w:val="20"/>
          <w:color w:val="auto"/>
        </w:rPr>
      </w:pPr>
    </w:p>
    <w:p>
      <w:pPr>
        <w:ind w:firstLine="637"/>
        <w:spacing w:after="0" w:line="274" w:lineRule="auto"/>
        <w:rPr>
          <w:sz w:val="20"/>
          <w:szCs w:val="20"/>
          <w:color w:val="auto"/>
        </w:rPr>
      </w:pPr>
      <w:r>
        <w:rPr>
          <w:rFonts w:ascii="Times New Roman" w:cs="Times New Roman" w:eastAsia="Times New Roman" w:hAnsi="Times New Roman"/>
          <w:sz w:val="18"/>
          <w:szCs w:val="18"/>
          <w:color w:val="auto"/>
        </w:rPr>
        <w:t>The indentures require us to furnish to the trustee annually a statement as to our performance of certain of our obligations under the indentures and as to any default in performance.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180" w:lineRule="exact"/>
        <w:rPr>
          <w:sz w:val="20"/>
          <w:szCs w:val="20"/>
          <w:color w:val="auto"/>
        </w:rPr>
      </w:pPr>
    </w:p>
    <w:p>
      <w:pPr>
        <w:ind w:right="520" w:firstLine="637"/>
        <w:spacing w:after="0" w:line="252" w:lineRule="auto"/>
        <w:rPr>
          <w:sz w:val="20"/>
          <w:szCs w:val="20"/>
          <w:color w:val="auto"/>
        </w:rPr>
      </w:pPr>
      <w:r>
        <w:rPr>
          <w:rFonts w:ascii="Times New Roman" w:cs="Times New Roman" w:eastAsia="Times New Roman" w:hAnsi="Times New Roman"/>
          <w:sz w:val="18"/>
          <w:szCs w:val="18"/>
          <w:color w:val="auto"/>
        </w:rPr>
        <w:t>We and the trustee may supplement or amend each indenture with the consent of the holders of at least a majority in principal amount of the outstanding debt securities of all series issued under that indenture that are affected by the amendment or supplement (voting as one class). Without the consent of the holder of each debt security affected, however, no modification may:</w:t>
      </w:r>
    </w:p>
    <w:p>
      <w:pPr>
        <w:spacing w:after="0" w:line="117" w:lineRule="exact"/>
        <w:rPr>
          <w:sz w:val="20"/>
          <w:szCs w:val="20"/>
          <w:color w:val="auto"/>
        </w:rPr>
      </w:pPr>
    </w:p>
    <w:p>
      <w:pPr>
        <w:ind w:left="960" w:hanging="317"/>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whose holders must consent to an amendment, supplement or waiver;</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91"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7</w:t>
      </w:r>
    </w:p>
    <w:p>
      <w:pPr>
        <w:sectPr>
          <w:pgSz w:w="11900" w:h="16838" w:orient="portrait"/>
          <w:cols w:equalWidth="0" w:num="1">
            <w:col w:w="11220"/>
          </w:cols>
          <w:pgMar w:left="320" w:top="1076" w:right="359" w:bottom="1440" w:gutter="0" w:footer="0" w:header="0"/>
        </w:sectPr>
      </w:pPr>
    </w:p>
    <w:bookmarkStart w:id="12" w:name="page13"/>
    <w:bookmarkEnd w:id="12"/>
    <w:p>
      <w:pPr>
        <w:ind w:left="960" w:hanging="317"/>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change the time for payment of interest on the debt security;</w:t>
      </w:r>
    </w:p>
    <w:p>
      <w:pPr>
        <w:spacing w:after="0" w:line="177"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the debt security or change its stated maturity;</w:t>
      </w:r>
    </w:p>
    <w:p>
      <w:pPr>
        <w:spacing w:after="0" w:line="190"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any premium payable on the redemption of the debt security or change the time at which the debt security may or must be redeemed;</w:t>
      </w:r>
    </w:p>
    <w:p>
      <w:pPr>
        <w:spacing w:after="0" w:line="177"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any obligation to pay additional amounts on the debt security;</w:t>
      </w:r>
    </w:p>
    <w:p>
      <w:pPr>
        <w:spacing w:after="0" w:line="177"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payments on the debt security payable in currency other than as originally stated in the debt security;</w:t>
      </w:r>
    </w:p>
    <w:p>
      <w:pPr>
        <w:spacing w:after="0" w:line="190"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holder’s right to institute suit for the enforcement of any payment on or with respect to the debt security;</w:t>
      </w:r>
    </w:p>
    <w:p>
      <w:pPr>
        <w:spacing w:after="0" w:line="177" w:lineRule="exact"/>
        <w:rPr>
          <w:rFonts w:ascii="Times New Roman" w:cs="Times New Roman" w:eastAsia="Times New Roman" w:hAnsi="Times New Roman"/>
          <w:sz w:val="18"/>
          <w:szCs w:val="18"/>
          <w:color w:val="auto"/>
        </w:rPr>
      </w:pPr>
    </w:p>
    <w:p>
      <w:pPr>
        <w:ind w:left="960" w:hanging="317"/>
        <w:spacing w:after="0" w:line="234" w:lineRule="auto"/>
        <w:tabs>
          <w:tab w:leader="none" w:pos="9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percentage of principal amount of debt securities necessary to waive compliance with certain provisions of the indenture or to make any change in the provision related to modification;</w:t>
      </w:r>
    </w:p>
    <w:p>
      <w:pPr>
        <w:spacing w:after="0" w:line="166" w:lineRule="exact"/>
        <w:rPr>
          <w:rFonts w:ascii="Times New Roman" w:cs="Times New Roman" w:eastAsia="Times New Roman" w:hAnsi="Times New Roman"/>
          <w:sz w:val="18"/>
          <w:szCs w:val="18"/>
          <w:color w:val="auto"/>
        </w:rPr>
      </w:pPr>
    </w:p>
    <w:p>
      <w:pPr>
        <w:ind w:left="960" w:right="320" w:hanging="317"/>
        <w:spacing w:after="0" w:line="234" w:lineRule="auto"/>
        <w:tabs>
          <w:tab w:leader="none" w:pos="9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subordinated indenture, modify the provisions relating to the subordination of any subordinated debt security in a manner adverse to the holder of that security;</w:t>
      </w:r>
    </w:p>
    <w:p>
      <w:pPr>
        <w:spacing w:after="0" w:line="153"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continuing default or event of default regarding any payment on the debt securities; or</w:t>
      </w:r>
    </w:p>
    <w:p>
      <w:pPr>
        <w:spacing w:after="0" w:line="190"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make any change that materially and adversely affects the right to convert any debt security.</w:t>
      </w:r>
    </w:p>
    <w:p>
      <w:pPr>
        <w:spacing w:after="0" w:line="191" w:lineRule="exact"/>
        <w:rPr>
          <w:sz w:val="20"/>
          <w:szCs w:val="20"/>
          <w:color w:val="auto"/>
        </w:rPr>
      </w:pPr>
    </w:p>
    <w:p>
      <w:pPr>
        <w:ind w:right="340" w:firstLine="637"/>
        <w:spacing w:after="0" w:line="259" w:lineRule="auto"/>
        <w:rPr>
          <w:sz w:val="20"/>
          <w:szCs w:val="20"/>
          <w:color w:val="auto"/>
        </w:rPr>
      </w:pPr>
      <w:r>
        <w:rPr>
          <w:rFonts w:ascii="Times New Roman" w:cs="Times New Roman" w:eastAsia="Times New Roman" w:hAnsi="Times New Roman"/>
          <w:sz w:val="18"/>
          <w:szCs w:val="18"/>
          <w:color w:val="auto"/>
        </w:rPr>
        <w:t>We and the trustee may supplement or amend each indenture or waive any provision of that indenture without the consent of any holders of debt securities issued under that indenture in certain circumstances, including:</w:t>
      </w:r>
    </w:p>
    <w:p>
      <w:pPr>
        <w:spacing w:after="0" w:line="124" w:lineRule="exact"/>
        <w:rPr>
          <w:sz w:val="20"/>
          <w:szCs w:val="20"/>
          <w:color w:val="auto"/>
        </w:rPr>
      </w:pPr>
    </w:p>
    <w:p>
      <w:pPr>
        <w:ind w:left="960" w:hanging="317"/>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omission, defect or inconsistency;</w:t>
      </w:r>
    </w:p>
    <w:p>
      <w:pPr>
        <w:spacing w:after="0" w:line="177" w:lineRule="exact"/>
        <w:rPr>
          <w:rFonts w:ascii="Times New Roman" w:cs="Times New Roman" w:eastAsia="Times New Roman" w:hAnsi="Times New Roman"/>
          <w:sz w:val="18"/>
          <w:szCs w:val="18"/>
          <w:color w:val="auto"/>
        </w:rPr>
      </w:pPr>
    </w:p>
    <w:p>
      <w:pPr>
        <w:ind w:left="960" w:right="440" w:hanging="317"/>
        <w:spacing w:after="0" w:line="243" w:lineRule="auto"/>
        <w:tabs>
          <w:tab w:leader="none" w:pos="9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assumption of our obligations under the indenture by a successor upon any merger, consolidation, amalgamation or asset transfer permitted under the indenture;</w:t>
      </w:r>
    </w:p>
    <w:p>
      <w:pPr>
        <w:spacing w:after="0" w:line="151"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debt securities in addition to or in place of certificated debt securities or to provide for bearer debt securities;</w:t>
      </w:r>
    </w:p>
    <w:p>
      <w:pPr>
        <w:spacing w:after="0" w:line="177"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any security for, or to add any guarantees of or obligors on, any series of debt securities;</w:t>
      </w:r>
    </w:p>
    <w:p>
      <w:pPr>
        <w:spacing w:after="0" w:line="190"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 to effect or maintain the qualification of that indenture under the Trust Indenture Act of 1939;</w:t>
      </w:r>
    </w:p>
    <w:p>
      <w:pPr>
        <w:spacing w:after="0" w:line="177"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covenants that would benefit the holders of any debt securities or to surrender any rights we have under the indenture;</w:t>
      </w:r>
    </w:p>
    <w:p>
      <w:pPr>
        <w:spacing w:after="0" w:line="177"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events of default with respect to any series of debt securities;</w:t>
      </w:r>
    </w:p>
    <w:p>
      <w:pPr>
        <w:spacing w:after="0" w:line="190" w:lineRule="exact"/>
        <w:rPr>
          <w:rFonts w:ascii="Times New Roman" w:cs="Times New Roman" w:eastAsia="Times New Roman" w:hAnsi="Times New Roman"/>
          <w:sz w:val="18"/>
          <w:szCs w:val="18"/>
          <w:color w:val="auto"/>
        </w:rPr>
      </w:pPr>
    </w:p>
    <w:p>
      <w:pPr>
        <w:ind w:left="960" w:right="500" w:hanging="317"/>
        <w:spacing w:after="0" w:line="234" w:lineRule="auto"/>
        <w:tabs>
          <w:tab w:leader="none" w:pos="9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any outstanding debt securities of any series issued under that indenture in any material respect; and</w:t>
      </w:r>
    </w:p>
    <w:p>
      <w:pPr>
        <w:spacing w:after="0" w:line="153"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establish the form or terms of any debt securities and to accept the appointment of a successor trustee, each as permitted under the indenture.</w:t>
      </w:r>
    </w:p>
    <w:p>
      <w:pPr>
        <w:spacing w:after="0" w:line="216" w:lineRule="exact"/>
        <w:rPr>
          <w:sz w:val="20"/>
          <w:szCs w:val="20"/>
          <w:color w:val="auto"/>
        </w:rPr>
      </w:pPr>
    </w:p>
    <w:p>
      <w:pPr>
        <w:ind w:firstLine="637"/>
        <w:spacing w:after="0" w:line="245"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debt securities of any series (or, in some cases, of all debt securities issued under the applicable indenture that are affected, voting as one class) may waive any existing or past default or event of default with respect to those debt securities. Those holders may not, however, waive any default or event of default in any payment on any debt security or compliance with a provision that cannot be amended or supplemented without the consent of each holder affected.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Defeasance and Discharge</w:t>
      </w:r>
    </w:p>
    <w:p>
      <w:pPr>
        <w:spacing w:after="0" w:line="178" w:lineRule="exact"/>
        <w:rPr>
          <w:sz w:val="20"/>
          <w:szCs w:val="20"/>
          <w:color w:val="auto"/>
        </w:rPr>
      </w:pPr>
    </w:p>
    <w:p>
      <w:pPr>
        <w:ind w:right="40" w:firstLine="637"/>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Defeasance. </w:t>
      </w:r>
      <w:r>
        <w:rPr>
          <w:rFonts w:ascii="Times New Roman" w:cs="Times New Roman" w:eastAsia="Times New Roman" w:hAnsi="Times New Roman"/>
          <w:sz w:val="18"/>
          <w:szCs w:val="18"/>
          <w:color w:val="auto"/>
        </w:rPr>
        <w:t>When we use the term defeasance, we mean discharge from some or all of our obligations under an indenture. If we deposit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trustee under an indenture any combination of money or government securities sufficient to make payments on the debt securities of a series issued under that indenture on the dates those payments are due, then, at our option, either of the following will occur:</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200"/>
          </w:cols>
          <w:pgMar w:left="320" w:top="1063" w:right="379" w:bottom="1440" w:gutter="0" w:footer="0" w:header="0"/>
        </w:sectPr>
      </w:pPr>
    </w:p>
    <w:bookmarkStart w:id="13" w:name="page14"/>
    <w:bookmarkEnd w:id="13"/>
    <w:p>
      <w:pPr>
        <w:ind w:left="960" w:hanging="317"/>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discharged from our obligations with respect to the debt securities of that series (“legal defeasance”); or</w:t>
      </w:r>
    </w:p>
    <w:p>
      <w:pPr>
        <w:spacing w:after="0" w:line="190" w:lineRule="exact"/>
        <w:rPr>
          <w:rFonts w:ascii="Times New Roman" w:cs="Times New Roman" w:eastAsia="Times New Roman" w:hAnsi="Times New Roman"/>
          <w:sz w:val="18"/>
          <w:szCs w:val="18"/>
          <w:color w:val="auto"/>
        </w:rPr>
      </w:pPr>
    </w:p>
    <w:p>
      <w:pPr>
        <w:ind w:left="960" w:right="440" w:hanging="317"/>
        <w:spacing w:after="0" w:line="222" w:lineRule="auto"/>
        <w:tabs>
          <w:tab w:leader="none" w:pos="9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 longer have any obligation to comply with specified restrictive covenants with respect to the debt securities of that series, the covenant described under “Consolidation, Amalgamation, Merger and Sales of Assets” and other specified covenants under the applicable indenture, and the related events of default will no longer apply (“covenant defeasance”).</w:t>
      </w:r>
    </w:p>
    <w:p>
      <w:pPr>
        <w:spacing w:after="0" w:line="182" w:lineRule="exact"/>
        <w:rPr>
          <w:sz w:val="20"/>
          <w:szCs w:val="20"/>
          <w:color w:val="auto"/>
        </w:rPr>
      </w:pPr>
    </w:p>
    <w:p>
      <w:pPr>
        <w:ind w:right="40" w:firstLine="637"/>
        <w:spacing w:after="0" w:line="245" w:lineRule="auto"/>
        <w:rPr>
          <w:sz w:val="20"/>
          <w:szCs w:val="20"/>
          <w:color w:val="auto"/>
        </w:rPr>
      </w:pPr>
      <w:r>
        <w:rPr>
          <w:rFonts w:ascii="Times New Roman" w:cs="Times New Roman" w:eastAsia="Times New Roman" w:hAnsi="Times New Roman"/>
          <w:sz w:val="18"/>
          <w:szCs w:val="18"/>
          <w:color w:val="auto"/>
        </w:rPr>
        <w:t>If a series of debt securities is defeased, the holders of the debt securities of that series will not be entitled to the benefits of the applicable indenture, except for obligations to register the transfer or exchange of debt securities, replace stolen, lost or mutilated debt securities or maintain paying agencies and hold money for payment in trust. In the case of covenant defeasance, our obligation to pay principal, premium and interest on the debt securities will also survive.</w:t>
      </w:r>
    </w:p>
    <w:p>
      <w:pPr>
        <w:spacing w:after="0" w:line="136" w:lineRule="exact"/>
        <w:rPr>
          <w:sz w:val="20"/>
          <w:szCs w:val="20"/>
          <w:color w:val="auto"/>
        </w:rPr>
      </w:pPr>
    </w:p>
    <w:p>
      <w:pPr>
        <w:ind w:firstLine="637"/>
        <w:spacing w:after="0" w:line="245" w:lineRule="auto"/>
        <w:rPr>
          <w:sz w:val="20"/>
          <w:szCs w:val="20"/>
          <w:color w:val="auto"/>
        </w:rPr>
      </w:pPr>
      <w:r>
        <w:rPr>
          <w:rFonts w:ascii="Times New Roman" w:cs="Times New Roman" w:eastAsia="Times New Roman" w:hAnsi="Times New Roman"/>
          <w:sz w:val="18"/>
          <w:szCs w:val="18"/>
          <w:color w:val="auto"/>
        </w:rPr>
        <w:t>Unless we inform you otherwise in the prospectus supplement, we will be required to deliver to the trustee an opinion of counsel that the deposit and related defeasance would not cause the holders of the debt securities to recognize income, gain or loss for U.S. federal income tax purposes and that the holders would be subject to U.S. federal income tax on the same amounts, in the same manner and at the same times as would have been the case if the deposit and related defeasance had not occurred. If we elect legal defeasance, that opinion of counsel must be based upon a ruling from the U.S. Internal Revenue Service or a change in law to that effect.</w:t>
      </w:r>
    </w:p>
    <w:p>
      <w:pPr>
        <w:spacing w:after="0" w:line="137" w:lineRule="exact"/>
        <w:rPr>
          <w:sz w:val="20"/>
          <w:szCs w:val="20"/>
          <w:color w:val="auto"/>
        </w:rPr>
      </w:pPr>
    </w:p>
    <w:p>
      <w:pPr>
        <w:ind w:right="120" w:firstLine="637"/>
        <w:spacing w:after="0" w:line="245" w:lineRule="auto"/>
        <w:rPr>
          <w:sz w:val="20"/>
          <w:szCs w:val="20"/>
          <w:color w:val="auto"/>
        </w:rPr>
      </w:pPr>
      <w:r>
        <w:rPr>
          <w:rFonts w:ascii="Times New Roman" w:cs="Times New Roman" w:eastAsia="Times New Roman" w:hAnsi="Times New Roman"/>
          <w:sz w:val="18"/>
          <w:szCs w:val="18"/>
          <w:color w:val="auto"/>
        </w:rPr>
        <w:t>Under current U.S. federal income tax law, legal defeasance would likely be treated as a taxable exchange of debt securities to be defeased for interests in the defeasance trust. As a consequence, a U.S. holder would recognize gain or loss equal to the difference between the holder’s cost or other tax basis for the debt securities and the value of the holder’s interest in the defeasance trust, and thereafter would be required to include in income a share of the income, gain or loss of the defeasance trust. Under current U.S. federal income tax law, covenant defeasance would not be treated as a taxable exchange of such debt securities.</w:t>
      </w:r>
    </w:p>
    <w:p>
      <w:pPr>
        <w:spacing w:after="0" w:line="135" w:lineRule="exact"/>
        <w:rPr>
          <w:sz w:val="20"/>
          <w:szCs w:val="20"/>
          <w:color w:val="auto"/>
        </w:rPr>
      </w:pPr>
    </w:p>
    <w:p>
      <w:pPr>
        <w:ind w:right="80" w:firstLine="637"/>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Satisfaction and Discharge. </w:t>
      </w:r>
      <w:r>
        <w:rPr>
          <w:rFonts w:ascii="Times New Roman" w:cs="Times New Roman" w:eastAsia="Times New Roman" w:hAnsi="Times New Roman"/>
          <w:sz w:val="18"/>
          <w:szCs w:val="18"/>
          <w:color w:val="auto"/>
        </w:rPr>
        <w:t>In addition, an indenture will cease to be of further effect with respect to the debt securities of a series issued under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indenture, subject to exceptions relating to compensation and indemnity of the trustee under that indenture and repayment to us of excess money or government securities, when:</w:t>
      </w:r>
    </w:p>
    <w:p>
      <w:pPr>
        <w:spacing w:after="0" w:line="130" w:lineRule="exact"/>
        <w:rPr>
          <w:sz w:val="20"/>
          <w:szCs w:val="20"/>
          <w:color w:val="auto"/>
        </w:rPr>
      </w:pPr>
    </w:p>
    <w:p>
      <w:pPr>
        <w:ind w:left="960" w:hanging="317"/>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77" w:lineRule="exact"/>
        <w:rPr>
          <w:rFonts w:ascii="Times New Roman" w:cs="Times New Roman" w:eastAsia="Times New Roman" w:hAnsi="Times New Roman"/>
          <w:sz w:val="18"/>
          <w:szCs w:val="18"/>
          <w:color w:val="auto"/>
        </w:rPr>
      </w:pPr>
    </w:p>
    <w:p>
      <w:pPr>
        <w:ind w:left="1280" w:hanging="319"/>
        <w:spacing w:after="0"/>
        <w:tabs>
          <w:tab w:leader="none" w:pos="12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debt securities of that series have been delivered to the trustee for cancellation; or</w:t>
      </w:r>
    </w:p>
    <w:p>
      <w:pPr>
        <w:spacing w:after="0" w:line="177" w:lineRule="exact"/>
        <w:rPr>
          <w:rFonts w:ascii="Times New Roman" w:cs="Times New Roman" w:eastAsia="Times New Roman" w:hAnsi="Times New Roman"/>
          <w:sz w:val="18"/>
          <w:szCs w:val="18"/>
          <w:color w:val="auto"/>
        </w:rPr>
      </w:pPr>
    </w:p>
    <w:p>
      <w:pPr>
        <w:ind w:left="1280" w:hanging="319"/>
        <w:spacing w:after="0"/>
        <w:tabs>
          <w:tab w:leader="none" w:pos="12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debt securities of that series not delivered to the trustee for cancellation either:</w:t>
      </w:r>
    </w:p>
    <w:p>
      <w:pPr>
        <w:spacing w:after="0" w:line="190" w:lineRule="exact"/>
        <w:rPr>
          <w:rFonts w:ascii="Times New Roman" w:cs="Times New Roman" w:eastAsia="Times New Roman" w:hAnsi="Times New Roman"/>
          <w:sz w:val="18"/>
          <w:szCs w:val="18"/>
          <w:color w:val="auto"/>
        </w:rPr>
      </w:pPr>
    </w:p>
    <w:p>
      <w:pPr>
        <w:ind w:left="1600" w:hanging="320"/>
        <w:spacing w:after="0"/>
        <w:tabs>
          <w:tab w:leader="none" w:pos="160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become due and payable,</w:t>
      </w:r>
    </w:p>
    <w:p>
      <w:pPr>
        <w:spacing w:after="0" w:line="177" w:lineRule="exact"/>
        <w:rPr>
          <w:rFonts w:ascii="Times New Roman" w:cs="Times New Roman" w:eastAsia="Times New Roman" w:hAnsi="Times New Roman"/>
          <w:sz w:val="18"/>
          <w:szCs w:val="18"/>
          <w:color w:val="auto"/>
        </w:rPr>
      </w:pPr>
    </w:p>
    <w:p>
      <w:pPr>
        <w:ind w:left="1600" w:hanging="320"/>
        <w:spacing w:after="0"/>
        <w:tabs>
          <w:tab w:leader="none" w:pos="160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become due and payable at their stated maturity within one year, or</w:t>
      </w:r>
    </w:p>
    <w:p>
      <w:pPr>
        <w:spacing w:after="0" w:line="177" w:lineRule="exact"/>
        <w:rPr>
          <w:rFonts w:ascii="Times New Roman" w:cs="Times New Roman" w:eastAsia="Times New Roman" w:hAnsi="Times New Roman"/>
          <w:sz w:val="18"/>
          <w:szCs w:val="18"/>
          <w:color w:val="auto"/>
        </w:rPr>
      </w:pPr>
    </w:p>
    <w:p>
      <w:pPr>
        <w:ind w:left="1600" w:hanging="320"/>
        <w:spacing w:after="0"/>
        <w:tabs>
          <w:tab w:leader="none" w:pos="160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to be called for redemption within one year; and</w:t>
      </w:r>
    </w:p>
    <w:p>
      <w:pPr>
        <w:spacing w:after="0" w:line="190" w:lineRule="exact"/>
        <w:rPr>
          <w:rFonts w:ascii="Times New Roman" w:cs="Times New Roman" w:eastAsia="Times New Roman" w:hAnsi="Times New Roman"/>
          <w:sz w:val="18"/>
          <w:szCs w:val="18"/>
          <w:color w:val="auto"/>
        </w:rPr>
      </w:pPr>
    </w:p>
    <w:p>
      <w:pPr>
        <w:ind w:left="960" w:right="180" w:hanging="317"/>
        <w:spacing w:after="0" w:line="234" w:lineRule="auto"/>
        <w:tabs>
          <w:tab w:leader="none" w:pos="9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deposited with the trustee any combination of money or government securities in trust sufficient to pay the entire indebtedness on the debt securities of that series when due; and</w:t>
      </w:r>
    </w:p>
    <w:p>
      <w:pPr>
        <w:spacing w:after="0" w:line="153"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all other sums payable by us with respect to the debt securities of that series.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New York law will govern the indentures and the debt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Trustees</w:t>
      </w:r>
    </w:p>
    <w:p>
      <w:pPr>
        <w:spacing w:after="0" w:line="166" w:lineRule="exact"/>
        <w:rPr>
          <w:sz w:val="20"/>
          <w:szCs w:val="20"/>
          <w:color w:val="auto"/>
        </w:rPr>
      </w:pPr>
    </w:p>
    <w:p>
      <w:pPr>
        <w:ind w:right="40" w:firstLine="637"/>
        <w:spacing w:after="0" w:line="245" w:lineRule="auto"/>
        <w:rPr>
          <w:sz w:val="20"/>
          <w:szCs w:val="20"/>
          <w:color w:val="auto"/>
        </w:rPr>
      </w:pPr>
      <w:r>
        <w:rPr>
          <w:rFonts w:ascii="Times New Roman" w:cs="Times New Roman" w:eastAsia="Times New Roman" w:hAnsi="Times New Roman"/>
          <w:sz w:val="18"/>
          <w:szCs w:val="18"/>
          <w:color w:val="auto"/>
        </w:rPr>
        <w:t>We will name the trustee under the applicable indenture in the prospectus supplement. Each indenture contains limitations on the right of the trustee, if it or any of its affiliates is then our creditor, to obtain payment of claims or to realize on certain property received for any such claim, as security or otherwise. The trustee and its affiliates are permitted to engage in other transactions with us. If, however, the trustee acquires any conflicting interest, it must eliminate that conflict or resign within 90 days after ascertaining that it has a conflicting interest and after the occurrence of a default under the applicable indenture, unless the default has been cured, waived or otherwise eliminated within the 90-day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180"/>
          </w:cols>
          <w:pgMar w:left="320" w:top="1235" w:right="3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180" w:lineRule="exact"/>
        <w:rPr>
          <w:sz w:val="20"/>
          <w:szCs w:val="20"/>
          <w:color w:val="auto"/>
        </w:rPr>
      </w:pPr>
    </w:p>
    <w:p>
      <w:pPr>
        <w:ind w:right="100" w:firstLine="637"/>
        <w:spacing w:after="0" w:line="245" w:lineRule="auto"/>
        <w:rPr>
          <w:sz w:val="20"/>
          <w:szCs w:val="20"/>
          <w:color w:val="auto"/>
        </w:rPr>
      </w:pPr>
      <w:r>
        <w:rPr>
          <w:rFonts w:ascii="Times New Roman" w:cs="Times New Roman" w:eastAsia="Times New Roman" w:hAnsi="Times New Roman"/>
          <w:sz w:val="18"/>
          <w:szCs w:val="18"/>
          <w:color w:val="auto"/>
        </w:rPr>
        <w:t>Unless we inform you otherwise in a prospectus supplement, we will make payments on the debt securities in U.S. dollars at the office of the trustee and any paying agent. At our option, however, payments may be made by wire transfer for global debt securities or by check mailed to the address of the person entitled to the payment as it appears in the security register. Unless we inform you otherwise in a prospectus supplement, we will make interest payments to the person in whose name the debt security is registered at the close of business on the record date for the interest payment.</w:t>
      </w:r>
    </w:p>
    <w:p>
      <w:pPr>
        <w:spacing w:after="0" w:line="136" w:lineRule="exact"/>
        <w:rPr>
          <w:sz w:val="20"/>
          <w:szCs w:val="20"/>
          <w:color w:val="auto"/>
        </w:rPr>
      </w:pPr>
    </w:p>
    <w:p>
      <w:pPr>
        <w:ind w:firstLine="637"/>
        <w:spacing w:after="0" w:line="252" w:lineRule="auto"/>
        <w:rPr>
          <w:sz w:val="20"/>
          <w:szCs w:val="20"/>
          <w:color w:val="auto"/>
        </w:rPr>
      </w:pPr>
      <w:r>
        <w:rPr>
          <w:rFonts w:ascii="Times New Roman" w:cs="Times New Roman" w:eastAsia="Times New Roman" w:hAnsi="Times New Roman"/>
          <w:sz w:val="18"/>
          <w:szCs w:val="18"/>
          <w:color w:val="auto"/>
        </w:rPr>
        <w:t>Unless we inform you otherwise in a prospectus supplement, the trustee under the applicable indenture will be designated as the paying agent for payments on debt securities issued under that indenture. We may at any time designate additional paying agents or rescind the designation of any paying agent or approve a change in the office through which any paying agent acts.</w:t>
      </w:r>
    </w:p>
    <w:p>
      <w:pPr>
        <w:spacing w:after="0" w:line="144" w:lineRule="exact"/>
        <w:rPr>
          <w:sz w:val="20"/>
          <w:szCs w:val="20"/>
          <w:color w:val="auto"/>
        </w:rPr>
      </w:pPr>
    </w:p>
    <w:p>
      <w:pPr>
        <w:ind w:right="20" w:firstLine="637"/>
        <w:spacing w:after="0" w:line="245" w:lineRule="auto"/>
        <w:rPr>
          <w:sz w:val="20"/>
          <w:szCs w:val="20"/>
          <w:color w:val="auto"/>
        </w:rPr>
      </w:pPr>
      <w:r>
        <w:rPr>
          <w:rFonts w:ascii="Times New Roman" w:cs="Times New Roman" w:eastAsia="Times New Roman" w:hAnsi="Times New Roman"/>
          <w:sz w:val="18"/>
          <w:szCs w:val="18"/>
          <w:color w:val="auto"/>
        </w:rPr>
        <w:t>If the principal of or any premium or interest on debt securities of a series is payable on a day that is not a business day, the payment will be made on the following business day. For these purposes, unless we inform you otherwise in a prospectus supplement, a “business day” is any day that is not a Saturday, a Sunday or a day on which banking institutions in any of New York, New York, Houston, Texas or a place of payment on the debt securities of that series is authorized or obligated by law, regulation or executive order to remain closed.</w:t>
      </w:r>
    </w:p>
    <w:p>
      <w:pPr>
        <w:spacing w:after="0" w:line="136" w:lineRule="exact"/>
        <w:rPr>
          <w:sz w:val="20"/>
          <w:szCs w:val="20"/>
          <w:color w:val="auto"/>
        </w:rPr>
      </w:pPr>
    </w:p>
    <w:p>
      <w:pPr>
        <w:ind w:right="20" w:firstLine="637"/>
        <w:spacing w:after="0" w:line="274" w:lineRule="auto"/>
        <w:rPr>
          <w:sz w:val="20"/>
          <w:szCs w:val="20"/>
          <w:color w:val="auto"/>
        </w:rPr>
      </w:pPr>
      <w:r>
        <w:rPr>
          <w:rFonts w:ascii="Times New Roman" w:cs="Times New Roman" w:eastAsia="Times New Roman" w:hAnsi="Times New Roman"/>
          <w:sz w:val="17"/>
          <w:szCs w:val="17"/>
          <w:color w:val="auto"/>
        </w:rPr>
        <w:t>Subject to the requirements of any applicable abandoned property laws, the trustee and paying agent will pay to us upon written request any money held by them for payments on the debt securities that remains unclaimed for two years after the date upon which that payment has become due. After payment to us, holders entitled to the money must look to us for payment. In that case, all liability of the trustee or paying agent with respect to that money will cease.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Exchange, Registration and Transfer</w:t>
      </w:r>
    </w:p>
    <w:p>
      <w:pPr>
        <w:spacing w:after="0" w:line="166" w:lineRule="exact"/>
        <w:rPr>
          <w:sz w:val="20"/>
          <w:szCs w:val="20"/>
          <w:color w:val="auto"/>
        </w:rPr>
      </w:pPr>
    </w:p>
    <w:p>
      <w:pPr>
        <w:ind w:right="40" w:firstLine="637"/>
        <w:spacing w:after="0" w:line="242" w:lineRule="auto"/>
        <w:rPr>
          <w:sz w:val="20"/>
          <w:szCs w:val="20"/>
          <w:color w:val="auto"/>
        </w:rPr>
      </w:pPr>
      <w:r>
        <w:rPr>
          <w:rFonts w:ascii="Times New Roman" w:cs="Times New Roman" w:eastAsia="Times New Roman" w:hAnsi="Times New Roman"/>
          <w:sz w:val="18"/>
          <w:szCs w:val="18"/>
          <w:color w:val="auto"/>
        </w:rPr>
        <w:t>We will issue the debt securities in registered form, without interest coupons. Debt securities of any series will be exchangeable for other debt securities of the same series, the same total principal amount and the same terms but in different authorized denominations in accordance with the applicable indenture. Holders may present debt securities for registration of transfer at the office of the security registrar or any transfer agent designated by us. The security registrar or transfer agent will effect the transfer or exchange if its requirements and the requirements of the applicable indenture are met. We will not charge a service charge for any registration of transfer or exchange of the debt securities. We may, however, require payment of any transfer tax or similar governmental charge payable for that registration.</w:t>
      </w:r>
    </w:p>
    <w:p>
      <w:pPr>
        <w:spacing w:after="0" w:line="154" w:lineRule="exact"/>
        <w:rPr>
          <w:sz w:val="20"/>
          <w:szCs w:val="20"/>
          <w:color w:val="auto"/>
        </w:rPr>
      </w:pPr>
    </w:p>
    <w:p>
      <w:pPr>
        <w:jc w:val="both"/>
        <w:ind w:right="80" w:firstLine="637"/>
        <w:spacing w:after="0" w:line="266" w:lineRule="auto"/>
        <w:rPr>
          <w:sz w:val="20"/>
          <w:szCs w:val="20"/>
          <w:color w:val="auto"/>
        </w:rPr>
      </w:pPr>
      <w:r>
        <w:rPr>
          <w:rFonts w:ascii="Times New Roman" w:cs="Times New Roman" w:eastAsia="Times New Roman" w:hAnsi="Times New Roman"/>
          <w:sz w:val="17"/>
          <w:szCs w:val="17"/>
          <w:color w:val="auto"/>
        </w:rPr>
        <w:t>We will appoint the trustee as security registrar for the debt securities. If a prospectus supplement refers to any transfer agents we initially designate, we may at any time rescind that designation or approve a change in the location through which any transfer agent acts. We are required to maintain an office or agency for transfers and exchanges in each place of payment. We may at any time designate additional transfer agents for any series of debt securities.</w:t>
      </w:r>
    </w:p>
    <w:p>
      <w:pPr>
        <w:spacing w:after="0" w:line="133" w:lineRule="exact"/>
        <w:rPr>
          <w:sz w:val="20"/>
          <w:szCs w:val="20"/>
          <w:color w:val="auto"/>
        </w:rPr>
      </w:pPr>
    </w:p>
    <w:p>
      <w:pPr>
        <w:ind w:right="180" w:firstLine="637"/>
        <w:spacing w:after="0" w:line="259" w:lineRule="auto"/>
        <w:rPr>
          <w:sz w:val="20"/>
          <w:szCs w:val="20"/>
          <w:color w:val="auto"/>
        </w:rPr>
      </w:pPr>
      <w:r>
        <w:rPr>
          <w:rFonts w:ascii="Times New Roman" w:cs="Times New Roman" w:eastAsia="Times New Roman" w:hAnsi="Times New Roman"/>
          <w:sz w:val="18"/>
          <w:szCs w:val="18"/>
          <w:color w:val="auto"/>
        </w:rPr>
        <w:t>In the case of any redemption of debt securities of a series or any repurchase of debt securities of a series required under the terms of the series, we will not be required to register the transfer or exchange of:</w:t>
      </w:r>
    </w:p>
    <w:p>
      <w:pPr>
        <w:spacing w:after="0" w:line="124" w:lineRule="exact"/>
        <w:rPr>
          <w:sz w:val="20"/>
          <w:szCs w:val="20"/>
          <w:color w:val="auto"/>
        </w:rPr>
      </w:pPr>
    </w:p>
    <w:p>
      <w:pPr>
        <w:ind w:left="960" w:hanging="317"/>
        <w:spacing w:after="0" w:line="234" w:lineRule="auto"/>
        <w:tabs>
          <w:tab w:leader="none" w:pos="9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debt security of that series during a period beginning 15 business days prior to the mailing of the relevant notice of redemption or repurchase and ending on the close of business on the day of mailing of such notice; or</w:t>
      </w:r>
    </w:p>
    <w:p>
      <w:pPr>
        <w:spacing w:after="0" w:line="153" w:lineRule="exact"/>
        <w:rPr>
          <w:rFonts w:ascii="Times New Roman" w:cs="Times New Roman" w:eastAsia="Times New Roman" w:hAnsi="Times New Roman"/>
          <w:sz w:val="18"/>
          <w:szCs w:val="18"/>
          <w:color w:val="auto"/>
        </w:rPr>
      </w:pPr>
    </w:p>
    <w:p>
      <w:pPr>
        <w:ind w:left="960" w:right="80" w:hanging="317"/>
        <w:spacing w:after="0" w:line="243" w:lineRule="auto"/>
        <w:tabs>
          <w:tab w:leader="none" w:pos="9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debt security of that series that has been called for redemption in whole or in part, except the unredeemed portion of any debt security being redeemed in part.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Book-Entry Debt Securities</w:t>
      </w:r>
    </w:p>
    <w:p>
      <w:pPr>
        <w:spacing w:after="0" w:line="180" w:lineRule="exact"/>
        <w:rPr>
          <w:sz w:val="20"/>
          <w:szCs w:val="20"/>
          <w:color w:val="auto"/>
        </w:rPr>
      </w:pPr>
    </w:p>
    <w:p>
      <w:pPr>
        <w:ind w:firstLine="637"/>
        <w:spacing w:after="0" w:line="244" w:lineRule="auto"/>
        <w:rPr>
          <w:sz w:val="20"/>
          <w:szCs w:val="20"/>
          <w:color w:val="auto"/>
        </w:rPr>
      </w:pPr>
      <w:r>
        <w:rPr>
          <w:rFonts w:ascii="Times New Roman" w:cs="Times New Roman" w:eastAsia="Times New Roman" w:hAnsi="Times New Roman"/>
          <w:sz w:val="18"/>
          <w:szCs w:val="18"/>
          <w:color w:val="auto"/>
        </w:rPr>
        <w:t>We may issue the debt securities of a series in the form of one or more global debt securities that would be deposited with a depositary or its nominee identified in the prospectus supplement. We may issue global debt securities in either temporary or permanent form. We will describe in the prospectus supplement the terms of any depositary arrangement and the rights and limitations of owners of beneficial interests in any global debt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11220"/>
          </w:cols>
          <w:pgMar w:left="320" w:top="1074" w:right="359" w:bottom="1440" w:gutter="0" w:footer="0" w:header="0"/>
        </w:sectPr>
      </w:pPr>
    </w:p>
    <w:bookmarkStart w:id="15" w:name="page16"/>
    <w:bookmarkEnd w:id="1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SHARE CAPITAL</w:t>
      </w:r>
    </w:p>
    <w:p>
      <w:pPr>
        <w:spacing w:after="0" w:line="180" w:lineRule="exact"/>
        <w:rPr>
          <w:sz w:val="20"/>
          <w:szCs w:val="20"/>
          <w:color w:val="auto"/>
        </w:rPr>
      </w:pPr>
    </w:p>
    <w:p>
      <w:pPr>
        <w:jc w:val="both"/>
        <w:ind w:right="120" w:firstLine="637"/>
        <w:spacing w:after="0" w:line="244" w:lineRule="auto"/>
        <w:rPr>
          <w:sz w:val="20"/>
          <w:szCs w:val="20"/>
          <w:color w:val="auto"/>
        </w:rPr>
      </w:pPr>
      <w:r>
        <w:rPr>
          <w:rFonts w:ascii="Times New Roman" w:cs="Times New Roman" w:eastAsia="Times New Roman" w:hAnsi="Times New Roman"/>
          <w:sz w:val="18"/>
          <w:szCs w:val="18"/>
          <w:color w:val="auto"/>
        </w:rPr>
        <w:t>The following describes our common shares, preferred shares, notice of articles and amended and restated articles (“articles”). This description is a summary only. We encourage you to read the complete text of our notice of articles and articles, which we have filed as exhibits to the registration statement of which this prospectus is a part.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Share Capital</w:t>
      </w:r>
    </w:p>
    <w:p>
      <w:pPr>
        <w:spacing w:after="0" w:line="206" w:lineRule="exact"/>
        <w:rPr>
          <w:sz w:val="20"/>
          <w:szCs w:val="20"/>
          <w:color w:val="auto"/>
        </w:rPr>
      </w:pPr>
    </w:p>
    <w:p>
      <w:pPr>
        <w:ind w:right="80" w:firstLine="637"/>
        <w:spacing w:after="0" w:line="256" w:lineRule="auto"/>
        <w:rPr>
          <w:sz w:val="20"/>
          <w:szCs w:val="20"/>
          <w:color w:val="auto"/>
        </w:rPr>
      </w:pPr>
      <w:r>
        <w:rPr>
          <w:rFonts w:ascii="Times New Roman" w:cs="Times New Roman" w:eastAsia="Times New Roman" w:hAnsi="Times New Roman"/>
          <w:sz w:val="17"/>
          <w:szCs w:val="17"/>
          <w:color w:val="auto"/>
        </w:rPr>
        <w:t>Our authorized shares consist of (i) 46,000,000 common shares, no par value, (ii) up to 50,000,000 Class A preferred shares, no par value, to be issued in one or more series, and (iii) up to 50,000,000 Class B preferred shares, no par value, to be issued in one or more series, provided that the authorized limit of the Class A preferred shares and the Class B preferred shares is 50,000,000 shares in the aggregate. The first series of Class A preferred shares are designated as the “Class A Series 1 Preferred Shares” and up to 50,000,000 Class A Series 1 Preferred Shares are authorized for issuance, and the first series of Class B preferred shares are designated as the “Class B Series 1 Preferred Shares” and up to 50,000,000 Class B Series 1 Preferred Shares are authorized for issuance, provided that no more than 50,000,000 Class A Series 1 Preferred Shares and Class B Series 1 Preferred Shares are issued in the aggregate.</w:t>
      </w:r>
    </w:p>
    <w:p>
      <w:pPr>
        <w:spacing w:after="0" w:line="142" w:lineRule="exact"/>
        <w:rPr>
          <w:sz w:val="20"/>
          <w:szCs w:val="20"/>
          <w:color w:val="auto"/>
        </w:rPr>
      </w:pPr>
    </w:p>
    <w:p>
      <w:pPr>
        <w:ind w:firstLine="637"/>
        <w:spacing w:after="0" w:line="245" w:lineRule="auto"/>
        <w:rPr>
          <w:sz w:val="20"/>
          <w:szCs w:val="20"/>
          <w:color w:val="auto"/>
        </w:rPr>
      </w:pPr>
      <w:r>
        <w:rPr>
          <w:rFonts w:ascii="Times New Roman" w:cs="Times New Roman" w:eastAsia="Times New Roman" w:hAnsi="Times New Roman"/>
          <w:sz w:val="18"/>
          <w:szCs w:val="18"/>
          <w:color w:val="auto"/>
        </w:rPr>
        <w:t>We may issue shares subject to the maximum authorized share capital contained in our notice of articles. The maximum number of shares that we are authorized to issue out of any class or series of shares may be increased or decreased by a resolution passed at a general meeting of shareholders by two thirds of the votes cast on such resolution by shareholders voting shares that carry the right to vote at general meetings. Our directors are authorized to issue new common shares, Class A preferred shares or Class B preferred shares without shareholder approval.</w:t>
      </w:r>
    </w:p>
    <w:p>
      <w:pPr>
        <w:spacing w:after="0" w:line="150" w:lineRule="exact"/>
        <w:rPr>
          <w:sz w:val="20"/>
          <w:szCs w:val="20"/>
          <w:color w:val="auto"/>
        </w:rPr>
      </w:pPr>
    </w:p>
    <w:p>
      <w:pPr>
        <w:ind w:right="100" w:firstLine="637"/>
        <w:spacing w:after="0" w:line="245" w:lineRule="auto"/>
        <w:rPr>
          <w:sz w:val="20"/>
          <w:szCs w:val="20"/>
          <w:color w:val="auto"/>
        </w:rPr>
      </w:pPr>
      <w:r>
        <w:rPr>
          <w:rFonts w:ascii="Times New Roman" w:cs="Times New Roman" w:eastAsia="Times New Roman" w:hAnsi="Times New Roman"/>
          <w:sz w:val="18"/>
          <w:szCs w:val="18"/>
          <w:color w:val="auto"/>
        </w:rPr>
        <w:t>The rights and restrictions to which the common shares and Class A Series 1 Preferred Shares are subject are set out in our articles. Our notice of articles and articles permit the board of directors, without shareholder approval, to alter and attach special rights and restrictions to the Class B Series 1 Preferred Shares, including the number of shares, dividend rights, liquidation preferences, voting rights, conversion rights, preemptive rights and redemption rights.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95" w:lineRule="exact"/>
        <w:rPr>
          <w:sz w:val="20"/>
          <w:szCs w:val="20"/>
          <w:color w:val="auto"/>
        </w:rPr>
      </w:pPr>
    </w:p>
    <w:p>
      <w:pPr>
        <w:ind w:right="80" w:firstLine="637"/>
        <w:spacing w:after="0"/>
        <w:rPr>
          <w:sz w:val="20"/>
          <w:szCs w:val="20"/>
          <w:color w:val="auto"/>
        </w:rPr>
      </w:pPr>
      <w:r>
        <w:rPr>
          <w:rFonts w:ascii="Times New Roman" w:cs="Times New Roman" w:eastAsia="Times New Roman" w:hAnsi="Times New Roman"/>
          <w:sz w:val="18"/>
          <w:szCs w:val="18"/>
          <w:color w:val="auto"/>
        </w:rPr>
        <w:t xml:space="preserve">Except as provided by law or pursuant to the rights that the directors may attach to the Class B Series 1 Preferred Shares or any future outstanding series of preferred shares, holders of common shares are entitled to one vote for each share held of record on all matters submitted to a vote of the shareholders, have the right to vote for the election of directors and do not have cumulative voting rights. Except as otherwise required by law, holders of common shares are not entitled to vote on any amendment to the notice of articles or articles that prejudices or interferes with the rights and special rights of the Class A Series 1 Preferred Shares, Class B Series 1 Preferred Shares or any future outstanding series of preferred shares if the holders of such affected series are entitled, either separately or together with the holders of one or more other such series, to vote thereon pursuant to the notice of articles and articles or pursuant to British Columbia law or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(British Columbia) (the “BCA”).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95" w:lineRule="exact"/>
        <w:rPr>
          <w:sz w:val="20"/>
          <w:szCs w:val="20"/>
          <w:color w:val="auto"/>
        </w:rPr>
      </w:pPr>
    </w:p>
    <w:p>
      <w:pPr>
        <w:ind w:right="60" w:firstLine="637"/>
        <w:spacing w:after="0" w:line="245" w:lineRule="auto"/>
        <w:rPr>
          <w:sz w:val="20"/>
          <w:szCs w:val="20"/>
          <w:color w:val="auto"/>
        </w:rPr>
      </w:pPr>
      <w:r>
        <w:rPr>
          <w:rFonts w:ascii="Times New Roman" w:cs="Times New Roman" w:eastAsia="Times New Roman" w:hAnsi="Times New Roman"/>
          <w:sz w:val="18"/>
          <w:szCs w:val="18"/>
          <w:color w:val="auto"/>
        </w:rPr>
        <w:t>Subject to prior rights and preferences that are applicable to the Class A Series 1 Preferred Shares and that may be applicable to the Class B Series 1 Preferred Shares or any future outstanding series of preferred shares, holders of common shares are entitled to receive ratably in proportion to the number of common shares held by them such dividends (payable in cash, shares or otherwise), if any, as may be declared from time to time by the board of directors out of funds available for dividend payments. Dividends will not be declared where there are reasonable grounds for believing the company is insolvent or the payment of dividends would render the company insolvent. There is not a fixed rate of dividends.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Sinking Fund, Redemption, Liquidation and Preemption Rights</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holders of common shares have no preferences or rights of conversion, exchange, pre-emption or other subscription rights. There are no</w:t>
      </w:r>
    </w:p>
    <w:p>
      <w:pPr>
        <w:spacing w:after="0" w:line="12"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redemption or sinking fund provisions applicable to the common shares. In the event of any voluntary or involuntary liquidation, dissolution or winding-up of our affairs, holders of common shares will be entitled to share ratably in our assets in proportion to the common shares held by them that are remaining after payment or provision for payment of all of our debts and obligations and after distribution in full of preferential amounts to be distributed to holders of</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11200"/>
          </w:cols>
          <w:pgMar w:left="320" w:top="1313" w:right="3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outstanding shares of the Class A Series 1 Preferred Shares, the Class B Series 1 Preferred Shares or any other outstanding preferred shares, if any.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Shares</w:t>
      </w:r>
    </w:p>
    <w:p>
      <w:pPr>
        <w:spacing w:after="0" w:line="193" w:lineRule="exact"/>
        <w:rPr>
          <w:sz w:val="20"/>
          <w:szCs w:val="20"/>
          <w:color w:val="auto"/>
        </w:rPr>
      </w:pPr>
    </w:p>
    <w:p>
      <w:pPr>
        <w:ind w:right="100" w:firstLine="637"/>
        <w:spacing w:after="0" w:line="245" w:lineRule="auto"/>
        <w:rPr>
          <w:sz w:val="20"/>
          <w:szCs w:val="20"/>
          <w:color w:val="auto"/>
        </w:rPr>
      </w:pPr>
      <w:r>
        <w:rPr>
          <w:rFonts w:ascii="Times New Roman" w:cs="Times New Roman" w:eastAsia="Times New Roman" w:hAnsi="Times New Roman"/>
          <w:sz w:val="18"/>
          <w:szCs w:val="18"/>
          <w:color w:val="auto"/>
        </w:rPr>
        <w:t>We are authorized to issue Class A preferred shares and Class B preferred shares in one or more series. The Class A preferred shares are voting shares, while the Class B preferred shares are non-voting shares. We have further authorized the issuance of up to 50,000,000 Class A Series 1 Preferred Shares and Class B Series 1 Preferred Shares, being the limit of both series of preferred shares to be issued in the aggregate, which shall have the rights, privileges, restrictions and conditions as determined and attached from time to time by the board of directors, without the requirement for further shareholder approval. A summary of the terms of the Class A Series 1 Preferred Shares is set forth below.</w:t>
      </w:r>
    </w:p>
    <w:p>
      <w:pPr>
        <w:spacing w:after="0" w:line="164" w:lineRule="exact"/>
        <w:rPr>
          <w:sz w:val="20"/>
          <w:szCs w:val="20"/>
          <w:color w:val="auto"/>
        </w:rPr>
      </w:pPr>
    </w:p>
    <w:p>
      <w:pPr>
        <w:ind w:right="100" w:firstLine="637"/>
        <w:spacing w:after="0" w:line="252" w:lineRule="auto"/>
        <w:rPr>
          <w:sz w:val="20"/>
          <w:szCs w:val="20"/>
          <w:color w:val="auto"/>
        </w:rPr>
      </w:pPr>
      <w:r>
        <w:rPr>
          <w:rFonts w:ascii="Times New Roman" w:cs="Times New Roman" w:eastAsia="Times New Roman" w:hAnsi="Times New Roman"/>
          <w:sz w:val="18"/>
          <w:szCs w:val="18"/>
          <w:color w:val="auto"/>
        </w:rPr>
        <w:t>The prospectus supplement relating to any series of preferred shares we are offering will include specific terms relating to the offering and the name of any transfer agent for that series. We will file the form of the preferred shares with the SEC before we issue any of the shares, and you should read that form for provisions that may be important to you. The prospectus supplement will include some or all of the following terms:</w:t>
      </w:r>
    </w:p>
    <w:p>
      <w:pPr>
        <w:spacing w:after="0" w:line="131" w:lineRule="exact"/>
        <w:rPr>
          <w:sz w:val="20"/>
          <w:szCs w:val="20"/>
          <w:color w:val="auto"/>
        </w:rPr>
      </w:pPr>
    </w:p>
    <w:p>
      <w:pPr>
        <w:ind w:left="960" w:hanging="317"/>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preferred shares;</w:t>
      </w:r>
    </w:p>
    <w:p>
      <w:pPr>
        <w:spacing w:after="0" w:line="177"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of shares of the series;</w:t>
      </w:r>
    </w:p>
    <w:p>
      <w:pPr>
        <w:spacing w:after="0" w:line="177"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dividend rate or the method of calculating the dividend, the date from which dividends will accrue and whether dividends will be cumulative;</w:t>
      </w:r>
    </w:p>
    <w:p>
      <w:pPr>
        <w:spacing w:after="0" w:line="202" w:lineRule="exact"/>
        <w:rPr>
          <w:rFonts w:ascii="Times New Roman" w:cs="Times New Roman" w:eastAsia="Times New Roman" w:hAnsi="Times New Roman"/>
          <w:sz w:val="17"/>
          <w:szCs w:val="17"/>
          <w:color w:val="auto"/>
        </w:rPr>
      </w:pPr>
    </w:p>
    <w:p>
      <w:pPr>
        <w:ind w:left="960" w:hanging="317"/>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liquidation preference;</w:t>
      </w:r>
    </w:p>
    <w:p>
      <w:pPr>
        <w:spacing w:after="0" w:line="177"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optional redemption provisions;</w:t>
      </w:r>
    </w:p>
    <w:p>
      <w:pPr>
        <w:spacing w:after="0" w:line="177"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sinking fund or other provisions that would obligate us to redeem or purchase the preferred shares;</w:t>
      </w:r>
    </w:p>
    <w:p>
      <w:pPr>
        <w:spacing w:after="0" w:line="190"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terms for the conversion or exchange of the preferred shares for other securities of us or any other entity;</w:t>
      </w:r>
    </w:p>
    <w:p>
      <w:pPr>
        <w:spacing w:after="0" w:line="177"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voting rights; and</w:t>
      </w:r>
    </w:p>
    <w:p>
      <w:pPr>
        <w:spacing w:after="0" w:line="177" w:lineRule="exact"/>
        <w:rPr>
          <w:rFonts w:ascii="Times New Roman" w:cs="Times New Roman" w:eastAsia="Times New Roman" w:hAnsi="Times New Roman"/>
          <w:sz w:val="18"/>
          <w:szCs w:val="18"/>
          <w:color w:val="auto"/>
        </w:rPr>
      </w:pPr>
    </w:p>
    <w:p>
      <w:pPr>
        <w:ind w:left="960" w:right="160" w:hanging="317"/>
        <w:spacing w:after="0" w:line="243" w:lineRule="auto"/>
        <w:tabs>
          <w:tab w:leader="none" w:pos="9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preferences and relative, participating, optional or other special rights or any qualifications, limitations or restrictions on the rights of the shares.</w:t>
      </w:r>
    </w:p>
    <w:p>
      <w:pPr>
        <w:spacing w:after="0" w:line="165" w:lineRule="exact"/>
        <w:rPr>
          <w:sz w:val="20"/>
          <w:szCs w:val="20"/>
          <w:color w:val="auto"/>
        </w:rPr>
      </w:pPr>
    </w:p>
    <w:p>
      <w:pPr>
        <w:ind w:right="120" w:firstLine="637"/>
        <w:spacing w:after="0" w:line="252" w:lineRule="auto"/>
        <w:rPr>
          <w:sz w:val="20"/>
          <w:szCs w:val="20"/>
          <w:color w:val="auto"/>
        </w:rPr>
      </w:pPr>
      <w:r>
        <w:rPr>
          <w:rFonts w:ascii="Times New Roman" w:cs="Times New Roman" w:eastAsia="Times New Roman" w:hAnsi="Times New Roman"/>
          <w:sz w:val="18"/>
          <w:szCs w:val="18"/>
          <w:color w:val="auto"/>
        </w:rPr>
        <w:t>The issuance of preferred shares, while providing flexibility in connection with possible acquisitions and other corporate purposes, could reduce the relative voting power of holders of common shares. It also could affect the likelihood that holders of common shares will receive dividend payments and payments upon liquidation.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Series 1 Preferred Shares</w:t>
      </w:r>
    </w:p>
    <w:p>
      <w:pPr>
        <w:spacing w:after="0" w:line="235" w:lineRule="exact"/>
        <w:rPr>
          <w:sz w:val="20"/>
          <w:szCs w:val="20"/>
          <w:color w:val="auto"/>
        </w:rPr>
      </w:pPr>
    </w:p>
    <w:p>
      <w:pPr>
        <w:ind w:right="60" w:firstLine="637"/>
        <w:spacing w:after="0" w:line="245" w:lineRule="auto"/>
        <w:rPr>
          <w:sz w:val="20"/>
          <w:szCs w:val="20"/>
          <w:color w:val="auto"/>
        </w:rPr>
      </w:pPr>
      <w:r>
        <w:rPr>
          <w:rFonts w:ascii="Times New Roman" w:cs="Times New Roman" w:eastAsia="Times New Roman" w:hAnsi="Times New Roman"/>
          <w:sz w:val="18"/>
          <w:szCs w:val="18"/>
          <w:color w:val="auto"/>
        </w:rPr>
        <w:t>We have outstanding 9,042 Class A Series 1 Preferred Shares that were issued in connection with our 2018 acquisition of Noralta Lodge Ltd. Except as provided by law, the Class A Series 1 Preferred Shares do not have voting rights. The Class A Series 1 Preferred Shares are entitled to receive a 2% annual dividend on the liquidation preference (initially $10,000 per share), paid quarterly in cash or, at our option, by increasing the Class A Series 1 Preferred Shares’ liquidation preference, or by any combination thereof.</w:t>
      </w:r>
    </w:p>
    <w:p>
      <w:pPr>
        <w:spacing w:after="0" w:line="216" w:lineRule="exact"/>
        <w:rPr>
          <w:sz w:val="20"/>
          <w:szCs w:val="20"/>
          <w:color w:val="auto"/>
        </w:rPr>
      </w:pPr>
    </w:p>
    <w:p>
      <w:pPr>
        <w:ind w:right="160" w:firstLine="637"/>
        <w:spacing w:after="0" w:line="239" w:lineRule="auto"/>
        <w:rPr>
          <w:sz w:val="20"/>
          <w:szCs w:val="20"/>
          <w:color w:val="auto"/>
        </w:rPr>
      </w:pPr>
      <w:r>
        <w:rPr>
          <w:rFonts w:ascii="Times New Roman" w:cs="Times New Roman" w:eastAsia="Times New Roman" w:hAnsi="Times New Roman"/>
          <w:sz w:val="18"/>
          <w:szCs w:val="18"/>
          <w:color w:val="auto"/>
        </w:rPr>
        <w:t>The Class A Series 1 Preferred Shares are convertible into common shares at a conversion price of $39.60 per Class A Series 1 Preferred Share, subject to customary anti-dilution adjustments, including in the case of dividends or distributions to holders of the common shares (the “Conversion Price”). We have the right to elect to convert the Class A Series 1 Preferred Shares into common shares if the 15-day volume weighted average price of the common shares is equal to or exceeds the Conversion Price. Holders of the Class A Series 1 Preferred Shares have the right to convert the Class A Series 1 Preferred Shares into common shares at any time after two years from the date of issuance, and the Class A Series 1 Preferred Shares mandatorily convert after five years from the date of issuance.</w:t>
      </w:r>
    </w:p>
    <w:p>
      <w:pPr>
        <w:spacing w:after="0" w:line="209" w:lineRule="exact"/>
        <w:rPr>
          <w:sz w:val="20"/>
          <w:szCs w:val="20"/>
          <w:color w:val="auto"/>
        </w:rPr>
      </w:pPr>
    </w:p>
    <w:p>
      <w:pPr>
        <w:ind w:right="40" w:firstLine="637"/>
        <w:spacing w:after="0" w:line="264" w:lineRule="auto"/>
        <w:rPr>
          <w:sz w:val="20"/>
          <w:szCs w:val="20"/>
          <w:color w:val="auto"/>
        </w:rPr>
      </w:pPr>
      <w:r>
        <w:rPr>
          <w:rFonts w:ascii="Times New Roman" w:cs="Times New Roman" w:eastAsia="Times New Roman" w:hAnsi="Times New Roman"/>
          <w:sz w:val="17"/>
          <w:szCs w:val="17"/>
          <w:color w:val="auto"/>
        </w:rPr>
        <w:t>The Class A Series 1 Preferred Shares also convert automatically into common shares upon a change of control of Civeo. In the event of certain transactions that do not constitute a change of control but which would result in the common shares being converted into, or exchanged for, securities, cash or property (a “Reorganization Event”), each Class A Series 1 Preferred Share will, without the consent of the holders of the Class A Series 1 Preferred Shares, become convertible into the kind of securities, cash and other property that such holder of Class A Series 1 Preferred Shares would have been entitled to</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w:t>
      </w:r>
    </w:p>
    <w:p>
      <w:pPr>
        <w:sectPr>
          <w:pgSz w:w="11900" w:h="16838" w:orient="portrait"/>
          <w:cols w:equalWidth="0" w:num="1">
            <w:col w:w="11220"/>
          </w:cols>
          <w:pgMar w:left="320" w:top="1076"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receive if such holder had converted its Class A Series 1 Preferred Shares into common shares immediately prior to such Reorganization Event.</w:t>
      </w:r>
    </w:p>
    <w:p>
      <w:pPr>
        <w:spacing w:after="0" w:line="231" w:lineRule="exact"/>
        <w:rPr>
          <w:sz w:val="20"/>
          <w:szCs w:val="20"/>
          <w:color w:val="auto"/>
        </w:rPr>
      </w:pPr>
    </w:p>
    <w:p>
      <w:pPr>
        <w:jc w:val="both"/>
        <w:ind w:right="340" w:firstLine="637"/>
        <w:spacing w:after="0" w:line="274" w:lineRule="auto"/>
        <w:rPr>
          <w:sz w:val="20"/>
          <w:szCs w:val="20"/>
          <w:color w:val="auto"/>
        </w:rPr>
      </w:pPr>
      <w:r>
        <w:rPr>
          <w:rFonts w:ascii="Times New Roman" w:cs="Times New Roman" w:eastAsia="Times New Roman" w:hAnsi="Times New Roman"/>
          <w:sz w:val="17"/>
          <w:szCs w:val="17"/>
          <w:color w:val="auto"/>
        </w:rPr>
        <w:t>We may, at any time and from time to time, redeem any or all of the Class A Series 1 Preferred Shares for cash at the liquidation preference, plus accrued and unpaid dividends. The Class A Series 1 Preferred Shares rank senior in all respects to the common shares with respect to dividend rights and rights upon the liquidation, dissolution or winding-up of Civeo up to the amount of the liquidation preference and accrued and unpaid dividends.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of Articles and Articles</w:t>
      </w:r>
    </w:p>
    <w:p>
      <w:pPr>
        <w:spacing w:after="0" w:line="193" w:lineRule="exact"/>
        <w:rPr>
          <w:sz w:val="20"/>
          <w:szCs w:val="20"/>
          <w:color w:val="auto"/>
        </w:rPr>
      </w:pPr>
    </w:p>
    <w:p>
      <w:pPr>
        <w:ind w:right="40" w:firstLine="637"/>
        <w:spacing w:after="0" w:line="252" w:lineRule="auto"/>
        <w:rPr>
          <w:sz w:val="20"/>
          <w:szCs w:val="20"/>
          <w:color w:val="auto"/>
        </w:rPr>
      </w:pPr>
      <w:r>
        <w:rPr>
          <w:rFonts w:ascii="Times New Roman" w:cs="Times New Roman" w:eastAsia="Times New Roman" w:hAnsi="Times New Roman"/>
          <w:sz w:val="18"/>
          <w:szCs w:val="18"/>
          <w:color w:val="auto"/>
        </w:rPr>
        <w:t>Provisions of our notice of articles and articles may delay or discourage transactions involving an actual or potential change in control or change in our management, including transactions in which shareholders might otherwise receive a premium for their shares, or transactions that our shareholders might otherwise deem to be in their best interests. Therefore, these provisions could adversely affect the price of our shares.</w:t>
      </w:r>
    </w:p>
    <w:p>
      <w:pPr>
        <w:spacing w:after="0" w:line="170" w:lineRule="exact"/>
        <w:rPr>
          <w:sz w:val="20"/>
          <w:szCs w:val="20"/>
          <w:color w:val="auto"/>
        </w:rPr>
      </w:pPr>
    </w:p>
    <w:p>
      <w:pPr>
        <w:ind w:right="140" w:firstLine="637"/>
        <w:spacing w:after="0" w:line="245" w:lineRule="auto"/>
        <w:rPr>
          <w:sz w:val="20"/>
          <w:szCs w:val="20"/>
          <w:color w:val="auto"/>
        </w:rPr>
      </w:pPr>
      <w:r>
        <w:rPr>
          <w:rFonts w:ascii="Times New Roman" w:cs="Times New Roman" w:eastAsia="Times New Roman" w:hAnsi="Times New Roman"/>
          <w:sz w:val="18"/>
          <w:szCs w:val="18"/>
          <w:color w:val="auto"/>
        </w:rPr>
        <w:t>These provisions are expected to discourage coercive takeover practices and inadequate takeover bids. These provisions are also designed to encourage persons seeking to acquire control of us to first negotiate with us. We believe that the benefits of increased protection and our potential ability to negotiate with the proponent of an unfriendly or unsolicited proposal to acquire or restructure us outweigh the disadvantages of discouraging these proposals because, among other things, negotiation of these proposals could result in an improvement of their terms.</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Among other things, our notice of articles and articles:</w:t>
      </w:r>
    </w:p>
    <w:p>
      <w:pPr>
        <w:spacing w:after="0" w:line="191" w:lineRule="exact"/>
        <w:rPr>
          <w:sz w:val="20"/>
          <w:szCs w:val="20"/>
          <w:color w:val="auto"/>
        </w:rPr>
      </w:pPr>
    </w:p>
    <w:p>
      <w:pPr>
        <w:ind w:left="960" w:right="280" w:hanging="317"/>
        <w:spacing w:after="0" w:line="227" w:lineRule="auto"/>
        <w:tabs>
          <w:tab w:leader="none" w:pos="9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are divided into three classes serving staggered three-year terms, with only one class being elected each year by our shareholders. This classified board may discourage a third party from making a tender offer or otherwise attempting to obtain control of us because it generally makes it more difficult for shareholders to replace a majority of our directors;</w:t>
      </w:r>
    </w:p>
    <w:p>
      <w:pPr>
        <w:spacing w:after="0" w:line="155" w:lineRule="exact"/>
        <w:rPr>
          <w:rFonts w:ascii="Times New Roman" w:cs="Times New Roman" w:eastAsia="Times New Roman" w:hAnsi="Times New Roman"/>
          <w:sz w:val="18"/>
          <w:szCs w:val="18"/>
          <w:color w:val="auto"/>
        </w:rPr>
      </w:pPr>
    </w:p>
    <w:p>
      <w:pPr>
        <w:ind w:left="960" w:right="300" w:hanging="317"/>
        <w:spacing w:after="0" w:line="234" w:lineRule="auto"/>
        <w:tabs>
          <w:tab w:leader="none" w:pos="9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only be removed by shareholders passing a resolution with the requisite majority of three-quarters of the votes cast at a meeting of shareholders entitled to vote in the election of directors, voting together as a single class;</w:t>
      </w:r>
    </w:p>
    <w:p>
      <w:pPr>
        <w:spacing w:after="0" w:line="166" w:lineRule="exact"/>
        <w:rPr>
          <w:rFonts w:ascii="Times New Roman" w:cs="Times New Roman" w:eastAsia="Times New Roman" w:hAnsi="Times New Roman"/>
          <w:sz w:val="18"/>
          <w:szCs w:val="18"/>
          <w:color w:val="auto"/>
        </w:rPr>
      </w:pPr>
    </w:p>
    <w:p>
      <w:pPr>
        <w:ind w:left="960" w:right="20" w:hanging="317"/>
        <w:spacing w:after="0" w:line="213" w:lineRule="auto"/>
        <w:tabs>
          <w:tab w:leader="none" w:pos="9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procedures with regard to shareholder proposals relating to the nomination of candidates for election as directors or new business to be brought before meetings of our shareholders. These procedures provide that notice of shareholder proposals must be timely given in writing to our corporate secretary prior to the meeting at which the action is to be taken. Generally, to be timely, notice must be received at our principal executive offices not later than 120 days prior to the first anniversary date of the annual meeting for the preceding year. Our articles specify the requirements as to form and content of all shareholders’ notices. These requirements may preclude shareholders from bringing matters before the shareholders at an annual or special meeting;</w:t>
      </w:r>
    </w:p>
    <w:p>
      <w:pPr>
        <w:spacing w:after="0" w:line="171" w:lineRule="exact"/>
        <w:rPr>
          <w:rFonts w:ascii="Times New Roman" w:cs="Times New Roman" w:eastAsia="Times New Roman" w:hAnsi="Times New Roman"/>
          <w:sz w:val="18"/>
          <w:szCs w:val="18"/>
          <w:color w:val="auto"/>
        </w:rPr>
      </w:pPr>
    </w:p>
    <w:p>
      <w:pPr>
        <w:ind w:left="960" w:hanging="317"/>
        <w:spacing w:after="0" w:line="220" w:lineRule="auto"/>
        <w:tabs>
          <w:tab w:leader="none" w:pos="9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our board of directors the ability to issue the Class A Series 1 Preferred Shares and the Class B Series 1 Preferred Shares. This ability makes it possible for our board of directors to issue, without shareholder approval, preferred shares with voting or other rights or preferences that could impede the success of any attempt to change control of us. These and other provisions may have the effect of deterring hostile takeovers or delaying changes in control or management of our company;</w:t>
      </w:r>
    </w:p>
    <w:p>
      <w:pPr>
        <w:spacing w:after="0" w:line="156"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authorized number of directors may only be set by the board of directors;</w:t>
      </w:r>
    </w:p>
    <w:p>
      <w:pPr>
        <w:spacing w:after="0" w:line="177" w:lineRule="exact"/>
        <w:rPr>
          <w:rFonts w:ascii="Times New Roman" w:cs="Times New Roman" w:eastAsia="Times New Roman" w:hAnsi="Times New Roman"/>
          <w:sz w:val="18"/>
          <w:szCs w:val="18"/>
          <w:color w:val="auto"/>
        </w:rPr>
      </w:pPr>
    </w:p>
    <w:p>
      <w:pPr>
        <w:ind w:left="960" w:right="80" w:hanging="317"/>
        <w:spacing w:after="0" w:line="234" w:lineRule="auto"/>
        <w:tabs>
          <w:tab w:leader="none" w:pos="9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all vacancies, including newly created directorships, may, except as otherwise required by law or, if applicable, the rights of holders of a series of preferred shares, be filled by the affirmative vote of a majority of directors then in office;</w:t>
      </w:r>
    </w:p>
    <w:p>
      <w:pPr>
        <w:spacing w:after="0" w:line="166" w:lineRule="exact"/>
        <w:rPr>
          <w:rFonts w:ascii="Times New Roman" w:cs="Times New Roman" w:eastAsia="Times New Roman" w:hAnsi="Times New Roman"/>
          <w:sz w:val="18"/>
          <w:szCs w:val="18"/>
          <w:color w:val="auto"/>
        </w:rPr>
      </w:pPr>
    </w:p>
    <w:p>
      <w:pPr>
        <w:ind w:left="960" w:right="200" w:hanging="317"/>
        <w:spacing w:after="0" w:line="222" w:lineRule="auto"/>
        <w:tabs>
          <w:tab w:leader="none" w:pos="9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any action required or permitted to be taken by the shareholders must be effected at a duly called annual or special meeting of shareholders and may not be effected by any consent in writing in lieu of a meeting of such shareholders, subject to the rights of the holders of any series of preferred shares with respect to such series;</w:t>
      </w:r>
    </w:p>
    <w:p>
      <w:pPr>
        <w:spacing w:after="0" w:line="168" w:lineRule="exact"/>
        <w:rPr>
          <w:rFonts w:ascii="Times New Roman" w:cs="Times New Roman" w:eastAsia="Times New Roman" w:hAnsi="Times New Roman"/>
          <w:sz w:val="18"/>
          <w:szCs w:val="18"/>
          <w:color w:val="auto"/>
        </w:rPr>
      </w:pPr>
    </w:p>
    <w:p>
      <w:pPr>
        <w:ind w:left="960" w:right="40" w:hanging="317"/>
        <w:spacing w:after="0" w:line="220" w:lineRule="auto"/>
        <w:tabs>
          <w:tab w:leader="none" w:pos="9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notice of articles and articles can be amended or repealed at any annual or special meeting of shareholders or amended by the board of directors in certain circumstances, including the requirement that certain amendments by the shareholders to the articles at a meeting be upon a resolution passed by the affirmative vote of the holders of 66 2/3% of the voting power of the issued and outstanding shares entitled to vote on such matters, voting together as a single class;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w:t>
      </w:r>
    </w:p>
    <w:p>
      <w:pPr>
        <w:sectPr>
          <w:pgSz w:w="11900" w:h="16838" w:orient="portrait"/>
          <w:cols w:equalWidth="0" w:num="1">
            <w:col w:w="11240"/>
          </w:cols>
          <w:pgMar w:left="320" w:top="1076" w:right="339" w:bottom="1440" w:gutter="0" w:footer="0" w:header="0"/>
        </w:sectPr>
      </w:pPr>
    </w:p>
    <w:bookmarkStart w:id="18" w:name="page19"/>
    <w:bookmarkEnd w:id="18"/>
    <w:p>
      <w:pPr>
        <w:ind w:left="960" w:right="120" w:hanging="317"/>
        <w:spacing w:after="0" w:line="216" w:lineRule="auto"/>
        <w:tabs>
          <w:tab w:leader="none" w:pos="9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if a meeting of shareholders has been adjourned one or more times due to insufficient attendance required to pass any resolution, and at such adjourned meeting, less than the number of holders required to pass any resolution requiring 66 2/3% of the voting power of the issued and outstanding shares is present in person or by proxy, with the approval of the board, the holders holding at least 66 2/3% of the shares present in person or by proxy at such adjourned meeting and entitled to vote on the matter, voting together as a single class, may alter the articles.</w:t>
      </w:r>
    </w:p>
    <w:p>
      <w:pPr>
        <w:spacing w:after="0" w:line="183" w:lineRule="exact"/>
        <w:rPr>
          <w:sz w:val="20"/>
          <w:szCs w:val="20"/>
          <w:color w:val="auto"/>
        </w:rPr>
      </w:pPr>
    </w:p>
    <w:p>
      <w:pPr>
        <w:ind w:right="160" w:firstLine="637"/>
        <w:spacing w:after="0" w:line="245" w:lineRule="auto"/>
        <w:rPr>
          <w:sz w:val="20"/>
          <w:szCs w:val="20"/>
          <w:color w:val="auto"/>
        </w:rPr>
      </w:pPr>
      <w:r>
        <w:rPr>
          <w:rFonts w:ascii="Times New Roman" w:cs="Times New Roman" w:eastAsia="Times New Roman" w:hAnsi="Times New Roman"/>
          <w:sz w:val="18"/>
          <w:szCs w:val="18"/>
          <w:color w:val="auto"/>
        </w:rPr>
        <w:t>When interpreting a director’s duties under British Columbia law, Canadian courts have generally interpreted a director’s duty to act in “the best interest of the company” to include a duty to treat all stakeholders affected by corporate actions equitably and fairly, including in the context of a change of control transaction. Accordingly, in determining what is in “the best interests of the company”, it may be legitimate for our directors to consider the interests of not only the company’s shareholders, but other stakeholders, such as employees and creditors, as well.</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 Matters</w:t>
      </w:r>
    </w:p>
    <w:p>
      <w:pPr>
        <w:spacing w:after="0" w:line="206" w:lineRule="exact"/>
        <w:rPr>
          <w:sz w:val="20"/>
          <w:szCs w:val="20"/>
          <w:color w:val="auto"/>
        </w:rPr>
      </w:pPr>
    </w:p>
    <w:p>
      <w:pPr>
        <w:ind w:firstLine="637"/>
        <w:spacing w:after="0" w:line="245" w:lineRule="auto"/>
        <w:rPr>
          <w:sz w:val="20"/>
          <w:szCs w:val="20"/>
          <w:color w:val="auto"/>
        </w:rPr>
      </w:pPr>
      <w:r>
        <w:rPr>
          <w:rFonts w:ascii="Times New Roman" w:cs="Times New Roman" w:eastAsia="Times New Roman" w:hAnsi="Times New Roman"/>
          <w:sz w:val="18"/>
          <w:szCs w:val="18"/>
          <w:color w:val="auto"/>
        </w:rPr>
        <w:t>Our articles allow us to indemnify our directors to the fullest extent authorized by the BCA against all expenses, liabilities and losses (including judgments and fines) which may be reasonably incurred by reason of being or having been a director of the company, except for liability that cannot be indemnified under British Columbia law. British Columbia law provides that a company must not indemnify its directors if any of the following circumstances apply:</w:t>
      </w:r>
    </w:p>
    <w:p>
      <w:pPr>
        <w:spacing w:after="0" w:line="163" w:lineRule="exact"/>
        <w:rPr>
          <w:sz w:val="20"/>
          <w:szCs w:val="20"/>
          <w:color w:val="auto"/>
        </w:rPr>
      </w:pPr>
    </w:p>
    <w:p>
      <w:pPr>
        <w:ind w:left="960" w:right="40" w:hanging="317"/>
        <w:spacing w:after="0" w:line="234" w:lineRule="auto"/>
        <w:tabs>
          <w:tab w:leader="none" w:pos="9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indemnity or payment is made under an earlier agreement to indemnify or pay expenses and, at the time that the agreement to indemnify or pay expenses was made, the company was prohibited from giving the indemnity or paying the expenses by its articles;</w:t>
      </w:r>
    </w:p>
    <w:p>
      <w:pPr>
        <w:spacing w:after="0" w:line="153" w:lineRule="exact"/>
        <w:rPr>
          <w:rFonts w:ascii="Times New Roman" w:cs="Times New Roman" w:eastAsia="Times New Roman" w:hAnsi="Times New Roman"/>
          <w:sz w:val="18"/>
          <w:szCs w:val="18"/>
          <w:color w:val="auto"/>
        </w:rPr>
      </w:pPr>
    </w:p>
    <w:p>
      <w:pPr>
        <w:ind w:left="960" w:right="120" w:hanging="317"/>
        <w:spacing w:after="0" w:line="243" w:lineRule="auto"/>
        <w:tabs>
          <w:tab w:leader="none" w:pos="9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indemnity or payment is made otherwise than under an earlier agreement to indemnify or pay expenses and, at the time that the indemnity or payment is made, the company is prohibited from giving the indemnity or paying the expenses by its articles;</w:t>
      </w:r>
    </w:p>
    <w:p>
      <w:pPr>
        <w:spacing w:after="0" w:line="151" w:lineRule="exact"/>
        <w:rPr>
          <w:rFonts w:ascii="Times New Roman" w:cs="Times New Roman" w:eastAsia="Times New Roman" w:hAnsi="Times New Roman"/>
          <w:sz w:val="18"/>
          <w:szCs w:val="18"/>
          <w:color w:val="auto"/>
        </w:rPr>
      </w:pPr>
    </w:p>
    <w:p>
      <w:pPr>
        <w:ind w:left="960" w:right="40" w:hanging="317"/>
        <w:spacing w:after="0" w:line="220" w:lineRule="auto"/>
        <w:tabs>
          <w:tab w:leader="none" w:pos="9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 relation to the subject matter of the relevant proceeding, the director did not act honestly and in good faith with a view to the best interests of the company or the associated corporation, as the case may be, with such associated corporation being an affiliate of the company or a partnership, trust, joint venture or other unincorporated entity in which the director served in the capacity as a director or a position equivalent to that thereof, at the request of the company; or</w:t>
      </w:r>
    </w:p>
    <w:p>
      <w:pPr>
        <w:spacing w:after="0" w:line="156" w:lineRule="exact"/>
        <w:rPr>
          <w:rFonts w:ascii="Times New Roman" w:cs="Times New Roman" w:eastAsia="Times New Roman" w:hAnsi="Times New Roman"/>
          <w:sz w:val="18"/>
          <w:szCs w:val="18"/>
          <w:color w:val="auto"/>
        </w:rPr>
      </w:pPr>
    </w:p>
    <w:p>
      <w:pPr>
        <w:ind w:left="960" w:right="680" w:hanging="317"/>
        <w:spacing w:after="0" w:line="243" w:lineRule="auto"/>
        <w:tabs>
          <w:tab w:leader="none" w:pos="9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relevant proceeding other than a civil proceeding, if the director did not have reasonable grounds for believing that the director’s conduct in respect of which the proceeding was brought was lawful.</w:t>
      </w:r>
    </w:p>
    <w:p>
      <w:pPr>
        <w:spacing w:after="0" w:line="165" w:lineRule="exact"/>
        <w:rPr>
          <w:sz w:val="20"/>
          <w:szCs w:val="20"/>
          <w:color w:val="auto"/>
        </w:rPr>
      </w:pPr>
    </w:p>
    <w:p>
      <w:pPr>
        <w:ind w:right="460" w:firstLine="637"/>
        <w:spacing w:after="0" w:line="259" w:lineRule="auto"/>
        <w:rPr>
          <w:sz w:val="20"/>
          <w:szCs w:val="20"/>
          <w:color w:val="auto"/>
        </w:rPr>
      </w:pPr>
      <w:r>
        <w:rPr>
          <w:rFonts w:ascii="Times New Roman" w:cs="Times New Roman" w:eastAsia="Times New Roman" w:hAnsi="Times New Roman"/>
          <w:sz w:val="18"/>
          <w:szCs w:val="18"/>
          <w:color w:val="auto"/>
        </w:rPr>
        <w:t>Notwithstanding any of the above prohibitions, the company or a director may apply to court for an order that the company must indemnify the director for any liability or expenses incurred by the director or for any other related obligations of the company.</w:t>
      </w:r>
    </w:p>
    <w:p>
      <w:pPr>
        <w:spacing w:after="0" w:line="163" w:lineRule="exact"/>
        <w:rPr>
          <w:sz w:val="20"/>
          <w:szCs w:val="20"/>
          <w:color w:val="auto"/>
        </w:rPr>
      </w:pPr>
    </w:p>
    <w:p>
      <w:pPr>
        <w:ind w:right="20" w:firstLine="637"/>
        <w:spacing w:after="0" w:line="239" w:lineRule="auto"/>
        <w:rPr>
          <w:sz w:val="20"/>
          <w:szCs w:val="20"/>
          <w:color w:val="auto"/>
        </w:rPr>
      </w:pPr>
      <w:r>
        <w:rPr>
          <w:rFonts w:ascii="Times New Roman" w:cs="Times New Roman" w:eastAsia="Times New Roman" w:hAnsi="Times New Roman"/>
          <w:sz w:val="18"/>
          <w:szCs w:val="18"/>
          <w:color w:val="auto"/>
        </w:rPr>
        <w:t>The articles also provide that we will indemnify our directors and officers to the fullest extent permitted by British Columbia law. The articles also permit us to purchase insurance on behalf of any officer, director, employee or other agent of our company or, at our request, of another entity, for any liability arising out of that person’s actions in such capacity. We have entered into indemnification agreements with each of our current directors and executive officers requiring us to indemnify these individuals to the fullest extent permitted under British Columbia law against liability that may arise by reason of their service to us, and to advance expenses incurred as a result of any proceeding against them as to which they could be indemnified, and have received a written undertaking from each such director and officer as required under British Columbia law.</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transfer agent and registrar for our common shares is Computershare Investor Services, Inc.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common shares are listed on the New York Stock Exchange under the symbol “CVEO.”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w:t>
      </w:r>
    </w:p>
    <w:p>
      <w:pPr>
        <w:sectPr>
          <w:pgSz w:w="11900" w:h="16838" w:orient="portrait"/>
          <w:cols w:equalWidth="0" w:num="1">
            <w:col w:w="11240"/>
          </w:cols>
          <w:pgMar w:left="320" w:top="1063"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180" w:lineRule="exact"/>
        <w:rPr>
          <w:sz w:val="20"/>
          <w:szCs w:val="20"/>
          <w:color w:val="auto"/>
        </w:rPr>
      </w:pPr>
    </w:p>
    <w:p>
      <w:pPr>
        <w:ind w:firstLine="637"/>
        <w:spacing w:after="0" w:line="245" w:lineRule="auto"/>
        <w:rPr>
          <w:sz w:val="20"/>
          <w:szCs w:val="20"/>
          <w:color w:val="auto"/>
        </w:rPr>
      </w:pPr>
      <w:r>
        <w:rPr>
          <w:rFonts w:ascii="Times New Roman" w:cs="Times New Roman" w:eastAsia="Times New Roman" w:hAnsi="Times New Roman"/>
          <w:sz w:val="18"/>
          <w:szCs w:val="18"/>
          <w:color w:val="auto"/>
        </w:rPr>
        <w:t>We may issue warrants to purchase any combination of debt securities, common shares, preferred shares or other securities of our company or any other entity. We may issue warrants independently or together with other securities. Warrants sold with other securities may be attached to or separate from the other securities. We will issue warrants under one or more warrant agreements between us and a warrant agent that we will name in the prospectus supplement.</w:t>
      </w:r>
    </w:p>
    <w:p>
      <w:pPr>
        <w:spacing w:after="0" w:line="136" w:lineRule="exact"/>
        <w:rPr>
          <w:sz w:val="20"/>
          <w:szCs w:val="20"/>
          <w:color w:val="auto"/>
        </w:rPr>
      </w:pPr>
    </w:p>
    <w:p>
      <w:pPr>
        <w:ind w:right="220" w:firstLine="637"/>
        <w:spacing w:after="0" w:line="252" w:lineRule="auto"/>
        <w:rPr>
          <w:sz w:val="20"/>
          <w:szCs w:val="20"/>
          <w:color w:val="auto"/>
        </w:rPr>
      </w:pPr>
      <w:r>
        <w:rPr>
          <w:rFonts w:ascii="Times New Roman" w:cs="Times New Roman" w:eastAsia="Times New Roman" w:hAnsi="Times New Roman"/>
          <w:sz w:val="18"/>
          <w:szCs w:val="18"/>
          <w:color w:val="auto"/>
        </w:rPr>
        <w:t>The prospectus supplement relating to any warrants we are offering will include specific terms relating to the offering. We will file the form of any warrant agreement with the SEC, and you should read the warrant agreement for provisions that may be important to you. The prospectus supplement will include some or all of the following terms:</w:t>
      </w:r>
    </w:p>
    <w:p>
      <w:pPr>
        <w:spacing w:after="0" w:line="131" w:lineRule="exact"/>
        <w:rPr>
          <w:sz w:val="20"/>
          <w:szCs w:val="20"/>
          <w:color w:val="auto"/>
        </w:rPr>
      </w:pPr>
    </w:p>
    <w:p>
      <w:pPr>
        <w:ind w:left="960" w:hanging="317"/>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warrants;</w:t>
      </w:r>
    </w:p>
    <w:p>
      <w:pPr>
        <w:spacing w:after="0" w:line="177"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warrants offered;</w:t>
      </w:r>
    </w:p>
    <w:p>
      <w:pPr>
        <w:spacing w:after="0" w:line="177" w:lineRule="exact"/>
        <w:rPr>
          <w:rFonts w:ascii="Times New Roman" w:cs="Times New Roman" w:eastAsia="Times New Roman" w:hAnsi="Times New Roman"/>
          <w:sz w:val="18"/>
          <w:szCs w:val="18"/>
          <w:color w:val="auto"/>
        </w:rPr>
      </w:pPr>
    </w:p>
    <w:p>
      <w:pPr>
        <w:ind w:left="960" w:right="240" w:hanging="317"/>
        <w:spacing w:after="0" w:line="243" w:lineRule="auto"/>
        <w:tabs>
          <w:tab w:leader="none" w:pos="9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number and terms of the debt securities, common shares, preferred shares or other securities purchasable upon exercise of the warrants, and procedures by which those numbers may be adjusted;</w:t>
      </w:r>
    </w:p>
    <w:p>
      <w:pPr>
        <w:spacing w:after="0" w:line="151"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of the warrants;</w:t>
      </w:r>
    </w:p>
    <w:p>
      <w:pPr>
        <w:spacing w:after="0" w:line="177"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or periods during which the warrants are exercisable;</w:t>
      </w:r>
    </w:p>
    <w:p>
      <w:pPr>
        <w:spacing w:after="0" w:line="190"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any securities with which the warrants are issued;</w:t>
      </w:r>
    </w:p>
    <w:p>
      <w:pPr>
        <w:spacing w:after="0" w:line="177" w:lineRule="exact"/>
        <w:rPr>
          <w:rFonts w:ascii="Times New Roman" w:cs="Times New Roman" w:eastAsia="Times New Roman" w:hAnsi="Times New Roman"/>
          <w:sz w:val="18"/>
          <w:szCs w:val="18"/>
          <w:color w:val="auto"/>
        </w:rPr>
      </w:pPr>
    </w:p>
    <w:p>
      <w:pPr>
        <w:ind w:left="960" w:right="40" w:hanging="317"/>
        <w:spacing w:after="0" w:line="234" w:lineRule="auto"/>
        <w:tabs>
          <w:tab w:leader="none" w:pos="9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warrants are issued as a unit with another security, the date, if any, on and after which the warrants and the other security will be separately transferable;</w:t>
      </w:r>
    </w:p>
    <w:p>
      <w:pPr>
        <w:spacing w:after="0" w:line="166" w:lineRule="exact"/>
        <w:rPr>
          <w:rFonts w:ascii="Times New Roman" w:cs="Times New Roman" w:eastAsia="Times New Roman" w:hAnsi="Times New Roman"/>
          <w:sz w:val="18"/>
          <w:szCs w:val="18"/>
          <w:color w:val="auto"/>
        </w:rPr>
      </w:pPr>
    </w:p>
    <w:p>
      <w:pPr>
        <w:ind w:left="960" w:right="540" w:hanging="317"/>
        <w:spacing w:after="0" w:line="234" w:lineRule="auto"/>
        <w:tabs>
          <w:tab w:leader="none" w:pos="9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exercise price is not payable in U.S. dollars, the foreign currency, currency unit or composite currency in which the exercise price is denominated;</w:t>
      </w:r>
    </w:p>
    <w:p>
      <w:pPr>
        <w:spacing w:after="0" w:line="153"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minimum or maximum amount of warrants that may be exercised at any one time; and</w:t>
      </w:r>
    </w:p>
    <w:p>
      <w:pPr>
        <w:spacing w:after="0" w:line="190"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terms, procedures and limitations relating to the transferability, exchange or exercise of the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ectPr>
          <w:pgSz w:w="11900" w:h="16838" w:orient="portrait"/>
          <w:cols w:equalWidth="0" w:num="1">
            <w:col w:w="11240"/>
          </w:cols>
          <w:pgMar w:left="320" w:top="1313" w:right="33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80" w:lineRule="exact"/>
        <w:rPr>
          <w:sz w:val="20"/>
          <w:szCs w:val="20"/>
          <w:color w:val="auto"/>
        </w:rPr>
      </w:pPr>
    </w:p>
    <w:p>
      <w:pPr>
        <w:ind w:right="140" w:firstLine="637"/>
        <w:spacing w:after="0" w:line="259" w:lineRule="auto"/>
        <w:rPr>
          <w:sz w:val="20"/>
          <w:szCs w:val="20"/>
          <w:color w:val="auto"/>
        </w:rPr>
      </w:pPr>
      <w:r>
        <w:rPr>
          <w:rFonts w:ascii="Times New Roman" w:cs="Times New Roman" w:eastAsia="Times New Roman" w:hAnsi="Times New Roman"/>
          <w:sz w:val="18"/>
          <w:szCs w:val="18"/>
          <w:color w:val="auto"/>
        </w:rPr>
        <w:t>We may sell the securities on a delayed or continuous basis in and outside the U.S. through underwriters or dealers as designated from time to time, directly to purchasers, through agents or through a combination of these methods.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Through Underwriters or Dealers</w:t>
      </w:r>
    </w:p>
    <w:p>
      <w:pPr>
        <w:spacing w:after="0" w:line="166" w:lineRule="exact"/>
        <w:rPr>
          <w:sz w:val="20"/>
          <w:szCs w:val="20"/>
          <w:color w:val="auto"/>
        </w:rPr>
      </w:pPr>
    </w:p>
    <w:p>
      <w:pPr>
        <w:ind w:right="200" w:firstLine="637"/>
        <w:spacing w:after="0" w:line="252" w:lineRule="auto"/>
        <w:rPr>
          <w:sz w:val="20"/>
          <w:szCs w:val="20"/>
          <w:color w:val="auto"/>
        </w:rPr>
      </w:pPr>
      <w:r>
        <w:rPr>
          <w:rFonts w:ascii="Times New Roman" w:cs="Times New Roman" w:eastAsia="Times New Roman" w:hAnsi="Times New Roman"/>
          <w:sz w:val="18"/>
          <w:szCs w:val="18"/>
          <w:color w:val="auto"/>
        </w:rPr>
        <w:t>If we use underwriters in the sale of securities, the underwriters will acquire the securities for their own account. The underwriters may resell the securities from time to time in one or more transactions, including negotiated transactions, at a fixed public offering price or at varying prices determined at the time of sale.</w:t>
      </w:r>
    </w:p>
    <w:p>
      <w:pPr>
        <w:spacing w:after="0" w:line="144" w:lineRule="exact"/>
        <w:rPr>
          <w:sz w:val="20"/>
          <w:szCs w:val="20"/>
          <w:color w:val="auto"/>
        </w:rPr>
      </w:pPr>
    </w:p>
    <w:p>
      <w:pPr>
        <w:ind w:right="40" w:firstLine="637"/>
        <w:spacing w:after="0" w:line="241" w:lineRule="auto"/>
        <w:rPr>
          <w:sz w:val="20"/>
          <w:szCs w:val="20"/>
          <w:color w:val="auto"/>
        </w:rPr>
      </w:pPr>
      <w:r>
        <w:rPr>
          <w:rFonts w:ascii="Times New Roman" w:cs="Times New Roman" w:eastAsia="Times New Roman" w:hAnsi="Times New Roman"/>
          <w:sz w:val="18"/>
          <w:szCs w:val="18"/>
          <w:color w:val="auto"/>
        </w:rPr>
        <w:t>Underwriters may offer securities to the public either through underwriting syndicates represented by one or more managing underwriters or directly by one or more firms acting as underwriters. Unless we inform you otherwise in the prospectus supplement and except as described below, the obligations of the underwriters to purchase the securities will be subject to conditions, and the underwriters will be obligated to purchase all the offered securities if they purchase any of them. The underwriters may change from time to time any initial public offering price and any discounts or concessions allowed or reallowed or paid to dealers.</w:t>
      </w:r>
    </w:p>
    <w:p>
      <w:pPr>
        <w:spacing w:after="0" w:line="155" w:lineRule="exact"/>
        <w:rPr>
          <w:sz w:val="20"/>
          <w:szCs w:val="20"/>
          <w:color w:val="auto"/>
        </w:rPr>
      </w:pPr>
    </w:p>
    <w:p>
      <w:pPr>
        <w:ind w:firstLine="637"/>
        <w:spacing w:after="0" w:line="239" w:lineRule="auto"/>
        <w:rPr>
          <w:sz w:val="20"/>
          <w:szCs w:val="20"/>
          <w:color w:val="auto"/>
        </w:rPr>
      </w:pPr>
      <w:r>
        <w:rPr>
          <w:rFonts w:ascii="Times New Roman" w:cs="Times New Roman" w:eastAsia="Times New Roman" w:hAnsi="Times New Roman"/>
          <w:sz w:val="18"/>
          <w:szCs w:val="18"/>
          <w:color w:val="auto"/>
        </w:rPr>
        <w:t>Underwriters may sell our common shares under this prospectus by any method permitted by law deemed to be an “at the market” offering as defined in Rule 415 under the Securities Act, which includes sales made directly on the NYSE, on any other existing trading market for our common shares or to or through a market maker, or in privately negotiated transactions. Unless we inform you otherwise in the prospectus supplement, the sales agent with respect to any such at-the-market offering will make all sales using commercially reasonable efforts consistent with its normal trading and sales practices, on mutually agreeable terms between the sales agent and us. We will include in the prospectus supplement the amount of any compensation to be received by the sales agent.</w:t>
      </w:r>
    </w:p>
    <w:p>
      <w:pPr>
        <w:spacing w:after="0" w:line="156" w:lineRule="exact"/>
        <w:rPr>
          <w:sz w:val="20"/>
          <w:szCs w:val="20"/>
          <w:color w:val="auto"/>
        </w:rPr>
      </w:pPr>
    </w:p>
    <w:p>
      <w:pPr>
        <w:ind w:firstLine="637"/>
        <w:spacing w:after="0" w:line="242" w:lineRule="auto"/>
        <w:rPr>
          <w:sz w:val="20"/>
          <w:szCs w:val="20"/>
          <w:color w:val="auto"/>
        </w:rPr>
      </w:pPr>
      <w:r>
        <w:rPr>
          <w:rFonts w:ascii="Times New Roman" w:cs="Times New Roman" w:eastAsia="Times New Roman" w:hAnsi="Times New Roman"/>
          <w:sz w:val="18"/>
          <w:szCs w:val="18"/>
          <w:color w:val="auto"/>
        </w:rPr>
        <w:t>During and after an offering through underwriters, the underwriters may purchase and sell the securities in the open market. These transactions may include overallotment and stabilizing transactions and purchases to cover syndicate short positions created in connection with the offering. The underwriters also may impose a penalty bid, which means that selling concessions allowed to syndicate members or other broker-dealers for the offered securities sold for their account may be reclaimed by the syndicate if the offered securities are repurchased by the syndicate in stabilizing or covering transactions. These activities may stabilize, maintain or otherwise affect the market price of the offered securities, which may be higher than the price that might otherwise prevail in the open market. If commenced, the underwriters may discontinue these activities at any time.</w:t>
      </w:r>
    </w:p>
    <w:p>
      <w:pPr>
        <w:spacing w:after="0" w:line="141" w:lineRule="exact"/>
        <w:rPr>
          <w:sz w:val="20"/>
          <w:szCs w:val="20"/>
          <w:color w:val="auto"/>
        </w:rPr>
      </w:pPr>
    </w:p>
    <w:p>
      <w:pPr>
        <w:ind w:right="120" w:firstLine="637"/>
        <w:spacing w:after="0" w:line="245" w:lineRule="auto"/>
        <w:rPr>
          <w:sz w:val="20"/>
          <w:szCs w:val="20"/>
          <w:color w:val="auto"/>
        </w:rPr>
      </w:pPr>
      <w:r>
        <w:rPr>
          <w:rFonts w:ascii="Times New Roman" w:cs="Times New Roman" w:eastAsia="Times New Roman" w:hAnsi="Times New Roman"/>
          <w:sz w:val="18"/>
          <w:szCs w:val="18"/>
          <w:color w:val="auto"/>
        </w:rPr>
        <w:t>If we use dealers in the sale of securities, we will sell the securities to them as principals. They may then resell those securities to the public at varying prices determined by the dealers at the time of resale. The dealers participating in any sale of the securities may be deemed to be underwriters within the meaning of the Securities Act with respect to any sale of those securities. We will include in the prospectus supplement the names of the dealers and the terms of the transaction.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 Sales and Sales Through Agents</w:t>
      </w:r>
    </w:p>
    <w:p>
      <w:pPr>
        <w:spacing w:after="0" w:line="166" w:lineRule="exact"/>
        <w:rPr>
          <w:sz w:val="20"/>
          <w:szCs w:val="20"/>
          <w:color w:val="auto"/>
        </w:rPr>
      </w:pPr>
    </w:p>
    <w:p>
      <w:pPr>
        <w:ind w:right="80" w:firstLine="637"/>
        <w:spacing w:after="0" w:line="245" w:lineRule="auto"/>
        <w:rPr>
          <w:sz w:val="20"/>
          <w:szCs w:val="20"/>
          <w:color w:val="auto"/>
        </w:rPr>
      </w:pPr>
      <w:r>
        <w:rPr>
          <w:rFonts w:ascii="Times New Roman" w:cs="Times New Roman" w:eastAsia="Times New Roman" w:hAnsi="Times New Roman"/>
          <w:sz w:val="18"/>
          <w:szCs w:val="18"/>
          <w:color w:val="auto"/>
        </w:rPr>
        <w:t>We may sell the securities directly. In that event, no underwriters or agents would be involved. We may also sell the securities through agents we designate from time to time. In the prospectus supplement, we will name any agent involved in the offer or sale of the offered securities, and we will describe any commissions payable by us to the agent. Unless we inform you otherwise in the prospectus supplement, any agent will agree to use its reasonable best efforts to solicit purchases for the period of its appointment.</w:t>
      </w:r>
    </w:p>
    <w:p>
      <w:pPr>
        <w:spacing w:after="0" w:line="150" w:lineRule="exact"/>
        <w:rPr>
          <w:sz w:val="20"/>
          <w:szCs w:val="20"/>
          <w:color w:val="auto"/>
        </w:rPr>
      </w:pPr>
    </w:p>
    <w:p>
      <w:pPr>
        <w:ind w:firstLine="637"/>
        <w:spacing w:after="0" w:line="259" w:lineRule="auto"/>
        <w:rPr>
          <w:sz w:val="20"/>
          <w:szCs w:val="20"/>
          <w:color w:val="auto"/>
        </w:rPr>
      </w:pPr>
      <w:r>
        <w:rPr>
          <w:rFonts w:ascii="Times New Roman" w:cs="Times New Roman" w:eastAsia="Times New Roman" w:hAnsi="Times New Roman"/>
          <w:sz w:val="18"/>
          <w:szCs w:val="18"/>
          <w:color w:val="auto"/>
        </w:rPr>
        <w:t>We may sell the securities directly to institutional investors or others who may be deemed to be underwriters within the meaning of the Securities Act with respect to any sale of those securities. We will describe the terms of any such sales in the prospectus supplement.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Delayed Delivery Contracts</w:t>
      </w:r>
    </w:p>
    <w:p>
      <w:pPr>
        <w:spacing w:after="0" w:line="180" w:lineRule="exact"/>
        <w:rPr>
          <w:sz w:val="20"/>
          <w:szCs w:val="20"/>
          <w:color w:val="auto"/>
        </w:rPr>
      </w:pPr>
    </w:p>
    <w:p>
      <w:pPr>
        <w:ind w:right="100" w:firstLine="637"/>
        <w:spacing w:after="0" w:line="245" w:lineRule="auto"/>
        <w:rPr>
          <w:sz w:val="20"/>
          <w:szCs w:val="20"/>
          <w:color w:val="auto"/>
        </w:rPr>
      </w:pPr>
      <w:r>
        <w:rPr>
          <w:rFonts w:ascii="Times New Roman" w:cs="Times New Roman" w:eastAsia="Times New Roman" w:hAnsi="Times New Roman"/>
          <w:sz w:val="18"/>
          <w:szCs w:val="18"/>
          <w:color w:val="auto"/>
        </w:rPr>
        <w:t>If we so indicate in the prospectus supplement, we may authorize agents, underwriters or dealers to solicit offers from certain types of institutions to purchase securities from us at the public offering price under delayed delivery contracts. These contracts would provide for payment and delivery on a specified date in the future. The contracts would be subject only to those conditions described in the prospectus supplement. The prospectus supplement will describe the commission payable for solicitation of those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16</w:t>
      </w:r>
    </w:p>
    <w:p>
      <w:pPr>
        <w:sectPr>
          <w:pgSz w:w="11900" w:h="16838" w:orient="portrait"/>
          <w:cols w:equalWidth="0" w:num="1">
            <w:col w:w="11220"/>
          </w:cols>
          <w:pgMar w:left="320" w:top="1313"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Remarketing</w:t>
      </w:r>
    </w:p>
    <w:p>
      <w:pPr>
        <w:spacing w:after="0" w:line="166" w:lineRule="exact"/>
        <w:rPr>
          <w:sz w:val="20"/>
          <w:szCs w:val="20"/>
          <w:color w:val="auto"/>
        </w:rPr>
      </w:pPr>
    </w:p>
    <w:p>
      <w:pPr>
        <w:ind w:firstLine="637"/>
        <w:spacing w:after="0" w:line="245" w:lineRule="auto"/>
        <w:rPr>
          <w:sz w:val="20"/>
          <w:szCs w:val="20"/>
          <w:color w:val="auto"/>
        </w:rPr>
      </w:pPr>
      <w:r>
        <w:rPr>
          <w:rFonts w:ascii="Times New Roman" w:cs="Times New Roman" w:eastAsia="Times New Roman" w:hAnsi="Times New Roman"/>
          <w:sz w:val="18"/>
          <w:szCs w:val="18"/>
          <w:color w:val="auto"/>
        </w:rPr>
        <w:t>We may offer and sell any of the securities in connection with a remarketing upon their purchase, in accordance with a redemption or repayment by their terms or otherwise, by one or more remarketing firms acting as principals for their own accounts or as our agents. We will identify any remarketing firm, the terms of any remarketing agreement and the compensation to be paid to the remarketing firm in the prospectus supplement. Remarketing firms may be deemed underwriters under the Securities Act.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Transactions</w:t>
      </w:r>
    </w:p>
    <w:p>
      <w:pPr>
        <w:spacing w:after="0" w:line="180" w:lineRule="exact"/>
        <w:rPr>
          <w:sz w:val="20"/>
          <w:szCs w:val="20"/>
          <w:color w:val="auto"/>
        </w:rPr>
      </w:pPr>
    </w:p>
    <w:p>
      <w:pPr>
        <w:ind w:right="20" w:firstLine="637"/>
        <w:spacing w:after="0" w:line="242" w:lineRule="auto"/>
        <w:rPr>
          <w:sz w:val="20"/>
          <w:szCs w:val="20"/>
          <w:color w:val="auto"/>
        </w:rPr>
      </w:pPr>
      <w:r>
        <w:rPr>
          <w:rFonts w:ascii="Times New Roman" w:cs="Times New Roman" w:eastAsia="Times New Roman" w:hAnsi="Times New Roman"/>
          <w:sz w:val="18"/>
          <w:szCs w:val="18"/>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parties may use securities pledged by us or borrowed from us or others to settle those sales or to close out any related open borrowings of stock, and may use securities received from us in settlement of those derivatives to close out any related open borrowings of stock. The third parties in these sale transactions will be underwriters and will be identified in the applicable prospectus supplement or in a post-effective amendment to the registration statement of which this prospectus forms a part.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180" w:lineRule="exact"/>
        <w:rPr>
          <w:sz w:val="20"/>
          <w:szCs w:val="20"/>
          <w:color w:val="auto"/>
        </w:rPr>
      </w:pPr>
    </w:p>
    <w:p>
      <w:pPr>
        <w:jc w:val="both"/>
        <w:ind w:right="160" w:firstLine="637"/>
        <w:spacing w:after="0" w:line="252" w:lineRule="auto"/>
        <w:rPr>
          <w:sz w:val="20"/>
          <w:szCs w:val="20"/>
          <w:color w:val="auto"/>
        </w:rPr>
      </w:pPr>
      <w:r>
        <w:rPr>
          <w:rFonts w:ascii="Times New Roman" w:cs="Times New Roman" w:eastAsia="Times New Roman" w:hAnsi="Times New Roman"/>
          <w:sz w:val="18"/>
          <w:szCs w:val="18"/>
          <w:color w:val="auto"/>
        </w:rPr>
        <w:t>We may have agreements with the agents, dealers and underwriters to indemnify them against certain civil liabilities, including liabilities under the Securities Act, or to contribute with respect to payments that the agents, dealers or underwriters may be required to make. Agents, dealers and underwriters may be customers of, engage in transactions with or perform services for us in the ordinary course of their businesses.</w:t>
      </w:r>
    </w:p>
    <w:p>
      <w:pPr>
        <w:spacing w:after="0" w:line="3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6" w:lineRule="exact"/>
        <w:rPr>
          <w:sz w:val="20"/>
          <w:szCs w:val="20"/>
          <w:color w:val="auto"/>
        </w:rPr>
      </w:pPr>
    </w:p>
    <w:p>
      <w:pPr>
        <w:ind w:right="160" w:firstLine="637"/>
        <w:spacing w:after="0" w:line="274" w:lineRule="auto"/>
        <w:rPr>
          <w:sz w:val="20"/>
          <w:szCs w:val="20"/>
          <w:color w:val="auto"/>
        </w:rPr>
      </w:pPr>
      <w:r>
        <w:rPr>
          <w:rFonts w:ascii="Times New Roman" w:cs="Times New Roman" w:eastAsia="Times New Roman" w:hAnsi="Times New Roman"/>
          <w:sz w:val="17"/>
          <w:szCs w:val="17"/>
          <w:color w:val="auto"/>
        </w:rPr>
        <w:t>Certain legal matters in connection with this offering will be passed upon for us by Gibson, Dunn &amp; Crutcher LLP, Houston, Texas, with respect to U.S. law. Certain legal matters in connection with this offering will be passed upon for us by Dentons Canada LLP, Vancouver, British Columbia, Canada, with respect to Canadian law. Any underwriters will be advised about other issues relating to any offering by their own legal counsel.</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6" w:lineRule="exact"/>
        <w:rPr>
          <w:sz w:val="20"/>
          <w:szCs w:val="20"/>
          <w:color w:val="auto"/>
        </w:rPr>
      </w:pPr>
    </w:p>
    <w:p>
      <w:pPr>
        <w:ind w:right="320" w:firstLine="637"/>
        <w:spacing w:after="0" w:line="241" w:lineRule="auto"/>
        <w:rPr>
          <w:sz w:val="20"/>
          <w:szCs w:val="20"/>
          <w:color w:val="auto"/>
        </w:rPr>
      </w:pPr>
      <w:r>
        <w:rPr>
          <w:rFonts w:ascii="Times New Roman" w:cs="Times New Roman" w:eastAsia="Times New Roman" w:hAnsi="Times New Roman"/>
          <w:sz w:val="18"/>
          <w:szCs w:val="18"/>
          <w:color w:val="auto"/>
        </w:rPr>
        <w:t>The consolidated financial statements of Civeo Corporation appearing in Civeo Corporation’s Annual Report (Form 10-K) for the year ended December 31, 2021, and the effectiveness of Civeo Corporation’s internal control over financial reporting as of December 31, 2021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1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80" w:lineRule="exact"/>
        <w:rPr>
          <w:sz w:val="20"/>
          <w:szCs w:val="20"/>
          <w:color w:val="auto"/>
        </w:rPr>
      </w:pPr>
    </w:p>
    <w:p>
      <w:pPr>
        <w:jc w:val="both"/>
        <w:ind w:right="320" w:firstLine="637"/>
        <w:spacing w:after="0" w:line="244" w:lineRule="auto"/>
        <w:rPr>
          <w:sz w:val="20"/>
          <w:szCs w:val="20"/>
          <w:color w:val="auto"/>
        </w:rPr>
      </w:pPr>
      <w:r>
        <w:rPr>
          <w:rFonts w:ascii="Times New Roman" w:cs="Times New Roman" w:eastAsia="Times New Roman" w:hAnsi="Times New Roman"/>
          <w:sz w:val="18"/>
          <w:szCs w:val="18"/>
          <w:color w:val="auto"/>
        </w:rPr>
        <w:t>We have filed a registration statement with the SEC under the Securities Act relating to the securities offered by this prospectus. The registration statement, including the attached exhibits, contains additional relevant information about us. The rules and regulations of the SEC allow us to omit some information included in the registration statement from this prospectus.</w:t>
      </w:r>
    </w:p>
    <w:p>
      <w:pPr>
        <w:spacing w:after="0" w:line="151" w:lineRule="exact"/>
        <w:rPr>
          <w:sz w:val="20"/>
          <w:szCs w:val="20"/>
          <w:color w:val="auto"/>
        </w:rPr>
      </w:pPr>
    </w:p>
    <w:p>
      <w:pPr>
        <w:ind w:right="100" w:firstLine="637"/>
        <w:spacing w:after="0" w:line="259" w:lineRule="auto"/>
        <w:rPr>
          <w:sz w:val="20"/>
          <w:szCs w:val="20"/>
          <w:color w:val="auto"/>
        </w:rPr>
      </w:pPr>
      <w:r>
        <w:rPr>
          <w:rFonts w:ascii="Times New Roman" w:cs="Times New Roman" w:eastAsia="Times New Roman" w:hAnsi="Times New Roman"/>
          <w:sz w:val="17"/>
          <w:szCs w:val="17"/>
          <w:color w:val="auto"/>
        </w:rPr>
        <w:t>In addition, we file annual, quarterly and other reports, proxy statements and other information with the SEC. The SEC maintains a website that contains reports, proxy statements and other information about registrants, like us, that have been filed electronically with the SEC. You can access the website maintained by the SEC at http://www.sec.gov. We also make available free of charge on our website, at http://www.civeo.com, all materials that we file electronically with the SEC, including our annual report on Form 10-K, quarterly reports on Form 10-Q, current reports on Form 8-K, Section 16 reports and amendments to these reports as soon as reasonably practicable after such materials are electronically filed with, or furnished to, the SEC. Information contained on our website or any other website is not incorporated by reference into this prospectus and does not constitute a part of this prospectus.</w:t>
      </w:r>
    </w:p>
    <w:p>
      <w:pPr>
        <w:spacing w:after="0" w:line="127" w:lineRule="exact"/>
        <w:rPr>
          <w:sz w:val="20"/>
          <w:szCs w:val="20"/>
          <w:color w:val="auto"/>
        </w:rPr>
      </w:pPr>
    </w:p>
    <w:p>
      <w:pPr>
        <w:ind w:firstLine="637"/>
        <w:spacing w:after="0" w:line="274"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have filed with the SEC. This means that we can disclose important information to you without actually including the specific information in this prospectus by referring</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17</w:t>
      </w:r>
    </w:p>
    <w:p>
      <w:pPr>
        <w:sectPr>
          <w:pgSz w:w="11900" w:h="16838" w:orient="portrait"/>
          <w:cols w:equalWidth="0" w:num="1">
            <w:col w:w="11200"/>
          </w:cols>
          <w:pgMar w:left="320" w:top="1061" w:right="379" w:bottom="1440" w:gutter="0" w:footer="0" w:header="0"/>
        </w:sectPr>
      </w:pPr>
    </w:p>
    <w:bookmarkStart w:id="22" w:name="page23"/>
    <w:bookmarkEnd w:id="22"/>
    <w:p>
      <w:pPr>
        <w:ind w:right="180"/>
        <w:spacing w:after="0" w:line="252" w:lineRule="auto"/>
        <w:rPr>
          <w:sz w:val="20"/>
          <w:szCs w:val="20"/>
          <w:color w:val="auto"/>
        </w:rPr>
      </w:pPr>
      <w:r>
        <w:rPr>
          <w:rFonts w:ascii="Times New Roman" w:cs="Times New Roman" w:eastAsia="Times New Roman" w:hAnsi="Times New Roman"/>
          <w:sz w:val="18"/>
          <w:szCs w:val="18"/>
          <w:color w:val="auto"/>
        </w:rPr>
        <w:t>you to other documents filed separately with the SEC. These other documents contain important information about us. The information incorporated by reference is an important part of this prospectus. Information that we file later with the SEC will automatically update and may replace information in this prospectus and information previously filed with the SEC.</w:t>
      </w:r>
    </w:p>
    <w:p>
      <w:pPr>
        <w:spacing w:after="0" w:line="131" w:lineRule="exact"/>
        <w:rPr>
          <w:sz w:val="20"/>
          <w:szCs w:val="20"/>
          <w:color w:val="auto"/>
        </w:rPr>
      </w:pPr>
    </w:p>
    <w:p>
      <w:pPr>
        <w:jc w:val="both"/>
        <w:ind w:right="60" w:firstLine="637"/>
        <w:spacing w:after="0" w:line="252" w:lineRule="auto"/>
        <w:rPr>
          <w:sz w:val="20"/>
          <w:szCs w:val="20"/>
          <w:color w:val="auto"/>
        </w:rPr>
      </w:pPr>
      <w:r>
        <w:rPr>
          <w:rFonts w:ascii="Times New Roman" w:cs="Times New Roman" w:eastAsia="Times New Roman" w:hAnsi="Times New Roman"/>
          <w:sz w:val="18"/>
          <w:szCs w:val="18"/>
          <w:color w:val="auto"/>
        </w:rPr>
        <w:t>We incorporate by reference in this prospectus the documents listed below, and any subsequent filings we make with the SEC under Section 13(a), 13(c), 14 or 15(d) of the Securities Exchange Act of 1934 (the “Exchange Act”) (excluding information deemed to be furnished and not filed with the SEC) until all offerings under this registration statement are completed or terminated:</w:t>
      </w:r>
    </w:p>
    <w:p>
      <w:pPr>
        <w:spacing w:after="0" w:line="131" w:lineRule="exact"/>
        <w:rPr>
          <w:sz w:val="20"/>
          <w:szCs w:val="20"/>
          <w:color w:val="auto"/>
        </w:rPr>
      </w:pPr>
    </w:p>
    <w:p>
      <w:pPr>
        <w:ind w:left="960" w:hanging="317"/>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report on Form 10-K for the year ended December 31, 2021 (the “Form 10-K”);</w:t>
      </w:r>
    </w:p>
    <w:p>
      <w:pPr>
        <w:spacing w:after="0" w:line="177" w:lineRule="exact"/>
        <w:rPr>
          <w:rFonts w:ascii="Times New Roman" w:cs="Times New Roman" w:eastAsia="Times New Roman" w:hAnsi="Times New Roman"/>
          <w:sz w:val="18"/>
          <w:szCs w:val="18"/>
          <w:color w:val="auto"/>
        </w:rPr>
      </w:pPr>
    </w:p>
    <w:p>
      <w:pPr>
        <w:ind w:left="960" w:hanging="317"/>
        <w:spacing w:after="0" w:line="234" w:lineRule="auto"/>
        <w:tabs>
          <w:tab w:leader="none" w:pos="9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our definitive proxy statement on Schedule 14A for our 2022 annual general meeting of shareholders to the extent incorporated by reference in Part III of the Form 10-K;</w:t>
      </w:r>
    </w:p>
    <w:p>
      <w:pPr>
        <w:spacing w:after="0" w:line="166"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reports on Form 10-Q filed on April 29, 2022 and August 4, 2022;</w:t>
      </w:r>
    </w:p>
    <w:p>
      <w:pPr>
        <w:spacing w:after="0" w:line="177"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reports on Form 8-K filed on April 5, 2022, April 7, 2022, May 18, 2022 and August 1, 2022; and</w:t>
      </w:r>
    </w:p>
    <w:p>
      <w:pPr>
        <w:spacing w:after="0" w:line="177" w:lineRule="exact"/>
        <w:rPr>
          <w:rFonts w:ascii="Times New Roman" w:cs="Times New Roman" w:eastAsia="Times New Roman" w:hAnsi="Times New Roman"/>
          <w:sz w:val="18"/>
          <w:szCs w:val="18"/>
          <w:color w:val="auto"/>
        </w:rPr>
      </w:pPr>
    </w:p>
    <w:p>
      <w:pPr>
        <w:ind w:left="960" w:right="320" w:hanging="317"/>
        <w:spacing w:after="0" w:line="243" w:lineRule="auto"/>
        <w:tabs>
          <w:tab w:leader="none" w:pos="9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our common shares contained in our Current Report on Form 8-K12B, filed on July 17, 2015, as that description may be updated from time to time.</w:t>
      </w:r>
    </w:p>
    <w:p>
      <w:pPr>
        <w:spacing w:after="0" w:line="165" w:lineRule="exact"/>
        <w:rPr>
          <w:sz w:val="20"/>
          <w:szCs w:val="20"/>
          <w:color w:val="auto"/>
        </w:rPr>
      </w:pPr>
    </w:p>
    <w:p>
      <w:pPr>
        <w:ind w:right="500" w:firstLine="637"/>
        <w:spacing w:after="0" w:line="259" w:lineRule="auto"/>
        <w:rPr>
          <w:sz w:val="20"/>
          <w:szCs w:val="20"/>
          <w:color w:val="auto"/>
        </w:rPr>
      </w:pPr>
      <w:r>
        <w:rPr>
          <w:rFonts w:ascii="Times New Roman" w:cs="Times New Roman" w:eastAsia="Times New Roman" w:hAnsi="Times New Roman"/>
          <w:sz w:val="18"/>
          <w:szCs w:val="18"/>
          <w:color w:val="auto"/>
        </w:rPr>
        <w:t>We also are incorporating by reference all additional documents that we may file with the SEC under Section 13(a), 13(c), 14 or 15(d) of the Exchange Act after the date hereof and prior to the effectiveness of the registration statement.</w:t>
      </w:r>
    </w:p>
    <w:p>
      <w:pPr>
        <w:spacing w:after="0" w:line="137" w:lineRule="exact"/>
        <w:rPr>
          <w:sz w:val="20"/>
          <w:szCs w:val="20"/>
          <w:color w:val="auto"/>
        </w:rPr>
      </w:pPr>
    </w:p>
    <w:p>
      <w:pPr>
        <w:ind w:right="20" w:firstLine="637"/>
        <w:spacing w:after="0" w:line="259" w:lineRule="auto"/>
        <w:rPr>
          <w:sz w:val="20"/>
          <w:szCs w:val="20"/>
          <w:color w:val="auto"/>
        </w:rPr>
      </w:pPr>
      <w:r>
        <w:rPr>
          <w:rFonts w:ascii="Times New Roman" w:cs="Times New Roman" w:eastAsia="Times New Roman" w:hAnsi="Times New Roman"/>
          <w:sz w:val="18"/>
          <w:szCs w:val="18"/>
          <w:color w:val="auto"/>
        </w:rPr>
        <w:t>You may request a copy of these filings, other than an exhibit to these filings unless we have specifically incorporated that exhibit by reference into the filing, at no cost, by writing or telephoning us at the following address:</w:t>
      </w:r>
    </w:p>
    <w:p>
      <w:pPr>
        <w:spacing w:after="0" w:line="16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Civeo Corporation</w:t>
      </w:r>
    </w:p>
    <w:p>
      <w:pPr>
        <w:spacing w:after="0" w:line="1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Attn: Corporate Secretary</w:t>
      </w:r>
    </w:p>
    <w:p>
      <w:pPr>
        <w:ind w:left="1280"/>
        <w:spacing w:after="0" w:line="236" w:lineRule="auto"/>
        <w:rPr>
          <w:sz w:val="20"/>
          <w:szCs w:val="20"/>
          <w:color w:val="auto"/>
        </w:rPr>
      </w:pPr>
      <w:r>
        <w:rPr>
          <w:rFonts w:ascii="Times New Roman" w:cs="Times New Roman" w:eastAsia="Times New Roman" w:hAnsi="Times New Roman"/>
          <w:sz w:val="18"/>
          <w:szCs w:val="18"/>
          <w:color w:val="auto"/>
        </w:rPr>
        <w:t>Three Allen Center</w:t>
      </w:r>
    </w:p>
    <w:p>
      <w:pPr>
        <w:ind w:left="1280"/>
        <w:spacing w:after="0" w:line="231" w:lineRule="auto"/>
        <w:rPr>
          <w:sz w:val="20"/>
          <w:szCs w:val="20"/>
          <w:color w:val="auto"/>
        </w:rPr>
      </w:pPr>
      <w:r>
        <w:rPr>
          <w:rFonts w:ascii="Times New Roman" w:cs="Times New Roman" w:eastAsia="Times New Roman" w:hAnsi="Times New Roman"/>
          <w:sz w:val="18"/>
          <w:szCs w:val="18"/>
          <w:color w:val="auto"/>
        </w:rPr>
        <w:t>333 Clay Street</w:t>
      </w:r>
    </w:p>
    <w:p>
      <w:pPr>
        <w:ind w:left="1280"/>
        <w:spacing w:after="0"/>
        <w:rPr>
          <w:sz w:val="20"/>
          <w:szCs w:val="20"/>
          <w:color w:val="auto"/>
        </w:rPr>
      </w:pPr>
      <w:r>
        <w:rPr>
          <w:rFonts w:ascii="Times New Roman" w:cs="Times New Roman" w:eastAsia="Times New Roman" w:hAnsi="Times New Roman"/>
          <w:sz w:val="18"/>
          <w:szCs w:val="18"/>
          <w:color w:val="auto"/>
        </w:rPr>
        <w:t>Suite 4980</w:t>
      </w:r>
    </w:p>
    <w:p>
      <w:pPr>
        <w:ind w:left="1280"/>
        <w:spacing w:after="0" w:line="236" w:lineRule="auto"/>
        <w:rPr>
          <w:sz w:val="20"/>
          <w:szCs w:val="20"/>
          <w:color w:val="auto"/>
        </w:rPr>
      </w:pPr>
      <w:r>
        <w:rPr>
          <w:rFonts w:ascii="Times New Roman" w:cs="Times New Roman" w:eastAsia="Times New Roman" w:hAnsi="Times New Roman"/>
          <w:sz w:val="18"/>
          <w:szCs w:val="18"/>
          <w:color w:val="auto"/>
        </w:rPr>
        <w:t>Houston, Texas 77002</w:t>
      </w:r>
    </w:p>
    <w:p>
      <w:pPr>
        <w:spacing w:after="0" w:line="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(713) 510-2400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color w:val="auto"/>
        </w:rPr>
        <w:t>18</w:t>
      </w:r>
    </w:p>
    <w:p>
      <w:pPr>
        <w:sectPr>
          <w:pgSz w:w="11900" w:h="16838" w:orient="portrait"/>
          <w:cols w:equalWidth="0" w:num="1">
            <w:col w:w="11080"/>
          </w:cols>
          <w:pgMar w:left="320" w:top="1076" w:right="499" w:bottom="1440" w:gutter="0" w:footer="0" w:header="0"/>
        </w:sectPr>
      </w:pPr>
    </w:p>
    <w:bookmarkStart w:id="23" w:name="page24"/>
    <w:bookmarkEnd w:id="23"/>
    <w:p>
      <w:pPr>
        <w:spacing w:after="0" w:line="253" w:lineRule="auto"/>
        <w:rPr>
          <w:sz w:val="20"/>
          <w:szCs w:val="20"/>
          <w:color w:val="auto"/>
        </w:rPr>
      </w:pPr>
      <w:r>
        <w:rPr>
          <w:rFonts w:ascii="Times New Roman" w:cs="Times New Roman" w:eastAsia="Times New Roman" w:hAnsi="Times New Roman"/>
          <w:sz w:val="18"/>
          <w:szCs w:val="18"/>
          <w:b w:val="1"/>
          <w:bCs w:val="1"/>
          <w:color w:val="FF0000"/>
        </w:rPr>
        <w:t>The information in this prospectus is not complete and may be changed. These securities may not be sold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FF0000"/>
        </w:rPr>
        <w:t>SUBJECT TO COMPLETION, DATED AUGUST 29, 2022</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2303780</wp:posOffset>
            </wp:positionH>
            <wp:positionV relativeFrom="paragraph">
              <wp:posOffset>184785</wp:posOffset>
            </wp:positionV>
            <wp:extent cx="2535555" cy="1305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35555" cy="1305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CIVEO CORPORATION</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2,897,458 Common Shares</w:t>
      </w:r>
    </w:p>
    <w:p>
      <w:pPr>
        <w:spacing w:after="0" w:line="180" w:lineRule="exact"/>
        <w:rPr>
          <w:sz w:val="20"/>
          <w:szCs w:val="20"/>
          <w:color w:val="auto"/>
        </w:rPr>
      </w:pPr>
    </w:p>
    <w:p>
      <w:pPr>
        <w:ind w:right="160" w:firstLine="637"/>
        <w:spacing w:after="0" w:line="264" w:lineRule="auto"/>
        <w:rPr>
          <w:sz w:val="20"/>
          <w:szCs w:val="20"/>
          <w:color w:val="auto"/>
        </w:rPr>
      </w:pPr>
      <w:r>
        <w:rPr>
          <w:rFonts w:ascii="Times New Roman" w:cs="Times New Roman" w:eastAsia="Times New Roman" w:hAnsi="Times New Roman"/>
          <w:sz w:val="17"/>
          <w:szCs w:val="17"/>
          <w:color w:val="auto"/>
        </w:rPr>
        <w:t>This prospectus relates to up to (i) 2,522,705 common shares of Civeo Corporation issuable to the selling shareholders named herein (the “selling shareholders”) upon conversion of 9,042 shares of Class A Series 1 Preferred Shares of Civeo Corporation (the “Class A Series 1 Preferred Shares”) and (ii) an additional 374,753 common shares of Civeo Corporation held by the selling shareholders, in each case, that may be offered and sold from time to time in one or more offerings by the selling shareholders. For more information related to the selling shareholders, please read “Selling Shareholders.”</w:t>
      </w:r>
    </w:p>
    <w:p>
      <w:pPr>
        <w:spacing w:after="0" w:line="188" w:lineRule="exact"/>
        <w:rPr>
          <w:sz w:val="20"/>
          <w:szCs w:val="20"/>
          <w:color w:val="auto"/>
        </w:rPr>
      </w:pPr>
    </w:p>
    <w:p>
      <w:pPr>
        <w:ind w:right="20" w:firstLine="637"/>
        <w:spacing w:after="0" w:line="274" w:lineRule="auto"/>
        <w:rPr>
          <w:sz w:val="20"/>
          <w:szCs w:val="20"/>
          <w:color w:val="auto"/>
        </w:rPr>
      </w:pPr>
      <w:r>
        <w:rPr>
          <w:rFonts w:ascii="Times New Roman" w:cs="Times New Roman" w:eastAsia="Times New Roman" w:hAnsi="Times New Roman"/>
          <w:sz w:val="17"/>
          <w:szCs w:val="17"/>
          <w:color w:val="auto"/>
        </w:rPr>
        <w:t>The selling shareholders may offer and sell these common shares to or through one or more underwriters, dealers or agents, or directly to investors or through any other means described in this prospectus under “Plan of Distribution,” in amounts, at prices and on terms to be determined by market conditions and other factors at the time of the offering. Each selling shareholder may elect to sell all, a portion or none of the common shares offered hereby.</w:t>
      </w:r>
    </w:p>
    <w:p>
      <w:pPr>
        <w:spacing w:after="0" w:line="179" w:lineRule="exact"/>
        <w:rPr>
          <w:sz w:val="20"/>
          <w:szCs w:val="20"/>
          <w:color w:val="auto"/>
        </w:rPr>
      </w:pPr>
    </w:p>
    <w:p>
      <w:pPr>
        <w:ind w:right="40" w:firstLine="637"/>
        <w:spacing w:after="0"/>
        <w:rPr>
          <w:sz w:val="20"/>
          <w:szCs w:val="20"/>
          <w:color w:val="auto"/>
        </w:rPr>
      </w:pPr>
      <w:r>
        <w:rPr>
          <w:rFonts w:ascii="Times New Roman" w:cs="Times New Roman" w:eastAsia="Times New Roman" w:hAnsi="Times New Roman"/>
          <w:sz w:val="18"/>
          <w:szCs w:val="18"/>
          <w:color w:val="auto"/>
        </w:rPr>
        <w:t>We do not know which method, in what amount, or at what time or times the selling shareholders may sell the common shares covered by this prospectus. We will not receive any proceeds from the sale of any common shares covered by this prospectus. We generally will bear the expenses and fees in connection with the registration of the common shares. The selling shareholders will bear all discounts and commissions and transfer taxes or stamp or other duties, if any, attributable to the sale of common shares.</w:t>
      </w:r>
    </w:p>
    <w:p>
      <w:pPr>
        <w:spacing w:after="0" w:line="1" w:lineRule="exact"/>
        <w:rPr>
          <w:sz w:val="20"/>
          <w:szCs w:val="20"/>
          <w:color w:val="auto"/>
        </w:rPr>
      </w:pPr>
    </w:p>
    <w:p>
      <w:pPr>
        <w:ind w:firstLine="637"/>
        <w:spacing w:after="0" w:line="238" w:lineRule="auto"/>
        <w:rPr>
          <w:sz w:val="20"/>
          <w:szCs w:val="20"/>
          <w:color w:val="auto"/>
        </w:rPr>
      </w:pPr>
      <w:r>
        <w:rPr>
          <w:rFonts w:ascii="Times New Roman" w:cs="Times New Roman" w:eastAsia="Times New Roman" w:hAnsi="Times New Roman"/>
          <w:sz w:val="18"/>
          <w:szCs w:val="18"/>
          <w:color w:val="auto"/>
        </w:rPr>
        <w:t>This prospectus contains a general description of the common shares. We may file one or more prospectus supplements that may describe the specific manner in which the selling shareholders will offer the common shares. You should read this prospectus and any prospectus supplement carefully before you invest. Our common shares are listed on the New York Stock Exchange (the “NYSE”) under the symbol “CVEO.” The last reported sale price of our common shares on August 26, 2022, as reported by the NYSE, was $29.47 per share.</w:t>
      </w:r>
    </w:p>
    <w:p>
      <w:pPr>
        <w:spacing w:after="0" w:line="176" w:lineRule="exact"/>
        <w:rPr>
          <w:sz w:val="20"/>
          <w:szCs w:val="20"/>
          <w:color w:val="auto"/>
        </w:rPr>
      </w:pPr>
    </w:p>
    <w:p>
      <w:pPr>
        <w:ind w:right="80" w:firstLine="637"/>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Investing in our securities involves risks. Please carefully review the information under the heading “Risk Factors” on page 1. In addition, risks associated with any investment in our securities may be described in the applicable prospectus supplement and certain of our filings with the Securities and Exchange Commission, as described in “Risk Factors” on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2430145</wp:posOffset>
            </wp:positionH>
            <wp:positionV relativeFrom="paragraph">
              <wp:posOffset>147320</wp:posOffset>
            </wp:positionV>
            <wp:extent cx="8426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42645" cy="8255"/>
                    </a:xfrm>
                    <a:prstGeom prst="rect">
                      <a:avLst/>
                    </a:prstGeom>
                    <a:noFill/>
                  </pic:spPr>
                </pic:pic>
              </a:graphicData>
            </a:graphic>
          </wp:anchor>
        </w:drawing>
      </w:r>
    </w:p>
    <w:p>
      <w:pPr>
        <w:sectPr>
          <w:pgSz w:w="11900" w:h="16838" w:orient="portrait"/>
          <w:cols w:equalWidth="0" w:num="1">
            <w:col w:w="11220"/>
          </w:cols>
          <w:pgMar w:left="320" w:top="1074" w:right="359" w:bottom="1440" w:gutter="0" w:footer="0" w:header="0"/>
        </w:sectPr>
      </w:pPr>
    </w:p>
    <w:bookmarkStart w:id="24" w:name="page25"/>
    <w:bookmarkEnd w:id="24"/>
    <w:p>
      <w:pPr>
        <w:ind w:firstLine="637"/>
        <w:spacing w:after="0" w:line="261"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whether this prospectus is truthful or complete. Any representation to the contrary is a criminal offense.</w:t>
      </w:r>
    </w:p>
    <w:p>
      <w:pPr>
        <w:spacing w:after="0" w:line="135" w:lineRule="exact"/>
        <w:rPr>
          <w:sz w:val="20"/>
          <w:szCs w:val="20"/>
          <w:color w:val="auto"/>
        </w:rPr>
      </w:pPr>
    </w:p>
    <w:p>
      <w:pPr>
        <w:jc w:val="center"/>
        <w:ind w:right="-339"/>
        <w:spacing w:after="0"/>
        <w:tabs>
          <w:tab w:leader="none" w:pos="200" w:val="left"/>
        </w:tabs>
        <w:rPr>
          <w:sz w:val="20"/>
          <w:szCs w:val="20"/>
          <w:color w:val="auto"/>
        </w:rPr>
      </w:pPr>
      <w:r>
        <w:rPr>
          <w:rFonts w:ascii="Times New Roman" w:cs="Times New Roman" w:eastAsia="Times New Roman" w:hAnsi="Times New Roman"/>
          <w:sz w:val="18"/>
          <w:szCs w:val="18"/>
          <w:color w:val="auto"/>
        </w:rPr>
        <w:t>The date of this prospectus is</w:t>
      </w:r>
      <w:r>
        <w:rPr>
          <w:sz w:val="20"/>
          <w:szCs w:val="20"/>
          <w:color w:val="auto"/>
        </w:rPr>
        <w:tab/>
      </w:r>
      <w:r>
        <w:rPr>
          <w:rFonts w:ascii="Times New Roman" w:cs="Times New Roman" w:eastAsia="Times New Roman" w:hAnsi="Times New Roman"/>
          <w:sz w:val="17"/>
          <w:szCs w:val="17"/>
          <w:color w:val="auto"/>
        </w:rPr>
        <w: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124460</wp:posOffset>
            </wp:positionV>
            <wp:extent cx="56603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60390" cy="8255"/>
                    </a:xfrm>
                    <a:prstGeom prst="rect">
                      <a:avLst/>
                    </a:prstGeom>
                    <a:noFill/>
                  </pic:spPr>
                </pic:pic>
              </a:graphicData>
            </a:graphic>
          </wp:anchor>
        </w:drawing>
      </w:r>
    </w:p>
    <w:p>
      <w:pPr>
        <w:sectPr>
          <w:pgSz w:w="11900" w:h="16838" w:orient="portrait"/>
          <w:cols w:equalWidth="0" w:num="1">
            <w:col w:w="10900"/>
          </w:cols>
          <w:pgMar w:left="320" w:top="1074" w:right="679" w:bottom="1440" w:gutter="0" w:footer="0" w:header="0"/>
        </w:sectPr>
      </w:pPr>
    </w:p>
    <w:bookmarkStart w:id="25" w:name="page26"/>
    <w:bookmarkEnd w:id="25"/>
    <w:tbl>
      <w:tblPr>
        <w:tblLayout w:type="fixed"/>
        <w:tblInd w:w="8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440" w:type="dxa"/>
            <w:vAlign w:val="bottom"/>
            <w:gridSpan w:val="3"/>
          </w:tcPr>
          <w:p>
            <w:pPr>
              <w:jc w:val="right"/>
              <w:ind w:right="464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410"/>
        </w:trPr>
        <w:tc>
          <w:tcPr>
            <w:tcW w:w="3700" w:type="dxa"/>
            <w:vAlign w:val="bottom"/>
          </w:tcPr>
          <w:p>
            <w:pPr>
              <w:spacing w:after="0"/>
              <w:rPr>
                <w:sz w:val="24"/>
                <w:szCs w:val="24"/>
                <w:color w:val="auto"/>
              </w:rPr>
            </w:pPr>
          </w:p>
        </w:tc>
        <w:tc>
          <w:tcPr>
            <w:tcW w:w="7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Page</w:t>
            </w:r>
          </w:p>
        </w:tc>
      </w:tr>
      <w:tr>
        <w:trPr>
          <w:trHeight w:val="299"/>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About Civeo Corporation</w:t>
            </w:r>
          </w:p>
        </w:tc>
        <w:tc>
          <w:tcPr>
            <w:tcW w:w="7060" w:type="dxa"/>
            <w:vAlign w:val="bottom"/>
          </w:tcPr>
          <w:p>
            <w:pPr>
              <w:spacing w:after="0"/>
              <w:rPr>
                <w:sz w:val="24"/>
                <w:szCs w:val="24"/>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24"/>
                <w:szCs w:val="24"/>
                <w:color w:val="auto"/>
              </w:rPr>
            </w:pPr>
          </w:p>
        </w:tc>
      </w:tr>
      <w:tr>
        <w:trPr>
          <w:trHeight w:val="279"/>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7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9"/>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Forward-Looking Information</w:t>
            </w:r>
          </w:p>
        </w:tc>
        <w:tc>
          <w:tcPr>
            <w:tcW w:w="7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9"/>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7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9"/>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Share Capital</w:t>
            </w:r>
          </w:p>
        </w:tc>
        <w:tc>
          <w:tcPr>
            <w:tcW w:w="7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9"/>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Selling Shareholders</w:t>
            </w:r>
          </w:p>
        </w:tc>
        <w:tc>
          <w:tcPr>
            <w:tcW w:w="7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9"/>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Plan of Distribution</w:t>
            </w:r>
          </w:p>
        </w:tc>
        <w:tc>
          <w:tcPr>
            <w:tcW w:w="7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9"/>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Legal Matters</w:t>
            </w:r>
          </w:p>
        </w:tc>
        <w:tc>
          <w:tcPr>
            <w:tcW w:w="7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9"/>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Experts</w:t>
            </w:r>
          </w:p>
        </w:tc>
        <w:tc>
          <w:tcPr>
            <w:tcW w:w="7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9"/>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Where You Can Find More Information</w:t>
            </w:r>
          </w:p>
        </w:tc>
        <w:tc>
          <w:tcPr>
            <w:tcW w:w="7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w:t>
            </w:r>
          </w:p>
        </w:tc>
      </w:tr>
    </w:tbl>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66" w:lineRule="exact"/>
        <w:rPr>
          <w:sz w:val="20"/>
          <w:szCs w:val="20"/>
          <w:color w:val="auto"/>
        </w:rPr>
      </w:pPr>
    </w:p>
    <w:p>
      <w:pPr>
        <w:ind w:right="80" w:firstLine="637"/>
        <w:spacing w:after="0"/>
        <w:rPr>
          <w:sz w:val="20"/>
          <w:szCs w:val="20"/>
          <w:color w:val="auto"/>
        </w:rPr>
      </w:pPr>
      <w:r>
        <w:rPr>
          <w:rFonts w:ascii="Times New Roman" w:cs="Times New Roman" w:eastAsia="Times New Roman" w:hAnsi="Times New Roman"/>
          <w:sz w:val="18"/>
          <w:szCs w:val="18"/>
          <w:color w:val="auto"/>
        </w:rPr>
        <w:t>This prospectus is part of a registration statement that we have filed with the Securities and Exchange Commission (the “SEC”) using a “shelf” registration process. Under this shelf registration process, the selling shareholders may, over time, offer and sell the common shares described in this prospectus in one or more offerings or resales. This prospectus provides a general description of the common shares. Each time the selling shareholders sell common shares, the selling shareholders may provide a prospectus supplement that will contain specific information about the terms of that offering. The prospectus supplement may also add to, update or change information contained in this prospectus and, accordingly, to the extent inconsistent, information in this prospectus will be superseded by the information in the prospectus supplement. You should read both this prospectus and any prospectus supplement together with additional information described under the heading “Where You Can Find More Information.”</w:t>
      </w:r>
    </w:p>
    <w:p>
      <w:pPr>
        <w:spacing w:after="0" w:line="154" w:lineRule="exact"/>
        <w:rPr>
          <w:sz w:val="20"/>
          <w:szCs w:val="20"/>
          <w:color w:val="auto"/>
        </w:rPr>
      </w:pPr>
    </w:p>
    <w:p>
      <w:pPr>
        <w:ind w:firstLine="637"/>
        <w:spacing w:after="0" w:line="243" w:lineRule="auto"/>
        <w:rPr>
          <w:sz w:val="20"/>
          <w:szCs w:val="20"/>
          <w:color w:val="auto"/>
        </w:rPr>
      </w:pPr>
      <w:r>
        <w:rPr>
          <w:rFonts w:ascii="Times New Roman" w:cs="Times New Roman" w:eastAsia="Times New Roman" w:hAnsi="Times New Roman"/>
          <w:sz w:val="18"/>
          <w:szCs w:val="18"/>
          <w:b w:val="1"/>
          <w:bCs w:val="1"/>
          <w:color w:val="auto"/>
        </w:rPr>
        <w:t>We and the selling shareholders have not authorized anyone to provide any information or to make any representations other than those contained in this prospectus or incorporated by reference in this prospectus. We and the selling shareholders take no responsibility for, and can provide no assurance as to the reliability of, any other information that others may give you. This prospectus may only be used where it is legal to sell the offered securities. You should not assume that the information in this prospectus is accurate as of any date other than the date on the cover page of this prospectus or that any information we have incorporated by reference is accurate as of any date other than the date of the documents incorporated by reference. Our business, financial condition, results of operations and prospects may have changed since those dates.</w:t>
      </w:r>
    </w:p>
    <w:p>
      <w:pPr>
        <w:spacing w:after="0" w:line="204" w:lineRule="exact"/>
        <w:rPr>
          <w:sz w:val="20"/>
          <w:szCs w:val="20"/>
          <w:color w:val="auto"/>
        </w:rPr>
      </w:pPr>
    </w:p>
    <w:p>
      <w:pPr>
        <w:ind w:right="200" w:firstLine="637"/>
        <w:spacing w:after="0" w:line="259" w:lineRule="auto"/>
        <w:rPr>
          <w:sz w:val="20"/>
          <w:szCs w:val="20"/>
          <w:color w:val="auto"/>
        </w:rPr>
      </w:pPr>
      <w:r>
        <w:rPr>
          <w:rFonts w:ascii="Times New Roman" w:cs="Times New Roman" w:eastAsia="Times New Roman" w:hAnsi="Times New Roman"/>
          <w:sz w:val="18"/>
          <w:szCs w:val="18"/>
          <w:color w:val="auto"/>
        </w:rPr>
        <w:t>Unless the context requires otherwise, references in this prospectus to “Civeo,” the “Company,” “we,” “us,” “our” and similar terms refer to Civeo Corporation and its consolidated subsidiaries.</w:t>
      </w:r>
    </w:p>
    <w:p>
      <w:pPr>
        <w:sectPr>
          <w:pgSz w:w="11900" w:h="16838" w:orient="portrait"/>
          <w:cols w:equalWidth="0" w:num="1">
            <w:col w:w="11220"/>
          </w:cols>
          <w:pgMar w:left="320" w:top="1061" w:right="359"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CIVEO CORPORATION</w:t>
      </w:r>
    </w:p>
    <w:p>
      <w:pPr>
        <w:spacing w:after="0" w:line="166" w:lineRule="exact"/>
        <w:rPr>
          <w:sz w:val="20"/>
          <w:szCs w:val="20"/>
          <w:color w:val="auto"/>
        </w:rPr>
      </w:pPr>
    </w:p>
    <w:p>
      <w:pPr>
        <w:ind w:right="60" w:firstLine="637"/>
        <w:spacing w:after="0" w:line="225" w:lineRule="auto"/>
        <w:rPr>
          <w:sz w:val="20"/>
          <w:szCs w:val="20"/>
          <w:color w:val="auto"/>
        </w:rPr>
      </w:pPr>
      <w:r>
        <w:rPr>
          <w:rFonts w:ascii="Times New Roman" w:cs="Times New Roman" w:eastAsia="Times New Roman" w:hAnsi="Times New Roman"/>
          <w:sz w:val="17"/>
          <w:szCs w:val="17"/>
          <w:color w:val="auto"/>
        </w:rPr>
        <w:t>We provide hospitality services to the natural resources industry in Canada, Australia and the U.S. Our full suite of hospitality services for our guests includes lodging, catering and food service, housekeeping and maintenance at accommodation facilities that we or our customers own. In many cases, we provide services that support the day-to-day operations, such as laundry, facility management and maintenance, water and wastewater treatment, power</w:t>
      </w:r>
    </w:p>
    <w:p>
      <w:pPr>
        <w:spacing w:after="0" w:line="1" w:lineRule="exact"/>
        <w:rPr>
          <w:sz w:val="20"/>
          <w:szCs w:val="20"/>
          <w:color w:val="auto"/>
        </w:rPr>
      </w:pPr>
    </w:p>
    <w:p>
      <w:pPr>
        <w:ind w:right="20"/>
        <w:spacing w:after="0" w:line="217" w:lineRule="auto"/>
        <w:rPr>
          <w:sz w:val="20"/>
          <w:szCs w:val="20"/>
          <w:color w:val="auto"/>
        </w:rPr>
      </w:pPr>
      <w:r>
        <w:rPr>
          <w:rFonts w:ascii="Times New Roman" w:cs="Times New Roman" w:eastAsia="Times New Roman" w:hAnsi="Times New Roman"/>
          <w:sz w:val="17"/>
          <w:szCs w:val="17"/>
          <w:color w:val="auto"/>
        </w:rPr>
        <w:t>generation, communication systems, security and logistics. We also offer development activities for workforce accommodation facilities, including site selection, permitting, engineering and design, manufacturing management and site construction, along with providing hospitality services once the facility is constructed. We primarily operate in some of the world’s most active oil, metallurgical (met) coal, liquefied natural gas (LNG) and iron ore producing regions,</w:t>
      </w:r>
    </w:p>
    <w:p>
      <w:pPr>
        <w:spacing w:after="0"/>
        <w:rPr>
          <w:sz w:val="20"/>
          <w:szCs w:val="20"/>
          <w:color w:val="auto"/>
        </w:rPr>
      </w:pPr>
      <w:r>
        <w:rPr>
          <w:rFonts w:ascii="Times New Roman" w:cs="Times New Roman" w:eastAsia="Times New Roman" w:hAnsi="Times New Roman"/>
          <w:sz w:val="18"/>
          <w:szCs w:val="18"/>
          <w:color w:val="auto"/>
        </w:rPr>
        <w:t>and our customers include major and independent oil companies, mining companies, engineering companies and oilfield and mining service companies.</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Our executive offices are located at Three Allen Center, 333 Clay Street, Suite 4980, Houston, Texas 77002, and our telephone number is (713) 510-</w:t>
      </w:r>
    </w:p>
    <w:p>
      <w:pPr>
        <w:spacing w:after="0"/>
        <w:rPr>
          <w:sz w:val="20"/>
          <w:szCs w:val="20"/>
          <w:color w:val="auto"/>
        </w:rPr>
      </w:pPr>
      <w:r>
        <w:rPr>
          <w:rFonts w:ascii="Times New Roman" w:cs="Times New Roman" w:eastAsia="Times New Roman" w:hAnsi="Times New Roman"/>
          <w:sz w:val="18"/>
          <w:szCs w:val="18"/>
          <w:color w:val="auto"/>
        </w:rPr>
        <w:t>2400.</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6" w:lineRule="exact"/>
        <w:rPr>
          <w:sz w:val="20"/>
          <w:szCs w:val="20"/>
          <w:color w:val="auto"/>
        </w:rPr>
      </w:pPr>
    </w:p>
    <w:p>
      <w:pPr>
        <w:ind w:right="100" w:firstLine="637"/>
        <w:spacing w:after="0" w:line="245" w:lineRule="auto"/>
        <w:rPr>
          <w:sz w:val="20"/>
          <w:szCs w:val="20"/>
          <w:color w:val="auto"/>
        </w:rPr>
      </w:pPr>
      <w:r>
        <w:rPr>
          <w:rFonts w:ascii="Times New Roman" w:cs="Times New Roman" w:eastAsia="Times New Roman" w:hAnsi="Times New Roman"/>
          <w:sz w:val="18"/>
          <w:szCs w:val="18"/>
          <w:color w:val="auto"/>
        </w:rPr>
        <w:t>An investment in our securities involves a high degree of risk. You should carefully consider the risks described in our filings with the SEC referred to under the heading “Where You Can Find More Information,” including the risk factors incorporated by reference herein from Civeo’s most recent annual report on Form 10-K and quarterly reports on Form 10-Q and from other reports and documents we file with the SEC after the date of this prospectus that are incorporated by reference herein, together with all of the other information included in this prospectus, the applicable prospectus supplement and the documents we incorporate by reference.</w:t>
      </w:r>
    </w:p>
    <w:p>
      <w:pPr>
        <w:spacing w:after="0" w:line="137" w:lineRule="exact"/>
        <w:rPr>
          <w:sz w:val="20"/>
          <w:szCs w:val="20"/>
          <w:color w:val="auto"/>
        </w:rPr>
      </w:pPr>
    </w:p>
    <w:p>
      <w:pPr>
        <w:ind w:right="180" w:firstLine="637"/>
        <w:spacing w:after="0" w:line="252" w:lineRule="auto"/>
        <w:rPr>
          <w:sz w:val="20"/>
          <w:szCs w:val="20"/>
          <w:color w:val="auto"/>
        </w:rPr>
      </w:pPr>
      <w:r>
        <w:rPr>
          <w:rFonts w:ascii="Times New Roman" w:cs="Times New Roman" w:eastAsia="Times New Roman" w:hAnsi="Times New Roman"/>
          <w:sz w:val="18"/>
          <w:szCs w:val="18"/>
          <w:color w:val="auto"/>
        </w:rPr>
        <w:t>If any of these risks were to occur, our business, financial condition, results of operations or cash flows could be adversely affected. You could lose all or part of your investment. When the selling shareholders sell any common shares pursuant to a prospectus supplement, we may include additional risk factors relevant to that offering in the prospectus supplement.</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166" w:lineRule="exact"/>
        <w:rPr>
          <w:sz w:val="20"/>
          <w:szCs w:val="20"/>
          <w:color w:val="auto"/>
        </w:rPr>
      </w:pPr>
    </w:p>
    <w:p>
      <w:pPr>
        <w:ind w:right="20" w:firstLine="637"/>
        <w:spacing w:after="0" w:line="239" w:lineRule="auto"/>
        <w:rPr>
          <w:sz w:val="20"/>
          <w:szCs w:val="20"/>
          <w:color w:val="auto"/>
        </w:rPr>
      </w:pPr>
      <w:r>
        <w:rPr>
          <w:rFonts w:ascii="Times New Roman" w:cs="Times New Roman" w:eastAsia="Times New Roman" w:hAnsi="Times New Roman"/>
          <w:sz w:val="18"/>
          <w:szCs w:val="18"/>
          <w:color w:val="auto"/>
        </w:rPr>
        <w:t>We include the following cautionary statement to take advantage of the “safe harbor” provisions of the Private Securities Litigation Reform Act of 1995 for any “forward-looking statement” made by us or on our behalf. All statements other than statements of historical facts included in this prospectus, including the information we incorporate by reference, are forward-looking statements. The forward-looking statements can be identified by the use of forward-looking terminology including “may,” “expect,” “anticipate,” “estimate,” “continue,” “believe” or other similar words. Such statements may include statements regarding our future financial position, budgets, capital expenditures, projected costs, plans and objectives of management for future operations and possible future strategic transactions. Where any such forward-looking statement includes a statement of the assumptions or bases underlying such forward-looking statement, we caution that, while we believe such assumptions or bases to be reasonable and make them in good faith, assumed facts or bases almost always vary from actual results. The differences between assumed facts or bases and actual results can be material, depending upon the circumstances. The factors identified in this cautionary statement are important factors (but not necessarily all of the important factors) that could cause actual results to differ materially from those expressed in any forward-looking statement made by us, or on our behalf.</w:t>
      </w:r>
    </w:p>
    <w:p>
      <w:pPr>
        <w:spacing w:after="0" w:line="154" w:lineRule="exact"/>
        <w:rPr>
          <w:sz w:val="20"/>
          <w:szCs w:val="20"/>
          <w:color w:val="auto"/>
        </w:rPr>
      </w:pPr>
    </w:p>
    <w:p>
      <w:pPr>
        <w:ind w:firstLine="637"/>
        <w:spacing w:after="0" w:line="245" w:lineRule="auto"/>
        <w:rPr>
          <w:sz w:val="20"/>
          <w:szCs w:val="20"/>
          <w:color w:val="auto"/>
        </w:rPr>
      </w:pPr>
      <w:r>
        <w:rPr>
          <w:rFonts w:ascii="Times New Roman" w:cs="Times New Roman" w:eastAsia="Times New Roman" w:hAnsi="Times New Roman"/>
          <w:sz w:val="18"/>
          <w:szCs w:val="18"/>
          <w:color w:val="auto"/>
        </w:rPr>
        <w:t>In any forward-looking statement where we, or our management, express an expectation or belief as to future results, such expectation or belief is expressed in good faith and believed to have a reasonable basis. However, there can be no assurance that the statement of expectation or belief will result or be achieved or accomplished. Taking this into account, the following are identified as important factors that could cause actual results to differ materially from those expressed in any forward-looking statement made by, or on behalf of, our company:</w:t>
      </w:r>
    </w:p>
    <w:p>
      <w:pPr>
        <w:spacing w:after="0" w:line="150" w:lineRule="exact"/>
        <w:rPr>
          <w:sz w:val="20"/>
          <w:szCs w:val="20"/>
          <w:color w:val="auto"/>
        </w:rPr>
      </w:pPr>
    </w:p>
    <w:p>
      <w:pPr>
        <w:ind w:left="960" w:hanging="317"/>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supply and demand for oil, met coal, natural gas, iron ore and other minerals;</w:t>
      </w:r>
    </w:p>
    <w:p>
      <w:pPr>
        <w:spacing w:after="0" w:line="190"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activity, spending and developments in the Canadian oil sands;</w:t>
      </w:r>
    </w:p>
    <w:p>
      <w:pPr>
        <w:spacing w:after="0" w:line="177"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particularly from China, for met coal and other natural resources from and investments and opportunities in Australia;</w:t>
      </w:r>
    </w:p>
    <w:p>
      <w:pPr>
        <w:spacing w:after="0" w:line="177" w:lineRule="exact"/>
        <w:rPr>
          <w:rFonts w:ascii="Times New Roman" w:cs="Times New Roman" w:eastAsia="Times New Roman" w:hAnsi="Times New Roman"/>
          <w:sz w:val="18"/>
          <w:szCs w:val="18"/>
          <w:color w:val="auto"/>
        </w:rPr>
      </w:pPr>
    </w:p>
    <w:p>
      <w:pPr>
        <w:ind w:left="960" w:right="340" w:hanging="317"/>
        <w:spacing w:after="0" w:line="243" w:lineRule="auto"/>
        <w:tabs>
          <w:tab w:leader="none" w:pos="9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attractive oil and natural gas field assets, which may be affected by governmental actions or environmental activists which may restrict drilling;</w:t>
      </w:r>
    </w:p>
    <w:p>
      <w:pPr>
        <w:spacing w:after="0" w:line="151"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current and future prices of oil, met coal, natural gas, iron ore and other minerals;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1074" w:right="339" w:bottom="1440" w:gutter="0" w:footer="0" w:header="0"/>
        </w:sectPr>
      </w:pPr>
    </w:p>
    <w:bookmarkStart w:id="27" w:name="page28"/>
    <w:bookmarkEnd w:id="27"/>
    <w:p>
      <w:pPr>
        <w:ind w:left="960" w:right="40" w:hanging="317"/>
        <w:spacing w:after="0" w:line="234" w:lineRule="auto"/>
        <w:tabs>
          <w:tab w:leader="none" w:pos="9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our customers to reach positive final investment decisions on, or otherwise not complete, projects with respect to which we have been awarded contracts to provide related hospitality services, which may cause those customers to terminate or postpone the contracts;</w:t>
      </w:r>
    </w:p>
    <w:p>
      <w:pPr>
        <w:spacing w:after="0" w:line="166"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w:t>
      </w:r>
    </w:p>
    <w:p>
      <w:pPr>
        <w:spacing w:after="0" w:line="177"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ongoing COVID-19 pandemic and the response thereto;</w:t>
      </w:r>
    </w:p>
    <w:p>
      <w:pPr>
        <w:spacing w:after="0" w:line="177"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global economic conditions and the pace of global economic growth;</w:t>
      </w:r>
    </w:p>
    <w:p>
      <w:pPr>
        <w:spacing w:after="0" w:line="190" w:lineRule="exact"/>
        <w:rPr>
          <w:rFonts w:ascii="Times New Roman" w:cs="Times New Roman" w:eastAsia="Times New Roman" w:hAnsi="Times New Roman"/>
          <w:sz w:val="18"/>
          <w:szCs w:val="18"/>
          <w:color w:val="auto"/>
        </w:rPr>
      </w:pPr>
    </w:p>
    <w:p>
      <w:pPr>
        <w:ind w:left="960" w:hanging="317"/>
        <w:spacing w:after="0" w:line="234" w:lineRule="auto"/>
        <w:tabs>
          <w:tab w:leader="none" w:pos="9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tax treaties or tax regulations or the interpretation or enforcement thereof, including taxing authorities not agreeing with our assessment of the effects of such laws, treaties and regulations;</w:t>
      </w:r>
    </w:p>
    <w:p>
      <w:pPr>
        <w:spacing w:after="0" w:line="153"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government and environmental regulations, including climate change;</w:t>
      </w:r>
    </w:p>
    <w:p>
      <w:pPr>
        <w:spacing w:after="0" w:line="190"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weather conditions, natural disasters, global health concerns and security threats;</w:t>
      </w:r>
    </w:p>
    <w:p>
      <w:pPr>
        <w:spacing w:after="0" w:line="177"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skilled personnel;</w:t>
      </w:r>
    </w:p>
    <w:p>
      <w:pPr>
        <w:spacing w:after="0" w:line="177"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capital, including the ability to access the debt and equity markets;</w:t>
      </w:r>
    </w:p>
    <w:p>
      <w:pPr>
        <w:spacing w:after="0" w:line="190"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acquisitions;</w:t>
      </w:r>
    </w:p>
    <w:p>
      <w:pPr>
        <w:spacing w:after="0" w:line="177"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new projects, including whether such projects will continue in the future; and</w:t>
      </w:r>
    </w:p>
    <w:p>
      <w:pPr>
        <w:spacing w:after="0" w:line="177"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identified under “Risk Factors” above.</w:t>
      </w:r>
    </w:p>
    <w:p>
      <w:pPr>
        <w:spacing w:after="0" w:line="204" w:lineRule="exact"/>
        <w:rPr>
          <w:sz w:val="20"/>
          <w:szCs w:val="20"/>
          <w:color w:val="auto"/>
        </w:rPr>
      </w:pPr>
    </w:p>
    <w:p>
      <w:pPr>
        <w:ind w:right="160" w:firstLine="637"/>
        <w:spacing w:after="0" w:line="259" w:lineRule="auto"/>
        <w:rPr>
          <w:sz w:val="20"/>
          <w:szCs w:val="20"/>
          <w:color w:val="auto"/>
        </w:rPr>
      </w:pPr>
      <w:r>
        <w:rPr>
          <w:rFonts w:ascii="Times New Roman" w:cs="Times New Roman" w:eastAsia="Times New Roman" w:hAnsi="Times New Roman"/>
          <w:sz w:val="18"/>
          <w:szCs w:val="18"/>
          <w:color w:val="auto"/>
        </w:rPr>
        <w:t>Such risks and uncertainties are beyond our ability to control, and in many cases, we cannot predict the risks and uncertainties that could cause our actual results to differ materially from those indicated by the forward-looking statements.</w:t>
      </w:r>
    </w:p>
    <w:p>
      <w:pPr>
        <w:spacing w:after="0" w:line="137" w:lineRule="exact"/>
        <w:rPr>
          <w:sz w:val="20"/>
          <w:szCs w:val="20"/>
          <w:color w:val="auto"/>
        </w:rPr>
      </w:pPr>
    </w:p>
    <w:p>
      <w:pPr>
        <w:ind w:right="260" w:firstLine="637"/>
        <w:spacing w:after="0" w:line="245" w:lineRule="auto"/>
        <w:rPr>
          <w:sz w:val="20"/>
          <w:szCs w:val="20"/>
          <w:color w:val="auto"/>
        </w:rPr>
      </w:pPr>
      <w:r>
        <w:rPr>
          <w:rFonts w:ascii="Times New Roman" w:cs="Times New Roman" w:eastAsia="Times New Roman" w:hAnsi="Times New Roman"/>
          <w:sz w:val="18"/>
          <w:szCs w:val="18"/>
          <w:color w:val="auto"/>
        </w:rPr>
        <w:t>All subsequent written and oral forward-looking statements attributable to us or to persons acting on our behalf are expressly qualified in their entirety by reference to these risks and uncertainties. You should not place undue reliance on forward-looking statements. Each forward-looking statement speaks only as of the date of the particular statement, and we do not undertake any obligation to publicly update or revise any forward-looking statements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180"/>
          </w:cols>
          <w:pgMar w:left="320" w:top="1063" w:right="399" w:bottom="1440" w:gutter="0" w:footer="0" w:header="0"/>
        </w:sectPr>
      </w:pPr>
    </w:p>
    <w:bookmarkStart w:id="28" w:name="page29"/>
    <w:bookmarkEnd w:id="28"/>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80" w:lineRule="exact"/>
        <w:rPr>
          <w:sz w:val="20"/>
          <w:szCs w:val="20"/>
          <w:color w:val="auto"/>
        </w:rPr>
      </w:pPr>
    </w:p>
    <w:p>
      <w:pPr>
        <w:ind w:firstLine="716"/>
        <w:spacing w:after="0" w:line="259" w:lineRule="auto"/>
        <w:rPr>
          <w:sz w:val="20"/>
          <w:szCs w:val="20"/>
          <w:color w:val="auto"/>
        </w:rPr>
      </w:pPr>
      <w:r>
        <w:rPr>
          <w:rFonts w:ascii="Times New Roman" w:cs="Times New Roman" w:eastAsia="Times New Roman" w:hAnsi="Times New Roman"/>
          <w:sz w:val="18"/>
          <w:szCs w:val="18"/>
          <w:color w:val="auto"/>
        </w:rPr>
        <w:t>The common shares to be offered and sold using this prospectus will be offered and sold by the selling shareholders. We will not receive any of the proceeds from the sale of the common shares by the selling shareholders.</w:t>
      </w:r>
    </w:p>
    <w:p>
      <w:pPr>
        <w:spacing w:after="0" w:line="190" w:lineRule="exact"/>
        <w:rPr>
          <w:sz w:val="20"/>
          <w:szCs w:val="20"/>
          <w:color w:val="auto"/>
        </w:rPr>
      </w:pPr>
    </w:p>
    <w:p>
      <w:pPr>
        <w:ind w:right="220" w:firstLine="716"/>
        <w:spacing w:after="0" w:line="274" w:lineRule="auto"/>
        <w:rPr>
          <w:sz w:val="20"/>
          <w:szCs w:val="20"/>
          <w:color w:val="auto"/>
        </w:rPr>
      </w:pPr>
      <w:r>
        <w:rPr>
          <w:rFonts w:ascii="Times New Roman" w:cs="Times New Roman" w:eastAsia="Times New Roman" w:hAnsi="Times New Roman"/>
          <w:sz w:val="18"/>
          <w:szCs w:val="18"/>
          <w:color w:val="auto"/>
        </w:rPr>
        <w:t>We have agreed to pay certain expenses of the selling shareholders in connection with the sale of the common shares offered by this prospectus. Please read “Plan of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120"/>
          </w:cols>
          <w:pgMar w:left="320" w:top="1313" w:right="459" w:bottom="1440" w:gutter="0" w:footer="0" w:header="0"/>
        </w:sectPr>
      </w:pPr>
    </w:p>
    <w:bookmarkStart w:id="29" w:name="page30"/>
    <w:bookmarkEnd w:id="2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SHARE CAPITAL</w:t>
      </w:r>
    </w:p>
    <w:p>
      <w:pPr>
        <w:spacing w:after="0" w:line="180" w:lineRule="exact"/>
        <w:rPr>
          <w:sz w:val="20"/>
          <w:szCs w:val="20"/>
          <w:color w:val="auto"/>
        </w:rPr>
      </w:pPr>
    </w:p>
    <w:p>
      <w:pPr>
        <w:jc w:val="both"/>
        <w:ind w:right="120" w:firstLine="637"/>
        <w:spacing w:after="0" w:line="244" w:lineRule="auto"/>
        <w:rPr>
          <w:sz w:val="20"/>
          <w:szCs w:val="20"/>
          <w:color w:val="auto"/>
        </w:rPr>
      </w:pPr>
      <w:r>
        <w:rPr>
          <w:rFonts w:ascii="Times New Roman" w:cs="Times New Roman" w:eastAsia="Times New Roman" w:hAnsi="Times New Roman"/>
          <w:sz w:val="18"/>
          <w:szCs w:val="18"/>
          <w:color w:val="auto"/>
        </w:rPr>
        <w:t>The following describes our common shares, preferred shares, notice of articles and amended and restated articles (“articles”). This description is a summary only. We encourage you to read the complete text of our notice of articles and articles, which we have filed as exhibits to the registration statement of which this prospectus is a part.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Share Capital</w:t>
      </w:r>
    </w:p>
    <w:p>
      <w:pPr>
        <w:spacing w:after="0" w:line="206" w:lineRule="exact"/>
        <w:rPr>
          <w:sz w:val="20"/>
          <w:szCs w:val="20"/>
          <w:color w:val="auto"/>
        </w:rPr>
      </w:pPr>
    </w:p>
    <w:p>
      <w:pPr>
        <w:ind w:right="80" w:firstLine="637"/>
        <w:spacing w:after="0" w:line="256" w:lineRule="auto"/>
        <w:rPr>
          <w:sz w:val="20"/>
          <w:szCs w:val="20"/>
          <w:color w:val="auto"/>
        </w:rPr>
      </w:pPr>
      <w:r>
        <w:rPr>
          <w:rFonts w:ascii="Times New Roman" w:cs="Times New Roman" w:eastAsia="Times New Roman" w:hAnsi="Times New Roman"/>
          <w:sz w:val="17"/>
          <w:szCs w:val="17"/>
          <w:color w:val="auto"/>
        </w:rPr>
        <w:t>Our authorized shares consist of (i) 46,000,000 common shares, no par value, (ii) up to 50,000,000 Class A preferred shares, no par value, to be issued in one or more series, and (iii) up to 50,000,000 Class B preferred shares, no par value, to be issued in one or more series, provided that the authorized limit of the Class A preferred shares and the Class B preferred shares is 50,000,000 shares in the aggregate. The first series of Class A preferred shares are designated as the “Class A Series 1 Preferred Shares” and up to 50,000,000 Class A Series 1 Preferred Shares are authorized for issuance, and the first series of Class B preferred shares are designated as the “Class B Series 1 Preferred Shares” and up to 50,000,000 Class B Series 1 Preferred Shares are authorized for issuance, provided that no more than 50,000,000 Class A Series 1 Preferred Shares and Class B Series 1 Preferred Shares are issued in the aggregate.</w:t>
      </w:r>
    </w:p>
    <w:p>
      <w:pPr>
        <w:spacing w:after="0" w:line="142" w:lineRule="exact"/>
        <w:rPr>
          <w:sz w:val="20"/>
          <w:szCs w:val="20"/>
          <w:color w:val="auto"/>
        </w:rPr>
      </w:pPr>
    </w:p>
    <w:p>
      <w:pPr>
        <w:ind w:firstLine="637"/>
        <w:spacing w:after="0" w:line="245" w:lineRule="auto"/>
        <w:rPr>
          <w:sz w:val="20"/>
          <w:szCs w:val="20"/>
          <w:color w:val="auto"/>
        </w:rPr>
      </w:pPr>
      <w:r>
        <w:rPr>
          <w:rFonts w:ascii="Times New Roman" w:cs="Times New Roman" w:eastAsia="Times New Roman" w:hAnsi="Times New Roman"/>
          <w:sz w:val="18"/>
          <w:szCs w:val="18"/>
          <w:color w:val="auto"/>
        </w:rPr>
        <w:t>We may issue shares subject to the maximum authorized share capital contained in our notice of articles. The maximum number of shares that we are authorized to issue out of any class or series of shares may be increased or decreased by a resolution passed at a general meeting of shareholders by two thirds of the votes cast on such resolution by shareholders voting shares that carry the right to vote at general meetings. Our directors are authorized to issue new common shares, Class A preferred shares or Class B preferred shares without shareholder approval.</w:t>
      </w:r>
    </w:p>
    <w:p>
      <w:pPr>
        <w:spacing w:after="0" w:line="150" w:lineRule="exact"/>
        <w:rPr>
          <w:sz w:val="20"/>
          <w:szCs w:val="20"/>
          <w:color w:val="auto"/>
        </w:rPr>
      </w:pPr>
    </w:p>
    <w:p>
      <w:pPr>
        <w:ind w:right="100" w:firstLine="637"/>
        <w:spacing w:after="0" w:line="245" w:lineRule="auto"/>
        <w:rPr>
          <w:sz w:val="20"/>
          <w:szCs w:val="20"/>
          <w:color w:val="auto"/>
        </w:rPr>
      </w:pPr>
      <w:r>
        <w:rPr>
          <w:rFonts w:ascii="Times New Roman" w:cs="Times New Roman" w:eastAsia="Times New Roman" w:hAnsi="Times New Roman"/>
          <w:sz w:val="18"/>
          <w:szCs w:val="18"/>
          <w:color w:val="auto"/>
        </w:rPr>
        <w:t>The rights and restrictions to which the common shares and Class A Series 1 Preferred Shares are subject are set out in our articles. Our notice of articles and articles permit the board of directors, without shareholder approval, to alter and attach special rights and restrictions to the Class B Series 1 Preferred Shares, including the number of shares, dividend rights, liquidation preferences, voting rights, conversion rights, preemptive rights and redemption rights.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95" w:lineRule="exact"/>
        <w:rPr>
          <w:sz w:val="20"/>
          <w:szCs w:val="20"/>
          <w:color w:val="auto"/>
        </w:rPr>
      </w:pPr>
    </w:p>
    <w:p>
      <w:pPr>
        <w:ind w:right="80" w:firstLine="637"/>
        <w:spacing w:after="0"/>
        <w:rPr>
          <w:sz w:val="20"/>
          <w:szCs w:val="20"/>
          <w:color w:val="auto"/>
        </w:rPr>
      </w:pPr>
      <w:r>
        <w:rPr>
          <w:rFonts w:ascii="Times New Roman" w:cs="Times New Roman" w:eastAsia="Times New Roman" w:hAnsi="Times New Roman"/>
          <w:sz w:val="18"/>
          <w:szCs w:val="18"/>
          <w:color w:val="auto"/>
        </w:rPr>
        <w:t xml:space="preserve">Except as provided by law or pursuant to the rights that the directors may attach to the Class B Series 1 Preferred Shares or any future outstanding series of preferred shares, holders of common shares are entitled to one vote for each share held of record on all matters submitted to a vote of the shareholders, have the right to vote for the election of directors and do not have cumulative voting rights. Except as otherwise required by law, holders of common shares are not entitled to vote on any amendment to the notice of articles or articles that prejudices or interferes with the rights and special rights of the Class A Series 1 Preferred Shares, Class B Series 1 Preferred Shares or any future outstanding series of preferred shares if the holders of such affected series are entitled, either separately or together with the holders of one or more other such series, to vote thereon pursuant to the notice of articles and articles or pursuant to British Columbia law or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(British Columbia) (the “BCA”).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95" w:lineRule="exact"/>
        <w:rPr>
          <w:sz w:val="20"/>
          <w:szCs w:val="20"/>
          <w:color w:val="auto"/>
        </w:rPr>
      </w:pPr>
    </w:p>
    <w:p>
      <w:pPr>
        <w:ind w:right="60" w:firstLine="637"/>
        <w:spacing w:after="0" w:line="245" w:lineRule="auto"/>
        <w:rPr>
          <w:sz w:val="20"/>
          <w:szCs w:val="20"/>
          <w:color w:val="auto"/>
        </w:rPr>
      </w:pPr>
      <w:r>
        <w:rPr>
          <w:rFonts w:ascii="Times New Roman" w:cs="Times New Roman" w:eastAsia="Times New Roman" w:hAnsi="Times New Roman"/>
          <w:sz w:val="18"/>
          <w:szCs w:val="18"/>
          <w:color w:val="auto"/>
        </w:rPr>
        <w:t>Subject to prior rights and preferences that are applicable to the Class A Series 1 Preferred Shares and that may be applicable to the Class B Series 1 Preferred Shares or any future outstanding series of preferred shares, holders of common shares are entitled to receive ratably in proportion to the number of common shares held by them such dividends (payable in cash, shares or otherwise), if any, as may be declared from time to time by the board of directors out of funds available for dividend payments. Dividends will not be declared where there are reasonable grounds for believing the company is insolvent or the payment of dividends would render the company insolvent. There is not a fixed rate of dividends.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Sinking Fund, Redemption, Liquidation and Preemption Rights</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holders of common shares have no preferences or rights of conversion, exchange, pre-emption or other subscription rights. There are no</w:t>
      </w:r>
    </w:p>
    <w:p>
      <w:pPr>
        <w:spacing w:after="0" w:line="12"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redemption or sinking fund provisions applicable to the common shares. In the event of any voluntary or involuntary liquidation, dissolution or winding-up of our affairs, holders of common shares will be entitled to share ratably in our assets in proportion to the common shares held by them that are remaining after payment or provision for payment of all of our debts and obligations and after distribution in full of preferential amounts to be distributed to holders of</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00"/>
          </w:cols>
          <w:pgMar w:left="320" w:top="1313"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outstanding shares of the Class A Series 1 Preferred Shares, the Class B Series 1 Preferred Shares or any other outstanding preferred shares, if any.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Shares</w:t>
      </w:r>
    </w:p>
    <w:p>
      <w:pPr>
        <w:spacing w:after="0" w:line="193" w:lineRule="exact"/>
        <w:rPr>
          <w:sz w:val="20"/>
          <w:szCs w:val="20"/>
          <w:color w:val="auto"/>
        </w:rPr>
      </w:pPr>
    </w:p>
    <w:p>
      <w:pPr>
        <w:ind w:right="100" w:firstLine="637"/>
        <w:spacing w:after="0" w:line="245" w:lineRule="auto"/>
        <w:rPr>
          <w:sz w:val="20"/>
          <w:szCs w:val="20"/>
          <w:color w:val="auto"/>
        </w:rPr>
      </w:pPr>
      <w:r>
        <w:rPr>
          <w:rFonts w:ascii="Times New Roman" w:cs="Times New Roman" w:eastAsia="Times New Roman" w:hAnsi="Times New Roman"/>
          <w:sz w:val="18"/>
          <w:szCs w:val="18"/>
          <w:color w:val="auto"/>
        </w:rPr>
        <w:t>We are authorized to issue Class A preferred shares and Class B preferred shares in one or more series. The Class A preferred shares are voting shares, while the Class B preferred shares are non-voting shares. We have further authorized the issuance of up to 50,000,000 Class A Series 1 Preferred Shares and Class B Series 1 Preferred Shares, being the limit of both series of preferred shares to be issued in the aggregate, which shall have the rights, privileges, restrictions and conditions as determined and attached from time to time by the board of directors, without the requirement for further shareholder approval. A summary of the terms of the Class A Series 1 Preferred Shares is set forth below.</w:t>
      </w:r>
    </w:p>
    <w:p>
      <w:pPr>
        <w:spacing w:after="0" w:line="164" w:lineRule="exact"/>
        <w:rPr>
          <w:sz w:val="20"/>
          <w:szCs w:val="20"/>
          <w:color w:val="auto"/>
        </w:rPr>
      </w:pPr>
    </w:p>
    <w:p>
      <w:pPr>
        <w:ind w:right="100" w:firstLine="637"/>
        <w:spacing w:after="0" w:line="252" w:lineRule="auto"/>
        <w:rPr>
          <w:sz w:val="20"/>
          <w:szCs w:val="20"/>
          <w:color w:val="auto"/>
        </w:rPr>
      </w:pPr>
      <w:r>
        <w:rPr>
          <w:rFonts w:ascii="Times New Roman" w:cs="Times New Roman" w:eastAsia="Times New Roman" w:hAnsi="Times New Roman"/>
          <w:sz w:val="18"/>
          <w:szCs w:val="18"/>
          <w:color w:val="auto"/>
        </w:rPr>
        <w:t>The prospectus supplement relating to any series of preferred shares we are offering will include specific terms relating to the offering and the name of any transfer agent for that series. We will file the form of the preferred shares with the SEC before we issue any of the shares, and you should read that form for provisions that may be important to you. The prospectus supplement will include some or all of the following terms:</w:t>
      </w:r>
    </w:p>
    <w:p>
      <w:pPr>
        <w:spacing w:after="0" w:line="131" w:lineRule="exact"/>
        <w:rPr>
          <w:sz w:val="20"/>
          <w:szCs w:val="20"/>
          <w:color w:val="auto"/>
        </w:rPr>
      </w:pPr>
    </w:p>
    <w:p>
      <w:pPr>
        <w:ind w:left="960" w:hanging="317"/>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preferred shares;</w:t>
      </w:r>
    </w:p>
    <w:p>
      <w:pPr>
        <w:spacing w:after="0" w:line="177"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of shares of the series;</w:t>
      </w:r>
    </w:p>
    <w:p>
      <w:pPr>
        <w:spacing w:after="0" w:line="177"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dividend rate or the method of calculating the dividend, the date from which dividends will accrue and whether dividends will be cumulative;</w:t>
      </w:r>
    </w:p>
    <w:p>
      <w:pPr>
        <w:spacing w:after="0" w:line="202" w:lineRule="exact"/>
        <w:rPr>
          <w:rFonts w:ascii="Times New Roman" w:cs="Times New Roman" w:eastAsia="Times New Roman" w:hAnsi="Times New Roman"/>
          <w:sz w:val="17"/>
          <w:szCs w:val="17"/>
          <w:color w:val="auto"/>
        </w:rPr>
      </w:pPr>
    </w:p>
    <w:p>
      <w:pPr>
        <w:ind w:left="960" w:hanging="317"/>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liquidation preference;</w:t>
      </w:r>
    </w:p>
    <w:p>
      <w:pPr>
        <w:spacing w:after="0" w:line="177"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optional redemption provisions;</w:t>
      </w:r>
    </w:p>
    <w:p>
      <w:pPr>
        <w:spacing w:after="0" w:line="177"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sinking fund or other provisions that would obligate us to redeem or purchase the preferred shares;</w:t>
      </w:r>
    </w:p>
    <w:p>
      <w:pPr>
        <w:spacing w:after="0" w:line="190"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terms for the conversion or exchange of the preferred shares for other securities of us or any other entity;</w:t>
      </w:r>
    </w:p>
    <w:p>
      <w:pPr>
        <w:spacing w:after="0" w:line="177"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voting rights; and</w:t>
      </w:r>
    </w:p>
    <w:p>
      <w:pPr>
        <w:spacing w:after="0" w:line="177" w:lineRule="exact"/>
        <w:rPr>
          <w:rFonts w:ascii="Times New Roman" w:cs="Times New Roman" w:eastAsia="Times New Roman" w:hAnsi="Times New Roman"/>
          <w:sz w:val="18"/>
          <w:szCs w:val="18"/>
          <w:color w:val="auto"/>
        </w:rPr>
      </w:pPr>
    </w:p>
    <w:p>
      <w:pPr>
        <w:ind w:left="960" w:right="160" w:hanging="317"/>
        <w:spacing w:after="0" w:line="243" w:lineRule="auto"/>
        <w:tabs>
          <w:tab w:leader="none" w:pos="9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preferences and relative, participating, optional or other special rights or any qualifications, limitations or restrictions on the rights of the shares.</w:t>
      </w:r>
    </w:p>
    <w:p>
      <w:pPr>
        <w:spacing w:after="0" w:line="165" w:lineRule="exact"/>
        <w:rPr>
          <w:sz w:val="20"/>
          <w:szCs w:val="20"/>
          <w:color w:val="auto"/>
        </w:rPr>
      </w:pPr>
    </w:p>
    <w:p>
      <w:pPr>
        <w:ind w:right="120" w:firstLine="637"/>
        <w:spacing w:after="0" w:line="252" w:lineRule="auto"/>
        <w:rPr>
          <w:sz w:val="20"/>
          <w:szCs w:val="20"/>
          <w:color w:val="auto"/>
        </w:rPr>
      </w:pPr>
      <w:r>
        <w:rPr>
          <w:rFonts w:ascii="Times New Roman" w:cs="Times New Roman" w:eastAsia="Times New Roman" w:hAnsi="Times New Roman"/>
          <w:sz w:val="18"/>
          <w:szCs w:val="18"/>
          <w:color w:val="auto"/>
        </w:rPr>
        <w:t>The issuance of preferred shares, while providing flexibility in connection with possible acquisitions and other corporate purposes, could reduce the relative voting power of holders of common shares. It also could affect the likelihood that holders of common shares will receive dividend payments and payments upon liquidation.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Series 1 Preferred Shares</w:t>
      </w:r>
    </w:p>
    <w:p>
      <w:pPr>
        <w:spacing w:after="0" w:line="235" w:lineRule="exact"/>
        <w:rPr>
          <w:sz w:val="20"/>
          <w:szCs w:val="20"/>
          <w:color w:val="auto"/>
        </w:rPr>
      </w:pPr>
    </w:p>
    <w:p>
      <w:pPr>
        <w:ind w:right="60" w:firstLine="637"/>
        <w:spacing w:after="0" w:line="245" w:lineRule="auto"/>
        <w:rPr>
          <w:sz w:val="20"/>
          <w:szCs w:val="20"/>
          <w:color w:val="auto"/>
        </w:rPr>
      </w:pPr>
      <w:r>
        <w:rPr>
          <w:rFonts w:ascii="Times New Roman" w:cs="Times New Roman" w:eastAsia="Times New Roman" w:hAnsi="Times New Roman"/>
          <w:sz w:val="18"/>
          <w:szCs w:val="18"/>
          <w:color w:val="auto"/>
        </w:rPr>
        <w:t>We have outstanding 9,042 Class A Series 1 Preferred Shares that were issued in connection with our 2018 acquisition of Noralta Lodge Ltd. Except as provided by law, the Class A Series 1 Preferred Shares do not have voting rights. The Class A Series 1 Preferred Shares are entitled to receive a 2% annual dividend on the liquidation preference (initially $10,000 per share), paid quarterly in cash or, at our option, by increasing the Class A Series 1 Preferred Shares’ liquidation preference, or by any combination thereof.</w:t>
      </w:r>
    </w:p>
    <w:p>
      <w:pPr>
        <w:spacing w:after="0" w:line="216" w:lineRule="exact"/>
        <w:rPr>
          <w:sz w:val="20"/>
          <w:szCs w:val="20"/>
          <w:color w:val="auto"/>
        </w:rPr>
      </w:pPr>
    </w:p>
    <w:p>
      <w:pPr>
        <w:ind w:right="160" w:firstLine="637"/>
        <w:spacing w:after="0" w:line="239" w:lineRule="auto"/>
        <w:rPr>
          <w:sz w:val="20"/>
          <w:szCs w:val="20"/>
          <w:color w:val="auto"/>
        </w:rPr>
      </w:pPr>
      <w:r>
        <w:rPr>
          <w:rFonts w:ascii="Times New Roman" w:cs="Times New Roman" w:eastAsia="Times New Roman" w:hAnsi="Times New Roman"/>
          <w:sz w:val="18"/>
          <w:szCs w:val="18"/>
          <w:color w:val="auto"/>
        </w:rPr>
        <w:t>The Class A Series 1 Preferred Shares are convertible into common shares at a conversion price of $39.60 per Class A Series 1 Preferred Share, subject to customary anti-dilution adjustments, including in the case of dividends or distributions to holders of the common shares (the “Conversion Price”). We have the right to elect to convert the Class A Series 1 Preferred Shares into common shares if the 15-day volume weighted average price of the common shares is equal to or exceeds the Conversion Price. Holders of the Class A Series 1 Preferred Shares have the right to convert the Class A Series 1 Preferred Shares into common shares at any time after two years from the date of issuance, and the Class A Series 1 Preferred Shares mandatorily convert after five years from the date of issuance.</w:t>
      </w:r>
    </w:p>
    <w:p>
      <w:pPr>
        <w:spacing w:after="0" w:line="209" w:lineRule="exact"/>
        <w:rPr>
          <w:sz w:val="20"/>
          <w:szCs w:val="20"/>
          <w:color w:val="auto"/>
        </w:rPr>
      </w:pPr>
    </w:p>
    <w:p>
      <w:pPr>
        <w:ind w:right="40" w:firstLine="637"/>
        <w:spacing w:after="0" w:line="264" w:lineRule="auto"/>
        <w:rPr>
          <w:sz w:val="20"/>
          <w:szCs w:val="20"/>
          <w:color w:val="auto"/>
        </w:rPr>
      </w:pPr>
      <w:r>
        <w:rPr>
          <w:rFonts w:ascii="Times New Roman" w:cs="Times New Roman" w:eastAsia="Times New Roman" w:hAnsi="Times New Roman"/>
          <w:sz w:val="17"/>
          <w:szCs w:val="17"/>
          <w:color w:val="auto"/>
        </w:rPr>
        <w:t>The Class A Series 1 Preferred Shares also convert automatically into common shares upon a change of control of Civeo. In the event of certain transactions that do not constitute a change of control but which would result in the common shares being converted into, or exchanged for, securities, cash or property (a “Reorganization Event”), each Class A Series 1 Preferred Share will, without the consent of the holders of the Class A Series 1 Preferred Shares, become convertible into the kind of securities, cash and other property that such holder of Class A Series 1 Preferred Shares would have been entitled to</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220"/>
          </w:cols>
          <w:pgMar w:left="320" w:top="1076"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receive if such holder had converted its Class A Series 1 Preferred Shares into common shares immediately prior to such Reorganization Event.</w:t>
      </w:r>
    </w:p>
    <w:p>
      <w:pPr>
        <w:spacing w:after="0" w:line="231" w:lineRule="exact"/>
        <w:rPr>
          <w:sz w:val="20"/>
          <w:szCs w:val="20"/>
          <w:color w:val="auto"/>
        </w:rPr>
      </w:pPr>
    </w:p>
    <w:p>
      <w:pPr>
        <w:jc w:val="both"/>
        <w:ind w:right="340" w:firstLine="637"/>
        <w:spacing w:after="0" w:line="274" w:lineRule="auto"/>
        <w:rPr>
          <w:sz w:val="20"/>
          <w:szCs w:val="20"/>
          <w:color w:val="auto"/>
        </w:rPr>
      </w:pPr>
      <w:r>
        <w:rPr>
          <w:rFonts w:ascii="Times New Roman" w:cs="Times New Roman" w:eastAsia="Times New Roman" w:hAnsi="Times New Roman"/>
          <w:sz w:val="17"/>
          <w:szCs w:val="17"/>
          <w:color w:val="auto"/>
        </w:rPr>
        <w:t>We may, at any time and from time to time, redeem any or all of the Class A Series 1 Preferred Shares for cash at the liquidation preference, plus accrued and unpaid dividends. The Class A Series 1 Preferred Shares rank senior in all respects to the common shares with respect to dividend rights and rights upon the liquidation, dissolution or winding-up of Civeo up to the amount of the liquidation preference and accrued and unpaid dividends.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of Articles and Articles</w:t>
      </w:r>
    </w:p>
    <w:p>
      <w:pPr>
        <w:spacing w:after="0" w:line="193" w:lineRule="exact"/>
        <w:rPr>
          <w:sz w:val="20"/>
          <w:szCs w:val="20"/>
          <w:color w:val="auto"/>
        </w:rPr>
      </w:pPr>
    </w:p>
    <w:p>
      <w:pPr>
        <w:ind w:right="40" w:firstLine="637"/>
        <w:spacing w:after="0" w:line="252" w:lineRule="auto"/>
        <w:rPr>
          <w:sz w:val="20"/>
          <w:szCs w:val="20"/>
          <w:color w:val="auto"/>
        </w:rPr>
      </w:pPr>
      <w:r>
        <w:rPr>
          <w:rFonts w:ascii="Times New Roman" w:cs="Times New Roman" w:eastAsia="Times New Roman" w:hAnsi="Times New Roman"/>
          <w:sz w:val="18"/>
          <w:szCs w:val="18"/>
          <w:color w:val="auto"/>
        </w:rPr>
        <w:t>Provisions of our notice of articles and articles may delay or discourage transactions involving an actual or potential change in control or change in our management, including transactions in which shareholders might otherwise receive a premium for their shares, or transactions that our shareholders might otherwise deem to be in their best interests. Therefore, these provisions could adversely affect the price of our shares.</w:t>
      </w:r>
    </w:p>
    <w:p>
      <w:pPr>
        <w:spacing w:after="0" w:line="170" w:lineRule="exact"/>
        <w:rPr>
          <w:sz w:val="20"/>
          <w:szCs w:val="20"/>
          <w:color w:val="auto"/>
        </w:rPr>
      </w:pPr>
    </w:p>
    <w:p>
      <w:pPr>
        <w:ind w:right="140" w:firstLine="637"/>
        <w:spacing w:after="0" w:line="245" w:lineRule="auto"/>
        <w:rPr>
          <w:sz w:val="20"/>
          <w:szCs w:val="20"/>
          <w:color w:val="auto"/>
        </w:rPr>
      </w:pPr>
      <w:r>
        <w:rPr>
          <w:rFonts w:ascii="Times New Roman" w:cs="Times New Roman" w:eastAsia="Times New Roman" w:hAnsi="Times New Roman"/>
          <w:sz w:val="18"/>
          <w:szCs w:val="18"/>
          <w:color w:val="auto"/>
        </w:rPr>
        <w:t>These provisions are expected to discourage coercive takeover practices and inadequate takeover bids. These provisions are also designed to encourage persons seeking to acquire control of us to first negotiate with us. We believe that the benefits of increased protection and our potential ability to negotiate with the proponent of an unfriendly or unsolicited proposal to acquire or restructure us outweigh the disadvantages of discouraging these proposals because, among other things, negotiation of these proposals could result in an improvement of their terms.</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Among other things, our notice of articles and articles:</w:t>
      </w:r>
    </w:p>
    <w:p>
      <w:pPr>
        <w:spacing w:after="0" w:line="191" w:lineRule="exact"/>
        <w:rPr>
          <w:sz w:val="20"/>
          <w:szCs w:val="20"/>
          <w:color w:val="auto"/>
        </w:rPr>
      </w:pPr>
    </w:p>
    <w:p>
      <w:pPr>
        <w:ind w:left="960" w:right="280" w:hanging="317"/>
        <w:spacing w:after="0" w:line="227" w:lineRule="auto"/>
        <w:tabs>
          <w:tab w:leader="none" w:pos="9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are divided into three classes serving staggered three-year terms, with only one class being elected each year by our shareholders. This classified board may discourage a third party from making a tender offer or otherwise attempting to obtain control of us because it generally makes it more difficult for shareholders to replace a majority of our directors;</w:t>
      </w:r>
    </w:p>
    <w:p>
      <w:pPr>
        <w:spacing w:after="0" w:line="155" w:lineRule="exact"/>
        <w:rPr>
          <w:rFonts w:ascii="Times New Roman" w:cs="Times New Roman" w:eastAsia="Times New Roman" w:hAnsi="Times New Roman"/>
          <w:sz w:val="18"/>
          <w:szCs w:val="18"/>
          <w:color w:val="auto"/>
        </w:rPr>
      </w:pPr>
    </w:p>
    <w:p>
      <w:pPr>
        <w:ind w:left="960" w:right="300" w:hanging="317"/>
        <w:spacing w:after="0" w:line="234" w:lineRule="auto"/>
        <w:tabs>
          <w:tab w:leader="none" w:pos="9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only be removed by shareholders passing a resolution with the requisite majority of three-quarters of the votes cast at a meeting of shareholders entitled to vote in the election of directors, voting together as a single class;</w:t>
      </w:r>
    </w:p>
    <w:p>
      <w:pPr>
        <w:spacing w:after="0" w:line="166" w:lineRule="exact"/>
        <w:rPr>
          <w:rFonts w:ascii="Times New Roman" w:cs="Times New Roman" w:eastAsia="Times New Roman" w:hAnsi="Times New Roman"/>
          <w:sz w:val="18"/>
          <w:szCs w:val="18"/>
          <w:color w:val="auto"/>
        </w:rPr>
      </w:pPr>
    </w:p>
    <w:p>
      <w:pPr>
        <w:ind w:left="960" w:right="20" w:hanging="317"/>
        <w:spacing w:after="0" w:line="213" w:lineRule="auto"/>
        <w:tabs>
          <w:tab w:leader="none" w:pos="9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procedures with regard to shareholder proposals relating to the nomination of candidates for election as directors or new business to be brought before meetings of our shareholders. These procedures provide that notice of shareholder proposals must be timely given in writing to our corporate secretary prior to the meeting at which the action is to be taken. Generally, to be timely, notice must be received at our principal executive offices not later than 120 days prior to the first anniversary date of the annual meeting for the preceding year. Our articles specify the requirements as to form and content of all shareholders’ notices. These requirements may preclude shareholders from bringing matters before the shareholders at an annual or special meeting;</w:t>
      </w:r>
    </w:p>
    <w:p>
      <w:pPr>
        <w:spacing w:after="0" w:line="171" w:lineRule="exact"/>
        <w:rPr>
          <w:rFonts w:ascii="Times New Roman" w:cs="Times New Roman" w:eastAsia="Times New Roman" w:hAnsi="Times New Roman"/>
          <w:sz w:val="18"/>
          <w:szCs w:val="18"/>
          <w:color w:val="auto"/>
        </w:rPr>
      </w:pPr>
    </w:p>
    <w:p>
      <w:pPr>
        <w:ind w:left="960" w:hanging="317"/>
        <w:spacing w:after="0" w:line="220" w:lineRule="auto"/>
        <w:tabs>
          <w:tab w:leader="none" w:pos="9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our board of directors the ability to issue the Class A Series 1 Preferred Shares and the Class B Series 1 Preferred Shares. This ability makes it possible for our board of directors to issue, without shareholder approval, preferred shares with voting or other rights or preferences that could impede the success of any attempt to change control of us. These and other provisions may have the effect of deterring hostile takeovers or delaying changes in control or management of our company;</w:t>
      </w:r>
    </w:p>
    <w:p>
      <w:pPr>
        <w:spacing w:after="0" w:line="156"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authorized number of directors may only be set by the board of directors;</w:t>
      </w:r>
    </w:p>
    <w:p>
      <w:pPr>
        <w:spacing w:after="0" w:line="177" w:lineRule="exact"/>
        <w:rPr>
          <w:rFonts w:ascii="Times New Roman" w:cs="Times New Roman" w:eastAsia="Times New Roman" w:hAnsi="Times New Roman"/>
          <w:sz w:val="18"/>
          <w:szCs w:val="18"/>
          <w:color w:val="auto"/>
        </w:rPr>
      </w:pPr>
    </w:p>
    <w:p>
      <w:pPr>
        <w:ind w:left="960" w:right="80" w:hanging="317"/>
        <w:spacing w:after="0" w:line="234" w:lineRule="auto"/>
        <w:tabs>
          <w:tab w:leader="none" w:pos="9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all vacancies, including newly created directorships, may, except as otherwise required by law or, if applicable, the rights of holders of a series of preferred shares, be filled by the affirmative vote of a majority of directors then in office;</w:t>
      </w:r>
    </w:p>
    <w:p>
      <w:pPr>
        <w:spacing w:after="0" w:line="166" w:lineRule="exact"/>
        <w:rPr>
          <w:rFonts w:ascii="Times New Roman" w:cs="Times New Roman" w:eastAsia="Times New Roman" w:hAnsi="Times New Roman"/>
          <w:sz w:val="18"/>
          <w:szCs w:val="18"/>
          <w:color w:val="auto"/>
        </w:rPr>
      </w:pPr>
    </w:p>
    <w:p>
      <w:pPr>
        <w:ind w:left="960" w:right="200" w:hanging="317"/>
        <w:spacing w:after="0" w:line="222" w:lineRule="auto"/>
        <w:tabs>
          <w:tab w:leader="none" w:pos="9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any action required or permitted to be taken by the shareholders must be effected at a duly called annual or special meeting of shareholders and may not be effected by any consent in writing in lieu of a meeting of such shareholders, subject to the rights of the holders of any series of preferred shares with respect to such series;</w:t>
      </w:r>
    </w:p>
    <w:p>
      <w:pPr>
        <w:spacing w:after="0" w:line="168" w:lineRule="exact"/>
        <w:rPr>
          <w:rFonts w:ascii="Times New Roman" w:cs="Times New Roman" w:eastAsia="Times New Roman" w:hAnsi="Times New Roman"/>
          <w:sz w:val="18"/>
          <w:szCs w:val="18"/>
          <w:color w:val="auto"/>
        </w:rPr>
      </w:pPr>
    </w:p>
    <w:p>
      <w:pPr>
        <w:ind w:left="960" w:right="40" w:hanging="317"/>
        <w:spacing w:after="0" w:line="220" w:lineRule="auto"/>
        <w:tabs>
          <w:tab w:leader="none" w:pos="9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notice of articles and articles can be amended or repealed at any annual or special meeting of shareholders or amended by the board of directors in certain circumstances, including the requirement that certain amendments by the shareholders to the articles at a meeting be upon a resolution passed by the affirmative vote of the holders of 66 2/3% of the voting power of the issued and outstanding shares entitled to vote on such matters, voting together as a single class;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240"/>
          </w:cols>
          <w:pgMar w:left="320" w:top="1076" w:right="339" w:bottom="1440" w:gutter="0" w:footer="0" w:header="0"/>
        </w:sectPr>
      </w:pPr>
    </w:p>
    <w:bookmarkStart w:id="32" w:name="page33"/>
    <w:bookmarkEnd w:id="32"/>
    <w:p>
      <w:pPr>
        <w:ind w:left="960" w:right="120" w:hanging="317"/>
        <w:spacing w:after="0" w:line="216" w:lineRule="auto"/>
        <w:tabs>
          <w:tab w:leader="none" w:pos="9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if a meeting of shareholders has been adjourned one or more times due to insufficient attendance required to pass any resolution, and at such adjourned meeting, less than the number of holders required to pass any resolution requiring 66 2/3% of the voting power of the issued and outstanding shares is present in person or by proxy, with the approval of the board, the holders holding at least 66 2/3% of the shares present in person or by proxy at such adjourned meeting and entitled to vote on the matter, voting together as a single class, may alter the articles.</w:t>
      </w:r>
    </w:p>
    <w:p>
      <w:pPr>
        <w:spacing w:after="0" w:line="183" w:lineRule="exact"/>
        <w:rPr>
          <w:sz w:val="20"/>
          <w:szCs w:val="20"/>
          <w:color w:val="auto"/>
        </w:rPr>
      </w:pPr>
    </w:p>
    <w:p>
      <w:pPr>
        <w:ind w:right="160" w:firstLine="637"/>
        <w:spacing w:after="0" w:line="245" w:lineRule="auto"/>
        <w:rPr>
          <w:sz w:val="20"/>
          <w:szCs w:val="20"/>
          <w:color w:val="auto"/>
        </w:rPr>
      </w:pPr>
      <w:r>
        <w:rPr>
          <w:rFonts w:ascii="Times New Roman" w:cs="Times New Roman" w:eastAsia="Times New Roman" w:hAnsi="Times New Roman"/>
          <w:sz w:val="18"/>
          <w:szCs w:val="18"/>
          <w:color w:val="auto"/>
        </w:rPr>
        <w:t>When interpreting a director’s duties under British Columbia law, Canadian courts have generally interpreted a director’s duty to act in “the best interest of the company” to include a duty to treat all stakeholders affected by corporate actions equitably and fairly, including in the context of a change of control transaction. Accordingly, in determining what is in “the best interests of the company”, it may be legitimate for our directors to consider the interests of not only the company’s shareholders, but other stakeholders, such as employees and creditors, as well.</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 Matters</w:t>
      </w:r>
    </w:p>
    <w:p>
      <w:pPr>
        <w:spacing w:after="0" w:line="206" w:lineRule="exact"/>
        <w:rPr>
          <w:sz w:val="20"/>
          <w:szCs w:val="20"/>
          <w:color w:val="auto"/>
        </w:rPr>
      </w:pPr>
    </w:p>
    <w:p>
      <w:pPr>
        <w:ind w:firstLine="637"/>
        <w:spacing w:after="0" w:line="245" w:lineRule="auto"/>
        <w:rPr>
          <w:sz w:val="20"/>
          <w:szCs w:val="20"/>
          <w:color w:val="auto"/>
        </w:rPr>
      </w:pPr>
      <w:r>
        <w:rPr>
          <w:rFonts w:ascii="Times New Roman" w:cs="Times New Roman" w:eastAsia="Times New Roman" w:hAnsi="Times New Roman"/>
          <w:sz w:val="18"/>
          <w:szCs w:val="18"/>
          <w:color w:val="auto"/>
        </w:rPr>
        <w:t>Our articles allow us to indemnify our directors to the fullest extent authorized by the BCA against all expenses, liabilities and losses (including judgments and fines) which may be reasonably incurred by reason of being or having been a director of the company, except for liability that cannot be indemnified under British Columbia law. British Columbia law provides that a company must not indemnify its directors if any of the following circumstances apply:</w:t>
      </w:r>
    </w:p>
    <w:p>
      <w:pPr>
        <w:spacing w:after="0" w:line="163" w:lineRule="exact"/>
        <w:rPr>
          <w:sz w:val="20"/>
          <w:szCs w:val="20"/>
          <w:color w:val="auto"/>
        </w:rPr>
      </w:pPr>
    </w:p>
    <w:p>
      <w:pPr>
        <w:ind w:left="960" w:right="40" w:hanging="317"/>
        <w:spacing w:after="0" w:line="234" w:lineRule="auto"/>
        <w:tabs>
          <w:tab w:leader="none" w:pos="9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indemnity or payment is made under an earlier agreement to indemnify or pay expenses and, at the time that the agreement to indemnify or pay expenses was made, the company was prohibited from giving the indemnity or paying the expenses by its articles;</w:t>
      </w:r>
    </w:p>
    <w:p>
      <w:pPr>
        <w:spacing w:after="0" w:line="153" w:lineRule="exact"/>
        <w:rPr>
          <w:rFonts w:ascii="Times New Roman" w:cs="Times New Roman" w:eastAsia="Times New Roman" w:hAnsi="Times New Roman"/>
          <w:sz w:val="18"/>
          <w:szCs w:val="18"/>
          <w:color w:val="auto"/>
        </w:rPr>
      </w:pPr>
    </w:p>
    <w:p>
      <w:pPr>
        <w:ind w:left="960" w:right="120" w:hanging="317"/>
        <w:spacing w:after="0" w:line="243" w:lineRule="auto"/>
        <w:tabs>
          <w:tab w:leader="none" w:pos="9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indemnity or payment is made otherwise than under an earlier agreement to indemnify or pay expenses and, at the time that the indemnity or payment is made, the company is prohibited from giving the indemnity or paying the expenses by its articles;</w:t>
      </w:r>
    </w:p>
    <w:p>
      <w:pPr>
        <w:spacing w:after="0" w:line="151" w:lineRule="exact"/>
        <w:rPr>
          <w:rFonts w:ascii="Times New Roman" w:cs="Times New Roman" w:eastAsia="Times New Roman" w:hAnsi="Times New Roman"/>
          <w:sz w:val="18"/>
          <w:szCs w:val="18"/>
          <w:color w:val="auto"/>
        </w:rPr>
      </w:pPr>
    </w:p>
    <w:p>
      <w:pPr>
        <w:ind w:left="960" w:right="40" w:hanging="317"/>
        <w:spacing w:after="0" w:line="220" w:lineRule="auto"/>
        <w:tabs>
          <w:tab w:leader="none" w:pos="9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 relation to the subject matter of the relevant proceeding, the director did not act honestly and in good faith with a view to the best interests of the company or the associated corporation, as the case may be, with such associated corporation being an affiliate of the company or a partnership, trust, joint venture or other unincorporated entity in which the director served in the capacity as a director or a position equivalent to that thereof, at the request of the company; or</w:t>
      </w:r>
    </w:p>
    <w:p>
      <w:pPr>
        <w:spacing w:after="0" w:line="156" w:lineRule="exact"/>
        <w:rPr>
          <w:rFonts w:ascii="Times New Roman" w:cs="Times New Roman" w:eastAsia="Times New Roman" w:hAnsi="Times New Roman"/>
          <w:sz w:val="18"/>
          <w:szCs w:val="18"/>
          <w:color w:val="auto"/>
        </w:rPr>
      </w:pPr>
    </w:p>
    <w:p>
      <w:pPr>
        <w:ind w:left="960" w:right="680" w:hanging="317"/>
        <w:spacing w:after="0" w:line="243" w:lineRule="auto"/>
        <w:tabs>
          <w:tab w:leader="none" w:pos="9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relevant proceeding other than a civil proceeding, if the director did not have reasonable grounds for believing that the director’s conduct in respect of which the proceeding was brought was lawful.</w:t>
      </w:r>
    </w:p>
    <w:p>
      <w:pPr>
        <w:spacing w:after="0" w:line="165" w:lineRule="exact"/>
        <w:rPr>
          <w:sz w:val="20"/>
          <w:szCs w:val="20"/>
          <w:color w:val="auto"/>
        </w:rPr>
      </w:pPr>
    </w:p>
    <w:p>
      <w:pPr>
        <w:ind w:right="460" w:firstLine="637"/>
        <w:spacing w:after="0" w:line="259" w:lineRule="auto"/>
        <w:rPr>
          <w:sz w:val="20"/>
          <w:szCs w:val="20"/>
          <w:color w:val="auto"/>
        </w:rPr>
      </w:pPr>
      <w:r>
        <w:rPr>
          <w:rFonts w:ascii="Times New Roman" w:cs="Times New Roman" w:eastAsia="Times New Roman" w:hAnsi="Times New Roman"/>
          <w:sz w:val="18"/>
          <w:szCs w:val="18"/>
          <w:color w:val="auto"/>
        </w:rPr>
        <w:t>Notwithstanding any of the above prohibitions, the company or a director may apply to court for an order that the company must indemnify the director for any liability or expenses incurred by the director or for any other related obligations of the company.</w:t>
      </w:r>
    </w:p>
    <w:p>
      <w:pPr>
        <w:spacing w:after="0" w:line="163" w:lineRule="exact"/>
        <w:rPr>
          <w:sz w:val="20"/>
          <w:szCs w:val="20"/>
          <w:color w:val="auto"/>
        </w:rPr>
      </w:pPr>
    </w:p>
    <w:p>
      <w:pPr>
        <w:ind w:right="20" w:firstLine="637"/>
        <w:spacing w:after="0" w:line="239" w:lineRule="auto"/>
        <w:rPr>
          <w:sz w:val="20"/>
          <w:szCs w:val="20"/>
          <w:color w:val="auto"/>
        </w:rPr>
      </w:pPr>
      <w:r>
        <w:rPr>
          <w:rFonts w:ascii="Times New Roman" w:cs="Times New Roman" w:eastAsia="Times New Roman" w:hAnsi="Times New Roman"/>
          <w:sz w:val="18"/>
          <w:szCs w:val="18"/>
          <w:color w:val="auto"/>
        </w:rPr>
        <w:t>The articles also provide that we will indemnify our directors and officers to the fullest extent permitted by British Columbia law. The articles also permit us to purchase insurance on behalf of any officer, director, employee or other agent of our company or, at our request, of another entity, for any liability arising out of that person’s actions in such capacity. We have entered into indemnification agreements with each of our current directors and executive officers requiring us to indemnify these individuals to the fullest extent permitted under British Columbia law against liability that may arise by reason of their service to us, and to advance expenses incurred as a result of any proceeding against them as to which they could be indemnified, and have received a written undertaking from each such director and officer as required under British Columbia law.</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transfer agent and registrar for our common shares is Computershare Investor Services, Inc.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common shares are listed on the New York Stock Exchange under the symbol “CVEO.”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240"/>
          </w:cols>
          <w:pgMar w:left="320" w:top="1063"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SELLING SHAREHOLDERS</w:t>
      </w:r>
    </w:p>
    <w:p>
      <w:pPr>
        <w:spacing w:after="0" w:line="233" w:lineRule="exact"/>
        <w:rPr>
          <w:sz w:val="20"/>
          <w:szCs w:val="20"/>
          <w:color w:val="auto"/>
        </w:rPr>
      </w:pPr>
    </w:p>
    <w:p>
      <w:pPr>
        <w:ind w:right="40" w:firstLine="637"/>
        <w:spacing w:after="0"/>
        <w:rPr>
          <w:sz w:val="20"/>
          <w:szCs w:val="20"/>
          <w:color w:val="auto"/>
        </w:rPr>
      </w:pPr>
      <w:r>
        <w:rPr>
          <w:rFonts w:ascii="Times New Roman" w:cs="Times New Roman" w:eastAsia="Times New Roman" w:hAnsi="Times New Roman"/>
          <w:sz w:val="18"/>
          <w:szCs w:val="18"/>
          <w:color w:val="auto"/>
        </w:rPr>
        <w:t>This prospectus relates to up to (i) 2,522,705 common shares issuable to the selling shareholders upon conversion of 9,042 shares of Class A Series 1 Preferred Shares, based on the liquidation preference of such Class A Series 1 Preferred Shares as of March 31, 2023 assuming all dividends thereon are paid in kind through an increase in the liquidation preference, and (ii) an additional 374,753 common shares held by the selling shareholders, in each case subject to any appropriate adjustment as a result of any share subdivision, split, combination or other reclassification of our common shares. The Class A Series 1 Preferred Shares and common shares were issued to the selling shareholders pursuant to a Share Purchase Agreement, dated November 26, 2017, as amended, by and between Civeo Corporation and Noralta Lodge Ltd., Torgerson Family Trust, 2073357 Alberta Ltd., 2073358 Alberta Ltd., 1818939 Alberta Ltd., 2040618 Alberta Ltd., 2040624 Alberta Ltd., 989677 Alberta Ltd. and Lance Torgerson (collectively, the “sellers”). All 374,753 common shares have been deposited into escrow with Alliance Trust Company under the terms of an escrow agreement to support the sellers’ indemnification obligations under the purchase agreement. We refer to these common shares as the “Escrow Shares.”</w:t>
      </w:r>
    </w:p>
    <w:p>
      <w:pPr>
        <w:spacing w:after="0" w:line="207" w:lineRule="exact"/>
        <w:rPr>
          <w:sz w:val="20"/>
          <w:szCs w:val="20"/>
          <w:color w:val="auto"/>
        </w:rPr>
      </w:pPr>
    </w:p>
    <w:p>
      <w:pPr>
        <w:ind w:right="80" w:firstLine="637"/>
        <w:spacing w:after="0"/>
        <w:rPr>
          <w:sz w:val="20"/>
          <w:szCs w:val="20"/>
          <w:color w:val="auto"/>
        </w:rPr>
      </w:pPr>
      <w:r>
        <w:rPr>
          <w:rFonts w:ascii="Times New Roman" w:cs="Times New Roman" w:eastAsia="Times New Roman" w:hAnsi="Times New Roman"/>
          <w:sz w:val="18"/>
          <w:szCs w:val="18"/>
          <w:color w:val="auto"/>
        </w:rPr>
        <w:t>The information contained in the table below in respect of the selling shareholders (including the number of common shares beneficially owned and the number of common shares offered) has been obtained from the selling shareholders and has not been independently verified by us. We may supplement this prospectus from time to time in the future to update or change this list of selling shareholders and the number of common shares that may be offered and sold by them. The registration for resale of the common shares does not necessarily mean that the selling shareholders will sell all or any of these common shares. In addition, the selling shareholders may have sold, transferred or otherwise disposed of, or may sell, transfer or otherwise dispose of, at any time and from time to time, common shares in transactions exempt from the registration requirements of the Securities Act of 1933, as amended (the “Securities Act”), after the date on which they provided the information set forth in the table below.</w:t>
      </w:r>
    </w:p>
    <w:p>
      <w:pPr>
        <w:spacing w:after="0" w:line="223" w:lineRule="exact"/>
        <w:rPr>
          <w:sz w:val="20"/>
          <w:szCs w:val="20"/>
          <w:color w:val="auto"/>
        </w:rPr>
      </w:pPr>
    </w:p>
    <w:p>
      <w:pPr>
        <w:ind w:firstLine="637"/>
        <w:spacing w:after="0" w:line="239" w:lineRule="auto"/>
        <w:rPr>
          <w:sz w:val="20"/>
          <w:szCs w:val="20"/>
          <w:color w:val="auto"/>
        </w:rPr>
      </w:pPr>
      <w:r>
        <w:rPr>
          <w:rFonts w:ascii="Times New Roman" w:cs="Times New Roman" w:eastAsia="Times New Roman" w:hAnsi="Times New Roman"/>
          <w:sz w:val="18"/>
          <w:szCs w:val="18"/>
          <w:color w:val="auto"/>
        </w:rPr>
        <w:t>The information set forth in the following table regarding the beneficial ownership after resale of the common shares is based upon the assumption that the selling shareholders will sell all of the common shares beneficially owned by them that are covered by this prospectus. The ownership percentage indicated in the following table is based on 13,713,259 outstanding common shares as of August 26, 2022. Except as indicated in the footnotes to the table below, to our knowledge, the selling shareholders have the sole voting and investment power with respect to all securities beneficially owned by them. Unless otherwise described below or in the documents incorporated by reference, to our knowledge, none of the selling shareholders has held any position or office or had any material relationship with Civeo during the three years prior to the date of this prospectus.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3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Common shares beneficially owned prior</w:t>
            </w: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Common shares beneficially owned</w:t>
            </w:r>
          </w:p>
        </w:tc>
        <w:tc>
          <w:tcPr>
            <w:tcW w:w="0" w:type="dxa"/>
            <w:vAlign w:val="bottom"/>
          </w:tcPr>
          <w:p>
            <w:pPr>
              <w:spacing w:after="0"/>
              <w:rPr>
                <w:sz w:val="1"/>
                <w:szCs w:val="1"/>
                <w:color w:val="auto"/>
              </w:rPr>
            </w:pPr>
          </w:p>
        </w:tc>
      </w:tr>
      <w:tr>
        <w:trPr>
          <w:trHeight w:val="247"/>
        </w:trPr>
        <w:tc>
          <w:tcPr>
            <w:tcW w:w="2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20" w:type="dxa"/>
            <w:vAlign w:val="bottom"/>
            <w:gridSpan w:val="3"/>
          </w:tcPr>
          <w:p>
            <w:pPr>
              <w:jc w:val="center"/>
              <w:ind w:right="992"/>
              <w:spacing w:after="0"/>
              <w:rPr>
                <w:sz w:val="20"/>
                <w:szCs w:val="20"/>
                <w:color w:val="auto"/>
              </w:rPr>
            </w:pPr>
            <w:r>
              <w:rPr>
                <w:rFonts w:ascii="Times New Roman" w:cs="Times New Roman" w:eastAsia="Times New Roman" w:hAnsi="Times New Roman"/>
                <w:sz w:val="18"/>
                <w:szCs w:val="18"/>
                <w:b w:val="1"/>
                <w:bCs w:val="1"/>
                <w:color w:val="auto"/>
                <w:w w:val="97"/>
              </w:rPr>
              <w:t>to the offering</w:t>
            </w:r>
          </w:p>
        </w:tc>
        <w:tc>
          <w:tcPr>
            <w:tcW w:w="3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40" w:type="dxa"/>
            <w:vAlign w:val="bottom"/>
            <w:gridSpan w:val="3"/>
          </w:tcPr>
          <w:p>
            <w:pPr>
              <w:jc w:val="center"/>
              <w:ind w:right="872"/>
              <w:spacing w:after="0"/>
              <w:rPr>
                <w:sz w:val="20"/>
                <w:szCs w:val="20"/>
                <w:color w:val="auto"/>
              </w:rPr>
            </w:pPr>
            <w:r>
              <w:rPr>
                <w:rFonts w:ascii="Times New Roman" w:cs="Times New Roman" w:eastAsia="Times New Roman" w:hAnsi="Times New Roman"/>
                <w:sz w:val="18"/>
                <w:szCs w:val="18"/>
                <w:b w:val="1"/>
                <w:bCs w:val="1"/>
                <w:color w:val="auto"/>
                <w:w w:val="97"/>
              </w:rPr>
              <w:t>after the offering</w:t>
            </w:r>
          </w:p>
        </w:tc>
        <w:tc>
          <w:tcPr>
            <w:tcW w:w="0" w:type="dxa"/>
            <w:vAlign w:val="bottom"/>
          </w:tcPr>
          <w:p>
            <w:pPr>
              <w:spacing w:after="0"/>
              <w:rPr>
                <w:sz w:val="1"/>
                <w:szCs w:val="1"/>
                <w:color w:val="auto"/>
              </w:rPr>
            </w:pPr>
          </w:p>
        </w:tc>
      </w:tr>
      <w:tr>
        <w:trPr>
          <w:trHeight w:val="26"/>
        </w:trPr>
        <w:tc>
          <w:tcPr>
            <w:tcW w:w="260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Name of selling shareholder</w:t>
            </w: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00" w:type="dxa"/>
            <w:vAlign w:val="bottom"/>
            <w:vMerge w:val="restart"/>
          </w:tcPr>
          <w:p>
            <w:pPr>
              <w:spacing w:after="0"/>
              <w:rPr>
                <w:sz w:val="2"/>
                <w:szCs w:val="2"/>
                <w:color w:val="auto"/>
              </w:rPr>
            </w:pPr>
          </w:p>
        </w:tc>
        <w:tc>
          <w:tcPr>
            <w:tcW w:w="18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Common shares to</w:t>
            </w: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2600" w:type="dxa"/>
            <w:vAlign w:val="bottom"/>
            <w:gridSpan w:val="2"/>
            <w:vMerge w:val="continue"/>
          </w:tcPr>
          <w:p>
            <w:pPr>
              <w:spacing w:after="0"/>
              <w:rPr>
                <w:sz w:val="14"/>
                <w:szCs w:val="14"/>
                <w:color w:val="auto"/>
              </w:rPr>
            </w:pPr>
          </w:p>
        </w:tc>
        <w:tc>
          <w:tcPr>
            <w:tcW w:w="1080" w:type="dxa"/>
            <w:vAlign w:val="bottom"/>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300" w:type="dxa"/>
            <w:vAlign w:val="bottom"/>
            <w:vMerge w:val="continue"/>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960" w:type="dxa"/>
            <w:vAlign w:val="bottom"/>
            <w:vMerge w:val="restart"/>
          </w:tcPr>
          <w:p>
            <w:pPr>
              <w:jc w:val="center"/>
              <w:ind w:left="212"/>
              <w:spacing w:after="0"/>
              <w:rPr>
                <w:sz w:val="20"/>
                <w:szCs w:val="20"/>
                <w:color w:val="auto"/>
              </w:rPr>
            </w:pPr>
            <w:r>
              <w:rPr>
                <w:rFonts w:ascii="Times New Roman" w:cs="Times New Roman" w:eastAsia="Times New Roman" w:hAnsi="Times New Roman"/>
                <w:sz w:val="18"/>
                <w:szCs w:val="18"/>
                <w:b w:val="1"/>
                <w:bCs w:val="1"/>
                <w:color w:val="auto"/>
                <w:w w:val="96"/>
              </w:rPr>
              <w:t>Number</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Percentage</w:t>
            </w:r>
          </w:p>
        </w:tc>
        <w:tc>
          <w:tcPr>
            <w:tcW w:w="0" w:type="dxa"/>
            <w:vAlign w:val="bottom"/>
          </w:tcPr>
          <w:p>
            <w:pPr>
              <w:spacing w:after="0"/>
              <w:rPr>
                <w:sz w:val="1"/>
                <w:szCs w:val="1"/>
                <w:color w:val="auto"/>
              </w:rPr>
            </w:pPr>
          </w:p>
        </w:tc>
      </w:tr>
      <w:tr>
        <w:trPr>
          <w:trHeight w:val="234"/>
        </w:trPr>
        <w:tc>
          <w:tcPr>
            <w:tcW w:w="2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8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5"/>
              </w:rPr>
              <w:t>be offered</w:t>
            </w:r>
          </w:p>
        </w:tc>
        <w:tc>
          <w:tcPr>
            <w:tcW w:w="96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32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6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Torgerson Family Trust (1)</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2,737,354</w:t>
            </w:r>
          </w:p>
        </w:tc>
        <w:tc>
          <w:tcPr>
            <w:tcW w:w="2220" w:type="dxa"/>
            <w:vAlign w:val="bottom"/>
            <w:gridSpan w:val="3"/>
          </w:tcPr>
          <w:p>
            <w:pPr>
              <w:jc w:val="right"/>
              <w:ind w:right="512"/>
              <w:spacing w:after="0"/>
              <w:rPr>
                <w:sz w:val="20"/>
                <w:szCs w:val="20"/>
                <w:color w:val="auto"/>
              </w:rPr>
            </w:pPr>
            <w:r>
              <w:rPr>
                <w:rFonts w:ascii="Times New Roman" w:cs="Times New Roman" w:eastAsia="Times New Roman" w:hAnsi="Times New Roman"/>
                <w:sz w:val="18"/>
                <w:szCs w:val="18"/>
                <w:color w:val="auto"/>
              </w:rPr>
              <w:t>16.9%</w:t>
            </w:r>
          </w:p>
        </w:tc>
        <w:tc>
          <w:tcPr>
            <w:tcW w:w="1840" w:type="dxa"/>
            <w:vAlign w:val="bottom"/>
            <w:gridSpan w:val="2"/>
          </w:tcPr>
          <w:p>
            <w:pPr>
              <w:jc w:val="right"/>
              <w:ind w:right="332"/>
              <w:spacing w:after="0"/>
              <w:rPr>
                <w:sz w:val="20"/>
                <w:szCs w:val="20"/>
                <w:color w:val="auto"/>
              </w:rPr>
            </w:pPr>
            <w:r>
              <w:rPr>
                <w:rFonts w:ascii="Times New Roman" w:cs="Times New Roman" w:eastAsia="Times New Roman" w:hAnsi="Times New Roman"/>
                <w:sz w:val="18"/>
                <w:szCs w:val="18"/>
                <w:color w:val="auto"/>
              </w:rPr>
              <w:t>2,737,354</w:t>
            </w:r>
          </w:p>
        </w:tc>
        <w:tc>
          <w:tcPr>
            <w:tcW w:w="300" w:type="dxa"/>
            <w:vAlign w:val="bottom"/>
          </w:tcPr>
          <w:p>
            <w:pPr>
              <w:spacing w:after="0"/>
              <w:rPr>
                <w:sz w:val="20"/>
                <w:szCs w:val="20"/>
                <w:color w:val="auto"/>
              </w:rPr>
            </w:pPr>
          </w:p>
        </w:tc>
        <w:tc>
          <w:tcPr>
            <w:tcW w:w="960" w:type="dxa"/>
            <w:vAlign w:val="bottom"/>
          </w:tcPr>
          <w:p>
            <w:pPr>
              <w:jc w:val="center"/>
              <w:ind w:left="212"/>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79"/>
        </w:trPr>
        <w:tc>
          <w:tcPr>
            <w:tcW w:w="26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989677 Alberta Ltd. (2)</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160,104</w:t>
            </w:r>
          </w:p>
        </w:tc>
        <w:tc>
          <w:tcPr>
            <w:tcW w:w="2220" w:type="dxa"/>
            <w:vAlign w:val="bottom"/>
            <w:gridSpan w:val="3"/>
          </w:tcPr>
          <w:p>
            <w:pPr>
              <w:jc w:val="right"/>
              <w:ind w:right="552"/>
              <w:spacing w:after="0"/>
              <w:rPr>
                <w:sz w:val="20"/>
                <w:szCs w:val="20"/>
                <w:color w:val="auto"/>
              </w:rPr>
            </w:pPr>
            <w:r>
              <w:rPr>
                <w:rFonts w:ascii="Times New Roman" w:cs="Times New Roman" w:eastAsia="Times New Roman" w:hAnsi="Times New Roman"/>
                <w:sz w:val="18"/>
                <w:szCs w:val="18"/>
                <w:color w:val="auto"/>
              </w:rPr>
              <w:t>1.2%</w:t>
            </w:r>
          </w:p>
        </w:tc>
        <w:tc>
          <w:tcPr>
            <w:tcW w:w="1840" w:type="dxa"/>
            <w:vAlign w:val="bottom"/>
            <w:gridSpan w:val="2"/>
          </w:tcPr>
          <w:p>
            <w:pPr>
              <w:jc w:val="right"/>
              <w:ind w:right="392"/>
              <w:spacing w:after="0"/>
              <w:rPr>
                <w:sz w:val="20"/>
                <w:szCs w:val="20"/>
                <w:color w:val="auto"/>
              </w:rPr>
            </w:pPr>
            <w:r>
              <w:rPr>
                <w:rFonts w:ascii="Times New Roman" w:cs="Times New Roman" w:eastAsia="Times New Roman" w:hAnsi="Times New Roman"/>
                <w:sz w:val="18"/>
                <w:szCs w:val="18"/>
                <w:color w:val="auto"/>
              </w:rPr>
              <w:t>160,104</w:t>
            </w:r>
          </w:p>
        </w:tc>
        <w:tc>
          <w:tcPr>
            <w:tcW w:w="300" w:type="dxa"/>
            <w:vAlign w:val="bottom"/>
          </w:tcPr>
          <w:p>
            <w:pPr>
              <w:spacing w:after="0"/>
              <w:rPr>
                <w:sz w:val="24"/>
                <w:szCs w:val="24"/>
                <w:color w:val="auto"/>
              </w:rPr>
            </w:pPr>
          </w:p>
        </w:tc>
        <w:tc>
          <w:tcPr>
            <w:tcW w:w="960" w:type="dxa"/>
            <w:vAlign w:val="bottom"/>
          </w:tcPr>
          <w:p>
            <w:pPr>
              <w:jc w:val="center"/>
              <w:ind w:left="212"/>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184785</wp:posOffset>
            </wp:positionV>
            <wp:extent cx="1123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2395" cy="8255"/>
                    </a:xfrm>
                    <a:prstGeom prst="rect">
                      <a:avLst/>
                    </a:prstGeom>
                    <a:noFill/>
                  </pic:spPr>
                </pic:pic>
              </a:graphicData>
            </a:graphic>
          </wp:anchor>
        </w:drawing>
      </w:r>
    </w:p>
    <w:p>
      <w:pPr>
        <w:spacing w:after="0" w:line="292" w:lineRule="exact"/>
        <w:rPr>
          <w:sz w:val="20"/>
          <w:szCs w:val="20"/>
          <w:color w:val="auto"/>
        </w:rPr>
      </w:pPr>
    </w:p>
    <w:p>
      <w:pPr>
        <w:ind w:right="80" w:firstLine="6"/>
        <w:spacing w:after="0" w:line="237" w:lineRule="auto"/>
        <w:tabs>
          <w:tab w:leader="none" w:pos="25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2,522,705 common shares issuable upon conversion of 9,042 shares of Class A Series 1 Preferred Shares and 214,649 Escrow Shares. Torgerson Family Trust may be deemed to have shared power to vote or to direct the vote and shared power to dispose or to direct the disposition of an aggregate of 214,649 shares held directly by Torgerson Family Trust. As one of three co-trustees of Torgerson Family Trust, Lance Torgerson may be deemed to have shared power to vote or to direct the vote and shared power to dispose or to direct the disposition of an aggregate of 214,649 shares held by Torgerson Family Trust. As one of three co-trustees of Torgerson Family Trust, Tammy Torgerson may be deemed to have shared power to vote or to direct the vote and shared power to dispose or to direct the disposition of an aggregate of 214,649 shares held directly by Torgerson Family Trust. As one of three co-trustees of Torgerson Family Trust, Richard Torgerson may be deemed to have shared power to vote or to direct the vote and shared power to dispose or to direct the disposition of an aggregate of 214,649 shares held directly by Torgerson Family Trust. Richard Torgerson disclaims beneficial ownership, voting power, and power to dispose of the 214,649 shares held directly by Torgerson Family Trust. Ownership percentage assumes the conversion of all Class A Series 1 Preferred Shares.</w:t>
      </w:r>
    </w:p>
    <w:p>
      <w:pPr>
        <w:spacing w:after="0" w:line="197" w:lineRule="exact"/>
        <w:rPr>
          <w:rFonts w:ascii="Times New Roman" w:cs="Times New Roman" w:eastAsia="Times New Roman" w:hAnsi="Times New Roman"/>
          <w:sz w:val="18"/>
          <w:szCs w:val="18"/>
          <w:color w:val="auto"/>
        </w:rPr>
      </w:pPr>
    </w:p>
    <w:p>
      <w:pPr>
        <w:ind w:right="60" w:firstLine="6"/>
        <w:spacing w:after="0" w:line="244" w:lineRule="auto"/>
        <w:tabs>
          <w:tab w:leader="none" w:pos="25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160,104 Escrow Shares. 989677 Alberta Ltd. may be deemed to have shared power to vote or to direct the vote and shared power to dispose or to direct the disposition of an aggregate of 160,104 shares held directly by 989677 Alberta Ltd. As direct owner of all of the voting shares of 989677 Alberta Ltd., Svenco Investments Ltd. may be deemed to</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240"/>
          </w:cols>
          <w:pgMar w:left="320" w:top="1313" w:right="339" w:bottom="1440" w:gutter="0" w:footer="0" w:header="0"/>
        </w:sectPr>
      </w:pPr>
    </w:p>
    <w:bookmarkStart w:id="34" w:name="page35"/>
    <w:bookmarkEnd w:id="34"/>
    <w:p>
      <w:pPr>
        <w:ind w:right="20"/>
        <w:spacing w:after="0"/>
        <w:rPr>
          <w:sz w:val="20"/>
          <w:szCs w:val="20"/>
          <w:color w:val="auto"/>
        </w:rPr>
      </w:pPr>
      <w:r>
        <w:rPr>
          <w:rFonts w:ascii="Times New Roman" w:cs="Times New Roman" w:eastAsia="Times New Roman" w:hAnsi="Times New Roman"/>
          <w:sz w:val="18"/>
          <w:szCs w:val="18"/>
          <w:color w:val="auto"/>
        </w:rPr>
        <w:t>have shared power to vote or to direct the vote and shared power to dispose or to direct the disposition of an aggregate of 160,104 shares held directly by 989677 Alberta Ltd. As sole director and indirect beneficial owner of all of the voting shares of 989677 Alberta Ltd., Lance Torgerson may be deemed to have shared power to vote or to direct the vote and shared power to dispose or to direct the disposition of an aggregate of 160,104 shares held directly by 989677 Alberta Ltd. As the spouse of Lance Torgerson, who is sole director and indirect beneficial owner of all of the voting shares of 989677 Alberta Ltd., Tammy Torgerson may be deemed to have shared power to vote or to direct the vote and shared power to dispose or to direct the disposition of an aggregate of 160,104 shares held directly by 989677 Alberta Ltd. Tammy Torgerson disclaims beneficial ownership, voting power, and power to dispose of the 160,104 shares held directly by 989677 Alberta Ltd. and indirectly by her spouse, Lance Torgerson.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246" w:lineRule="exact"/>
        <w:rPr>
          <w:sz w:val="20"/>
          <w:szCs w:val="20"/>
          <w:color w:val="auto"/>
        </w:rPr>
      </w:pPr>
    </w:p>
    <w:p>
      <w:pPr>
        <w:ind w:right="20" w:firstLine="637"/>
        <w:spacing w:after="0"/>
        <w:rPr>
          <w:sz w:val="20"/>
          <w:szCs w:val="20"/>
          <w:color w:val="auto"/>
        </w:rPr>
      </w:pPr>
      <w:r>
        <w:rPr>
          <w:rFonts w:ascii="Times New Roman" w:cs="Times New Roman" w:eastAsia="Times New Roman" w:hAnsi="Times New Roman"/>
          <w:sz w:val="18"/>
          <w:szCs w:val="18"/>
          <w:color w:val="auto"/>
        </w:rPr>
        <w:t>On April 2, 2018, in connection with our acquisition of Noralta Lodge Ltd. (the “Acquisition”), we entered into a registration rights agreement (the “Registration Rights Agreement”) with the selling shareholders, pursuant to which we agreed that, as soon as practicable following the date that is 18 months after the date of the Registration Rights Agreement, but in no event more than 30 days thereafter, we will use commercially reasonable efforts to prepare and file a shelf registration statement to register the common shares held by the selling shareholders upon the closing of the Acquisition (including any common shares held in escrow) and any common shares issued upon conversion of the Class A Series 1 Preferred Shares held by the selling shareholders upon the closing of the Acquisition (including any Class A Series 1 Preferred Shares held in escrow). We were obligated to cause such shelf registration statement to be declared effective by the SEC within 150 days after filing, and we satisfied this obligation.</w:t>
      </w:r>
    </w:p>
    <w:p>
      <w:pPr>
        <w:spacing w:after="0" w:line="209" w:lineRule="exact"/>
        <w:rPr>
          <w:sz w:val="20"/>
          <w:szCs w:val="20"/>
          <w:color w:val="auto"/>
        </w:rPr>
      </w:pPr>
    </w:p>
    <w:p>
      <w:pPr>
        <w:ind w:right="60" w:firstLine="637"/>
        <w:spacing w:after="0" w:line="238" w:lineRule="auto"/>
        <w:rPr>
          <w:sz w:val="20"/>
          <w:szCs w:val="20"/>
          <w:color w:val="auto"/>
        </w:rPr>
      </w:pPr>
      <w:r>
        <w:rPr>
          <w:rFonts w:ascii="Times New Roman" w:cs="Times New Roman" w:eastAsia="Times New Roman" w:hAnsi="Times New Roman"/>
          <w:sz w:val="18"/>
          <w:szCs w:val="18"/>
          <w:color w:val="auto"/>
        </w:rPr>
        <w:t>The selling shareholders are subject to customary standstill restrictions, including a restriction on the purchase of additional common shares, and a restriction on voting their common shares that limits the voting by such holders of common shares (including common shares held in escrow) in excess of 15% of the voting power of the outstanding common shares, which will be voted consistently with all other Civeo shareholders (other than the selling shareholders). In addition, the selling shareholders have agreed not to, directly or indirectly, (i) solicit shareholders for the approval of any shareholder proposals, (ii) propose or seek to effect a change of control of Civeo, (iii) engage in a proxy solicitation involving Civeo, or (iv) form, join or otherwise participate in a group or voting trust with respect to common shares (other than a group comprised solely of selling shareholders, their affiliates and permitted transferees) for the purpose of acquiring, holding, voting or disposing of common shares. The restrictions described in the preceding sentence shall not apply if Civeo has entered into a definitive agreement, the consummation of which would result in a change of control of Civeo, or any person has commenced a public tender or exchange offer which if consummated would result in a change of control of Civeo. The standstill and voting restrictions in the Registration Rights Agreement shall terminate at such time as the common shares owned by the selling shareholders in the aggregate no longer constitute at least five percent of the common shares then outstanding (calculated assuming conversion of all of the outstanding Class A Series 1 Preferred Shares) or upon specified bankruptcy or change of control events.</w:t>
      </w:r>
    </w:p>
    <w:p>
      <w:pPr>
        <w:spacing w:after="0" w:line="216" w:lineRule="exact"/>
        <w:rPr>
          <w:sz w:val="20"/>
          <w:szCs w:val="20"/>
          <w:color w:val="auto"/>
        </w:rPr>
      </w:pPr>
    </w:p>
    <w:p>
      <w:pPr>
        <w:ind w:right="220" w:firstLine="637"/>
        <w:spacing w:after="0" w:line="264" w:lineRule="auto"/>
        <w:rPr>
          <w:sz w:val="20"/>
          <w:szCs w:val="20"/>
          <w:color w:val="auto"/>
        </w:rPr>
      </w:pPr>
      <w:r>
        <w:rPr>
          <w:rFonts w:ascii="Times New Roman" w:cs="Times New Roman" w:eastAsia="Times New Roman" w:hAnsi="Times New Roman"/>
          <w:sz w:val="17"/>
          <w:szCs w:val="17"/>
          <w:color w:val="auto"/>
        </w:rPr>
        <w:t>The selling shareholders’ registration rights are subject to certain customary limitations, including our right to delay or withdraw a registration statement under certain circumstances. We generally will be required to bear the registration expenses, other than underwriting discounts and commissions and transfer taxes or stamp or other duties attributable to a selling shareholder’s sale or other disposition of the common shares. In addition, we will pay the reasonable fees and expenses of one legal counsel selected by the majority-in-interest of the selling shareholders participating in any public offering.</w:t>
      </w:r>
    </w:p>
    <w:p>
      <w:pPr>
        <w:spacing w:after="0" w:line="188" w:lineRule="exact"/>
        <w:rPr>
          <w:sz w:val="20"/>
          <w:szCs w:val="20"/>
          <w:color w:val="auto"/>
        </w:rPr>
      </w:pPr>
    </w:p>
    <w:p>
      <w:pPr>
        <w:ind w:firstLine="637"/>
        <w:spacing w:after="0" w:line="239" w:lineRule="auto"/>
        <w:rPr>
          <w:sz w:val="20"/>
          <w:szCs w:val="20"/>
          <w:color w:val="auto"/>
        </w:rPr>
      </w:pPr>
      <w:r>
        <w:rPr>
          <w:rFonts w:ascii="Times New Roman" w:cs="Times New Roman" w:eastAsia="Times New Roman" w:hAnsi="Times New Roman"/>
          <w:sz w:val="18"/>
          <w:szCs w:val="18"/>
          <w:color w:val="auto"/>
        </w:rPr>
        <w:t>Each selling shareholder has agreed to not transfer any of its common shares or Class A Series 1 Preferred Shares for a period of 18 months after the date of the Registration Rights Agreement, subject to certain exceptions, including transfers to affiliates. After the 18-month restricted period, any selling shareholder will be permitted to transfer its common shares in any public offering or in a sale transaction pursuant to and in accordance with Rule 144 under the Securities Act so long as no such transfer, when taken together with any and all other transfers during the period of 90 consecutive days ending on the date of such transfer, involves a number of common shares in excess of 10 percent of the number of such selling shareholder’s common shares issued to such selling shareholder in connection with the Acquisition (calculated assuming conversion of such selling shareholder’s Class A Series 1 Preferred Shares, if any). The foregoing transfer restrictions will not apply to a transfer in a public offering pursuant to a piggyback registration statement. In addition, no selling shareholder may transfer any common shares or Class A Series 1 Preferred Shares to any competitor of Civeo or any person, whether individually or as part of a group, that would then have the right to vote more than ten percent of the common shares then outstanding, other than transfers in an underwritten public offering or in a market transaction pursuant to Rule 144.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240"/>
          </w:cols>
          <w:pgMar w:left="320" w:top="1076" w:right="339"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66" w:lineRule="exact"/>
        <w:rPr>
          <w:sz w:val="20"/>
          <w:szCs w:val="20"/>
          <w:color w:val="auto"/>
        </w:rPr>
      </w:pPr>
    </w:p>
    <w:p>
      <w:pPr>
        <w:jc w:val="both"/>
        <w:ind w:right="220" w:firstLine="637"/>
        <w:spacing w:after="0" w:line="222" w:lineRule="auto"/>
        <w:rPr>
          <w:sz w:val="20"/>
          <w:szCs w:val="20"/>
          <w:color w:val="auto"/>
        </w:rPr>
      </w:pPr>
      <w:r>
        <w:rPr>
          <w:rFonts w:ascii="Times New Roman" w:cs="Times New Roman" w:eastAsia="Times New Roman" w:hAnsi="Times New Roman"/>
          <w:sz w:val="18"/>
          <w:szCs w:val="18"/>
          <w:color w:val="auto"/>
        </w:rPr>
        <w:t>As of the date of this prospectus, we have not been advised by the selling shareholders as to any plan of distribution. The selling shareholders may choose to sell some, all or none of the common shares offered by this prospectus. To the extent required, this prospectus may be amended or supplemented from time to time to describe a particular plan of distribution.</w:t>
      </w:r>
    </w:p>
    <w:p>
      <w:pPr>
        <w:spacing w:after="0" w:line="168" w:lineRule="exact"/>
        <w:rPr>
          <w:sz w:val="20"/>
          <w:szCs w:val="20"/>
          <w:color w:val="auto"/>
        </w:rPr>
      </w:pPr>
    </w:p>
    <w:p>
      <w:pPr>
        <w:ind w:right="20" w:firstLine="637"/>
        <w:spacing w:after="0" w:line="225" w:lineRule="auto"/>
        <w:rPr>
          <w:sz w:val="20"/>
          <w:szCs w:val="20"/>
          <w:color w:val="auto"/>
        </w:rPr>
      </w:pPr>
      <w:r>
        <w:rPr>
          <w:rFonts w:ascii="Times New Roman" w:cs="Times New Roman" w:eastAsia="Times New Roman" w:hAnsi="Times New Roman"/>
          <w:sz w:val="17"/>
          <w:szCs w:val="17"/>
          <w:color w:val="auto"/>
        </w:rPr>
        <w:t>The common shares held by the selling shareholders, or by their partners, pledgees, donees (including charitable organizations), transferees or other successors in interest, may from time to time be offered for sale either directly by the selling shareholders or other persons, or through underwriters, dealers or agents or on any exchange on which the common shares may from time to time be traded, in the over-the-counter markets or in independently negotiated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or otherwise. The methods by which the common shares may be sold include:</w:t>
      </w:r>
    </w:p>
    <w:p>
      <w:pPr>
        <w:spacing w:after="0" w:line="158" w:lineRule="exact"/>
        <w:rPr>
          <w:sz w:val="20"/>
          <w:szCs w:val="20"/>
          <w:color w:val="auto"/>
        </w:rPr>
      </w:pPr>
    </w:p>
    <w:p>
      <w:pPr>
        <w:ind w:left="960" w:hanging="317"/>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177" w:lineRule="exact"/>
        <w:rPr>
          <w:rFonts w:ascii="Times New Roman" w:cs="Times New Roman" w:eastAsia="Times New Roman" w:hAnsi="Times New Roman"/>
          <w:sz w:val="18"/>
          <w:szCs w:val="18"/>
          <w:color w:val="auto"/>
        </w:rPr>
      </w:pPr>
    </w:p>
    <w:p>
      <w:pPr>
        <w:ind w:left="960" w:right="40" w:hanging="317"/>
        <w:spacing w:after="0" w:line="227" w:lineRule="auto"/>
        <w:tabs>
          <w:tab w:leader="none" w:pos="9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block trade (which may involve crosses in which the same broker-dealer acts as agent on both sides) in which the broker or dealer so engaged will attempt to sell the common shares as agent or as riskless principal but may position and resell a portion of the block as principal to facilitate the transaction;</w:t>
      </w:r>
    </w:p>
    <w:p>
      <w:pPr>
        <w:spacing w:after="0" w:line="155"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 or dealer as principal and resales by such broker or dealer for its own account pursuant to this prospectus;</w:t>
      </w:r>
    </w:p>
    <w:p>
      <w:pPr>
        <w:spacing w:after="0" w:line="190" w:lineRule="exact"/>
        <w:rPr>
          <w:rFonts w:ascii="Times New Roman" w:cs="Times New Roman" w:eastAsia="Times New Roman" w:hAnsi="Times New Roman"/>
          <w:sz w:val="18"/>
          <w:szCs w:val="18"/>
          <w:color w:val="auto"/>
        </w:rPr>
      </w:pPr>
    </w:p>
    <w:p>
      <w:pPr>
        <w:ind w:left="960" w:right="500" w:hanging="317"/>
        <w:spacing w:after="0" w:line="234" w:lineRule="auto"/>
        <w:tabs>
          <w:tab w:leader="none" w:pos="9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distributions and/or secondary distributions in accordance with the rules of the NYSE or any other applicable national securities exchange on which the common shares are listed;</w:t>
      </w:r>
    </w:p>
    <w:p>
      <w:pPr>
        <w:spacing w:after="0" w:line="153" w:lineRule="exact"/>
        <w:rPr>
          <w:rFonts w:ascii="Times New Roman" w:cs="Times New Roman" w:eastAsia="Times New Roman" w:hAnsi="Times New Roman"/>
          <w:sz w:val="18"/>
          <w:szCs w:val="18"/>
          <w:color w:val="auto"/>
        </w:rPr>
      </w:pPr>
    </w:p>
    <w:p>
      <w:pPr>
        <w:ind w:left="960" w:hanging="317"/>
        <w:spacing w:after="0" w:line="227" w:lineRule="auto"/>
        <w:tabs>
          <w:tab w:leader="none" w:pos="9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on any national securities exchange or quotation service on which the common shares may be listed or quoted at the time of the sale, including the NYSE, in the over-the-counter markets or through a market maker or into an existing trading market (on an exchange or otherwise) for the common shares;</w:t>
      </w:r>
    </w:p>
    <w:p>
      <w:pPr>
        <w:spacing w:after="0" w:line="155"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underwritten transactions;</w:t>
      </w:r>
    </w:p>
    <w:p>
      <w:pPr>
        <w:spacing w:after="0" w:line="190"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whether through a broker-dealer or otherwise;</w:t>
      </w:r>
    </w:p>
    <w:p>
      <w:pPr>
        <w:spacing w:after="0" w:line="177" w:lineRule="exact"/>
        <w:rPr>
          <w:rFonts w:ascii="Times New Roman" w:cs="Times New Roman" w:eastAsia="Times New Roman" w:hAnsi="Times New Roman"/>
          <w:sz w:val="18"/>
          <w:szCs w:val="18"/>
          <w:color w:val="auto"/>
        </w:rPr>
      </w:pPr>
    </w:p>
    <w:p>
      <w:pPr>
        <w:ind w:left="960" w:right="80" w:hanging="317"/>
        <w:spacing w:after="0" w:line="234" w:lineRule="auto"/>
        <w:tabs>
          <w:tab w:leader="none" w:pos="9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in which broker-dealers may agree with the selling shareholders to sell a specified number of such common shares at a stipulated price per share;</w:t>
      </w:r>
    </w:p>
    <w:p>
      <w:pPr>
        <w:spacing w:after="0" w:line="166"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77" w:lineRule="exact"/>
        <w:rPr>
          <w:rFonts w:ascii="Times New Roman" w:cs="Times New Roman" w:eastAsia="Times New Roman" w:hAnsi="Times New Roman"/>
          <w:sz w:val="18"/>
          <w:szCs w:val="18"/>
          <w:color w:val="auto"/>
        </w:rPr>
      </w:pPr>
    </w:p>
    <w:p>
      <w:pPr>
        <w:ind w:left="960" w:right="220" w:hanging="317"/>
        <w:spacing w:after="0" w:line="234" w:lineRule="auto"/>
        <w:tabs>
          <w:tab w:leader="none" w:pos="9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pledges of the common shares as security for any loan or obligation, including pledges to brokers or dealers who may from time to time effect sales or other distributions of the securities;</w:t>
      </w:r>
    </w:p>
    <w:p>
      <w:pPr>
        <w:spacing w:after="0" w:line="166"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and</w:t>
      </w:r>
    </w:p>
    <w:p>
      <w:pPr>
        <w:spacing w:after="0" w:line="177"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selling shareholders may effect such transactions by selling the common shares to underwriters or to or through broker-dealers, and such</w:t>
      </w:r>
    </w:p>
    <w:p>
      <w:pPr>
        <w:ind w:right="200"/>
        <w:spacing w:after="0" w:line="217" w:lineRule="auto"/>
        <w:rPr>
          <w:sz w:val="20"/>
          <w:szCs w:val="20"/>
          <w:color w:val="auto"/>
        </w:rPr>
      </w:pPr>
      <w:r>
        <w:rPr>
          <w:rFonts w:ascii="Times New Roman" w:cs="Times New Roman" w:eastAsia="Times New Roman" w:hAnsi="Times New Roman"/>
          <w:sz w:val="17"/>
          <w:szCs w:val="17"/>
          <w:color w:val="auto"/>
        </w:rPr>
        <w:t>underwriters or broker-dealers may receive compensation in the form of discounts or commissions from the selling shareholders and may receive commissions from the purchasers of the common shares for whom they may act as agents. Such transactions may be effected by the selling shareholders at fixed prices, which may be changed, market prices prevailing at the time of sale, varying prices determined at the time of sale or at negotiated prices. These</w:t>
      </w:r>
    </w:p>
    <w:p>
      <w:pPr>
        <w:jc w:val="both"/>
        <w:ind w:right="460"/>
        <w:spacing w:after="0" w:line="215" w:lineRule="auto"/>
        <w:rPr>
          <w:sz w:val="20"/>
          <w:szCs w:val="20"/>
          <w:color w:val="auto"/>
        </w:rPr>
      </w:pPr>
      <w:r>
        <w:rPr>
          <w:rFonts w:ascii="Times New Roman" w:cs="Times New Roman" w:eastAsia="Times New Roman" w:hAnsi="Times New Roman"/>
          <w:sz w:val="18"/>
          <w:szCs w:val="18"/>
          <w:color w:val="auto"/>
        </w:rPr>
        <w:t>prices will be determined by the selling shareholders or by agreement between the selling shareholders and any underwriters or broker-dealers who may receive fees or commissions in connection with the sale. The aggregate proceeds to the selling shareholders from the sale of the common shares offered hereby will be the purchase price of the common shares less discounts and commissions, if any.</w:t>
      </w:r>
    </w:p>
    <w:p>
      <w:pPr>
        <w:spacing w:after="0" w:line="1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If the selling shareholders utilize a dealer in the sale of the common shares, the selling shareholders will sell those common shares to the dealer, as</w:t>
      </w:r>
    </w:p>
    <w:p>
      <w:pPr>
        <w:ind w:right="20"/>
        <w:spacing w:after="0" w:line="215" w:lineRule="auto"/>
        <w:rPr>
          <w:sz w:val="20"/>
          <w:szCs w:val="20"/>
          <w:color w:val="auto"/>
        </w:rPr>
      </w:pPr>
      <w:r>
        <w:rPr>
          <w:rFonts w:ascii="Times New Roman" w:cs="Times New Roman" w:eastAsia="Times New Roman" w:hAnsi="Times New Roman"/>
          <w:sz w:val="18"/>
          <w:szCs w:val="18"/>
          <w:color w:val="auto"/>
        </w:rPr>
        <w:t>principal. The dealer may then resell those common shares to the public at varying prices to be determined by the dealer at the time of resale. The dealers may also be the selling shareholders’ customers or may engage in transactions with, or perform services for, the selling shareholders in the ordinary course of business.</w:t>
      </w:r>
    </w:p>
    <w:p>
      <w:pPr>
        <w:spacing w:after="0" w:line="167" w:lineRule="exact"/>
        <w:rPr>
          <w:sz w:val="20"/>
          <w:szCs w:val="20"/>
          <w:color w:val="auto"/>
        </w:rPr>
      </w:pPr>
    </w:p>
    <w:p>
      <w:pPr>
        <w:ind w:right="60" w:firstLine="637"/>
        <w:spacing w:after="0" w:line="225" w:lineRule="auto"/>
        <w:rPr>
          <w:sz w:val="20"/>
          <w:szCs w:val="20"/>
          <w:color w:val="auto"/>
        </w:rPr>
      </w:pPr>
      <w:r>
        <w:rPr>
          <w:rFonts w:ascii="Times New Roman" w:cs="Times New Roman" w:eastAsia="Times New Roman" w:hAnsi="Times New Roman"/>
          <w:sz w:val="17"/>
          <w:szCs w:val="17"/>
          <w:color w:val="auto"/>
        </w:rPr>
        <w:t>In addition, the selling shareholders may from time to time sell securities in compliance with Rule 144 under the Securities Act, if available, or pursuant to other available exemptions from the registration requirements under the Securities Act, rather than pursuant to this prospectus. In such event, the selling shareholders may be required by the securities laws of certain states to offer and sell the common shares only through registered or licensed brokers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dealers.</w:t>
      </w:r>
    </w:p>
    <w:p>
      <w:pPr>
        <w:sectPr>
          <w:pgSz w:w="11900" w:h="16838" w:orient="portrait"/>
          <w:cols w:equalWidth="0" w:num="1">
            <w:col w:w="11220"/>
          </w:cols>
          <w:pgMar w:left="320" w:top="131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11220"/>
          </w:cols>
          <w:pgMar w:left="320" w:top="1313" w:right="359" w:bottom="1440" w:gutter="0" w:footer="0" w:header="0"/>
          <w:type w:val="continuous"/>
        </w:sectPr>
      </w:pPr>
    </w:p>
    <w:bookmarkStart w:id="36" w:name="page37"/>
    <w:bookmarkEnd w:id="36"/>
    <w:p>
      <w:pPr>
        <w:ind w:right="320" w:firstLine="637"/>
        <w:spacing w:after="0" w:line="232" w:lineRule="auto"/>
        <w:rPr>
          <w:sz w:val="20"/>
          <w:szCs w:val="20"/>
          <w:color w:val="auto"/>
        </w:rPr>
      </w:pPr>
      <w:r>
        <w:rPr>
          <w:rFonts w:ascii="Times New Roman" w:cs="Times New Roman" w:eastAsia="Times New Roman" w:hAnsi="Times New Roman"/>
          <w:sz w:val="17"/>
          <w:szCs w:val="17"/>
          <w:color w:val="auto"/>
        </w:rPr>
        <w:t>Under the Registration Rights Agreement, we have agreed to indemnify the selling shareholders against any losses, claims, damages or liabilities resulting from any untrue statement or omission of a material fact in any registration statement or prospectus pursuant to which they sell common shares,</w:t>
      </w:r>
    </w:p>
    <w:p>
      <w:pPr>
        <w:ind w:right="260"/>
        <w:spacing w:after="0" w:line="217" w:lineRule="auto"/>
        <w:rPr>
          <w:sz w:val="20"/>
          <w:szCs w:val="20"/>
          <w:color w:val="auto"/>
        </w:rPr>
      </w:pPr>
      <w:r>
        <w:rPr>
          <w:rFonts w:ascii="Times New Roman" w:cs="Times New Roman" w:eastAsia="Times New Roman" w:hAnsi="Times New Roman"/>
          <w:sz w:val="17"/>
          <w:szCs w:val="17"/>
          <w:color w:val="auto"/>
        </w:rPr>
        <w:t>unless such liability arose from their misstatement or omission, and each of the selling shareholders, severally and individually, has agreed to indemnify us against any losses, claims, damages or liabilities caused by such selling shareholder’s misstatements or omissions in those documents. We and the selling shareholders may agree to indemnify underwriters, brokers, dealers and agents who participate in the distribution of the common shares included in this</w:t>
      </w:r>
    </w:p>
    <w:p>
      <w:pPr>
        <w:ind w:right="120"/>
        <w:spacing w:after="0" w:line="222" w:lineRule="auto"/>
        <w:rPr>
          <w:sz w:val="20"/>
          <w:szCs w:val="20"/>
          <w:color w:val="auto"/>
        </w:rPr>
      </w:pPr>
      <w:r>
        <w:rPr>
          <w:rFonts w:ascii="Times New Roman" w:cs="Times New Roman" w:eastAsia="Times New Roman" w:hAnsi="Times New Roman"/>
          <w:sz w:val="18"/>
          <w:szCs w:val="18"/>
          <w:color w:val="auto"/>
        </w:rPr>
        <w:t>prospectus against certain liabilities to which they may become subject in connection with the sale of such common shares, including liabilities arising under the Securities Act.</w:t>
      </w:r>
    </w:p>
    <w:p>
      <w:pPr>
        <w:spacing w:after="0" w:line="1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selling shareholders and other persons participating in the sale or distribution of the common shares will be subject to applicable provisions of</w:t>
      </w:r>
    </w:p>
    <w:p>
      <w:pPr>
        <w:ind w:right="80"/>
        <w:spacing w:after="0" w:line="217" w:lineRule="auto"/>
        <w:rPr>
          <w:sz w:val="20"/>
          <w:szCs w:val="20"/>
          <w:color w:val="auto"/>
        </w:rPr>
      </w:pPr>
      <w:r>
        <w:rPr>
          <w:rFonts w:ascii="Times New Roman" w:cs="Times New Roman" w:eastAsia="Times New Roman" w:hAnsi="Times New Roman"/>
          <w:sz w:val="17"/>
          <w:szCs w:val="17"/>
          <w:color w:val="auto"/>
        </w:rPr>
        <w:t>the Securities Exchange Act of 1934 (the “Exchange Act”), and the rules and regulations thereunder, including Regulation M. This regulation may limit the timing of purchases and sales of any of the common shares by the selling shareholders and any other person. The anti-manipulation rules under the Exchange Act may apply to sales of securities in the market and to the activities of the selling shareholders and their affiliates. Furthermore, Regulation M may restrict</w:t>
      </w:r>
    </w:p>
    <w:p>
      <w:pPr>
        <w:jc w:val="both"/>
        <w:ind w:right="20"/>
        <w:spacing w:after="0" w:line="215" w:lineRule="auto"/>
        <w:rPr>
          <w:sz w:val="20"/>
          <w:szCs w:val="20"/>
          <w:color w:val="auto"/>
        </w:rPr>
      </w:pPr>
      <w:r>
        <w:rPr>
          <w:rFonts w:ascii="Times New Roman" w:cs="Times New Roman" w:eastAsia="Times New Roman" w:hAnsi="Times New Roman"/>
          <w:sz w:val="18"/>
          <w:szCs w:val="18"/>
          <w:color w:val="auto"/>
        </w:rPr>
        <w:t>the ability of any person engaged in the distribution of the common shares to engage in market-making activities with respect to the particular securities being distributed for a period of up to five business days before the distribution. These restrictions may affect the marketability of the common shares and the ability of any person or entity to engage in market-making activities with respect to the common shares.</w:t>
      </w:r>
    </w:p>
    <w:p>
      <w:pPr>
        <w:spacing w:after="0" w:line="167" w:lineRule="exact"/>
        <w:rPr>
          <w:sz w:val="20"/>
          <w:szCs w:val="20"/>
          <w:color w:val="auto"/>
        </w:rPr>
      </w:pPr>
    </w:p>
    <w:p>
      <w:pPr>
        <w:ind w:right="180" w:firstLine="637"/>
        <w:spacing w:after="0" w:line="235" w:lineRule="auto"/>
        <w:rPr>
          <w:sz w:val="20"/>
          <w:szCs w:val="20"/>
          <w:color w:val="auto"/>
        </w:rPr>
      </w:pPr>
      <w:r>
        <w:rPr>
          <w:rFonts w:ascii="Times New Roman" w:cs="Times New Roman" w:eastAsia="Times New Roman" w:hAnsi="Times New Roman"/>
          <w:sz w:val="17"/>
          <w:szCs w:val="17"/>
          <w:color w:val="auto"/>
        </w:rPr>
        <w:t>In connection with sales of the common shares under this prospectus, the selling shareholders may enter into hedging transactions with broker-dealers, who may in turn engage in short sales of the common shares in the course of hedging the positions they assume. The selling shareholders also may sell common shares short and deliver them to close out the short positions or loan or pledge the common shares to broker-dealers that in turn may sell them.</w:t>
      </w:r>
    </w:p>
    <w:p>
      <w:pPr>
        <w:spacing w:after="0" w:line="169" w:lineRule="exact"/>
        <w:rPr>
          <w:sz w:val="20"/>
          <w:szCs w:val="20"/>
          <w:color w:val="auto"/>
        </w:rPr>
      </w:pPr>
    </w:p>
    <w:p>
      <w:pPr>
        <w:jc w:val="both"/>
        <w:ind w:right="120" w:firstLine="637"/>
        <w:spacing w:after="0" w:line="225" w:lineRule="auto"/>
        <w:rPr>
          <w:sz w:val="20"/>
          <w:szCs w:val="20"/>
          <w:color w:val="auto"/>
        </w:rPr>
      </w:pPr>
      <w:r>
        <w:rPr>
          <w:rFonts w:ascii="Times New Roman" w:cs="Times New Roman" w:eastAsia="Times New Roman" w:hAnsi="Times New Roman"/>
          <w:sz w:val="17"/>
          <w:szCs w:val="17"/>
          <w:color w:val="auto"/>
        </w:rPr>
        <w:t>From time to time, one or more of the selling shareholders may pledge, hypothecate or grant a security interest in some or all of the common shares owned by them. The pledgees, secured parties or persons to whom the common shares have been hypothecated will, upon foreclosure in the event of default, be deemed to be selling shareholders. The number of a selling shareholder’s common shares offered under this prospectus will decrease as and when it takes</w:t>
      </w:r>
    </w:p>
    <w:p>
      <w:pPr>
        <w:spacing w:after="0" w:line="1" w:lineRule="exact"/>
        <w:rPr>
          <w:sz w:val="20"/>
          <w:szCs w:val="20"/>
          <w:color w:val="auto"/>
        </w:rPr>
      </w:pPr>
    </w:p>
    <w:p>
      <w:pPr>
        <w:jc w:val="both"/>
        <w:ind w:right="120"/>
        <w:spacing w:after="0" w:line="215" w:lineRule="auto"/>
        <w:rPr>
          <w:sz w:val="20"/>
          <w:szCs w:val="20"/>
          <w:color w:val="auto"/>
        </w:rPr>
      </w:pPr>
      <w:r>
        <w:rPr>
          <w:rFonts w:ascii="Times New Roman" w:cs="Times New Roman" w:eastAsia="Times New Roman" w:hAnsi="Times New Roman"/>
          <w:sz w:val="18"/>
          <w:szCs w:val="18"/>
          <w:color w:val="auto"/>
        </w:rPr>
        <w:t>such actions. The plan of distribution for that selling shareholder’s common shares will otherwise remain unchanged. In addition, a selling shareholder may, from time to time, sell the common shares short, and, in those instances, this prospectus may be delivered in connection with the short sales and the common shares offered under this prospectus may be used to cover short sales.</w:t>
      </w:r>
    </w:p>
    <w:p>
      <w:pPr>
        <w:spacing w:after="0" w:line="167" w:lineRule="exact"/>
        <w:rPr>
          <w:sz w:val="20"/>
          <w:szCs w:val="20"/>
          <w:color w:val="auto"/>
        </w:rPr>
      </w:pPr>
    </w:p>
    <w:p>
      <w:pPr>
        <w:ind w:right="20" w:firstLine="637"/>
        <w:spacing w:after="0" w:line="225" w:lineRule="auto"/>
        <w:rPr>
          <w:sz w:val="20"/>
          <w:szCs w:val="20"/>
          <w:color w:val="auto"/>
        </w:rPr>
      </w:pPr>
      <w:r>
        <w:rPr>
          <w:rFonts w:ascii="Times New Roman" w:cs="Times New Roman" w:eastAsia="Times New Roman" w:hAnsi="Times New Roman"/>
          <w:sz w:val="17"/>
          <w:szCs w:val="17"/>
          <w:color w:val="auto"/>
        </w:rPr>
        <w:t>The selling shareholders may sell the common shares they hold using a public auction process in which the public offering price and the allocation of the common shares will be determined through an auction conducted by an auction agent. The auction process may involve a modified “Dutch auction” mechanic in which the auction agent (and potentially other brokers) will receive and accept bids from bidders at either a minimum bid price or at price</w:t>
      </w:r>
    </w:p>
    <w:p>
      <w:pPr>
        <w:spacing w:after="0" w:line="1" w:lineRule="exact"/>
        <w:rPr>
          <w:sz w:val="20"/>
          <w:szCs w:val="20"/>
          <w:color w:val="auto"/>
        </w:rPr>
      </w:pPr>
    </w:p>
    <w:p>
      <w:pPr>
        <w:ind w:right="100"/>
        <w:spacing w:after="0" w:line="217" w:lineRule="auto"/>
        <w:rPr>
          <w:sz w:val="20"/>
          <w:szCs w:val="20"/>
          <w:color w:val="auto"/>
        </w:rPr>
      </w:pPr>
      <w:r>
        <w:rPr>
          <w:rFonts w:ascii="Times New Roman" w:cs="Times New Roman" w:eastAsia="Times New Roman" w:hAnsi="Times New Roman"/>
          <w:sz w:val="17"/>
          <w:szCs w:val="17"/>
          <w:color w:val="auto"/>
        </w:rPr>
        <w:t>increments in excess of the minimum bid price. The auction agent and any such other brokers may be the underwriters of the offering or their affiliates. After the auction closes and those bids become irrevocable, the auction agent will determine the clearing price for the sale of the common shares offered in the auction, and subject to agreement between the selling shareholders and the underwriter or underwriters to proceed with the offering, the common shares will</w:t>
      </w:r>
    </w:p>
    <w:p>
      <w:pPr>
        <w:jc w:val="both"/>
        <w:ind w:right="120"/>
        <w:spacing w:after="0" w:line="222" w:lineRule="auto"/>
        <w:rPr>
          <w:sz w:val="20"/>
          <w:szCs w:val="20"/>
          <w:color w:val="auto"/>
        </w:rPr>
      </w:pPr>
      <w:r>
        <w:rPr>
          <w:rFonts w:ascii="Times New Roman" w:cs="Times New Roman" w:eastAsia="Times New Roman" w:hAnsi="Times New Roman"/>
          <w:sz w:val="18"/>
          <w:szCs w:val="18"/>
          <w:color w:val="auto"/>
        </w:rPr>
        <w:t>be allocated to winning bidders by the underwriter or underwriters. If the selling shareholders use a public auction process to sell the common shares, a more detailed description of the procedures to be used in connection with any such auction will be set forth in a pricing supplement to this prospectus.</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selling shareholders or their respective underwriters, broker-dealers, or agents may make sales of the common shares that are deemed to be an at-</w:t>
      </w:r>
    </w:p>
    <w:p>
      <w:pPr>
        <w:spacing w:after="0" w:line="10" w:lineRule="exact"/>
        <w:rPr>
          <w:sz w:val="20"/>
          <w:szCs w:val="20"/>
          <w:color w:val="auto"/>
        </w:rPr>
      </w:pPr>
    </w:p>
    <w:p>
      <w:pPr>
        <w:ind w:right="520"/>
        <w:spacing w:after="0" w:line="222" w:lineRule="auto"/>
        <w:rPr>
          <w:sz w:val="20"/>
          <w:szCs w:val="20"/>
          <w:color w:val="auto"/>
        </w:rPr>
      </w:pPr>
      <w:r>
        <w:rPr>
          <w:rFonts w:ascii="Times New Roman" w:cs="Times New Roman" w:eastAsia="Times New Roman" w:hAnsi="Times New Roman"/>
          <w:sz w:val="18"/>
          <w:szCs w:val="18"/>
          <w:color w:val="auto"/>
        </w:rPr>
        <w:t>the-market offering as defined in Securities Act Rule 415, which includes sales of such selling shareholders made directly on or through the NYSE, the existing trading market for the common shares, or in the over-the-counter market or otherwise.</w:t>
      </w:r>
    </w:p>
    <w:p>
      <w:pPr>
        <w:spacing w:after="0" w:line="154" w:lineRule="exact"/>
        <w:rPr>
          <w:sz w:val="20"/>
          <w:szCs w:val="20"/>
          <w:color w:val="auto"/>
        </w:rPr>
      </w:pPr>
    </w:p>
    <w:p>
      <w:pPr>
        <w:ind w:right="140" w:firstLine="637"/>
        <w:spacing w:after="0" w:line="232" w:lineRule="auto"/>
        <w:rPr>
          <w:sz w:val="20"/>
          <w:szCs w:val="20"/>
          <w:color w:val="auto"/>
        </w:rPr>
      </w:pPr>
      <w:r>
        <w:rPr>
          <w:rFonts w:ascii="Times New Roman" w:cs="Times New Roman" w:eastAsia="Times New Roman" w:hAnsi="Times New Roman"/>
          <w:sz w:val="17"/>
          <w:szCs w:val="17"/>
          <w:color w:val="auto"/>
        </w:rPr>
        <w:t>The selling shareholders and any underwriters, broker-dealers or agents who participate in the distribution of the common shares may be deemed to be “underwriters” within the meaning of the Securities Act. To the extent any of the selling shareholders are broker-dealers, they are, according to SEC</w:t>
      </w:r>
    </w:p>
    <w:p>
      <w:pPr>
        <w:jc w:val="both"/>
        <w:ind w:right="120"/>
        <w:spacing w:after="0" w:line="215" w:lineRule="auto"/>
        <w:rPr>
          <w:sz w:val="20"/>
          <w:szCs w:val="20"/>
          <w:color w:val="auto"/>
        </w:rPr>
      </w:pPr>
      <w:r>
        <w:rPr>
          <w:rFonts w:ascii="Times New Roman" w:cs="Times New Roman" w:eastAsia="Times New Roman" w:hAnsi="Times New Roman"/>
          <w:sz w:val="18"/>
          <w:szCs w:val="18"/>
          <w:color w:val="auto"/>
        </w:rPr>
        <w:t>interpretation, “underwriters” within the meaning of the Securities Act. Underwriters are subject to the prospectus delivery requirements under the Securities Act. If the selling shareholders are deemed to be underwriters, the selling shareholders may be subject to certain statutory liabilities under the Securities Act and the Exchange Act.</w:t>
      </w:r>
    </w:p>
    <w:p>
      <w:pPr>
        <w:spacing w:after="0" w:line="167" w:lineRule="exact"/>
        <w:rPr>
          <w:sz w:val="20"/>
          <w:szCs w:val="20"/>
          <w:color w:val="auto"/>
        </w:rPr>
      </w:pPr>
    </w:p>
    <w:p>
      <w:pPr>
        <w:jc w:val="both"/>
        <w:ind w:right="260" w:firstLine="637"/>
        <w:spacing w:after="0" w:line="225" w:lineRule="auto"/>
        <w:rPr>
          <w:sz w:val="20"/>
          <w:szCs w:val="20"/>
          <w:color w:val="auto"/>
        </w:rPr>
      </w:pPr>
      <w:r>
        <w:rPr>
          <w:rFonts w:ascii="Times New Roman" w:cs="Times New Roman" w:eastAsia="Times New Roman" w:hAnsi="Times New Roman"/>
          <w:sz w:val="17"/>
          <w:szCs w:val="17"/>
          <w:color w:val="auto"/>
        </w:rPr>
        <w:t>To the extent required, the names of the specific managing underwriter or underwriters, if any, as well as other important information, will be set forth in one or more prospectus supplements. In that event, the discounts and commissions the selling shareholders will allow or pay to the underwriters, if any, and the discounts and commissions the underwriters may allow or pay to dealers or agents, if any, will be set forth in, or may be calculated from, the</w:t>
      </w:r>
    </w:p>
    <w:p>
      <w:pPr>
        <w:spacing w:after="0" w:line="1" w:lineRule="exact"/>
        <w:rPr>
          <w:sz w:val="20"/>
          <w:szCs w:val="20"/>
          <w:color w:val="auto"/>
        </w:rPr>
      </w:pPr>
    </w:p>
    <w:p>
      <w:pPr>
        <w:ind w:right="360"/>
        <w:spacing w:after="0" w:line="222" w:lineRule="auto"/>
        <w:rPr>
          <w:sz w:val="20"/>
          <w:szCs w:val="20"/>
          <w:color w:val="auto"/>
        </w:rPr>
      </w:pPr>
      <w:r>
        <w:rPr>
          <w:rFonts w:ascii="Times New Roman" w:cs="Times New Roman" w:eastAsia="Times New Roman" w:hAnsi="Times New Roman"/>
          <w:sz w:val="18"/>
          <w:szCs w:val="18"/>
          <w:color w:val="auto"/>
        </w:rPr>
        <w:t>prospectus supplements. Any underwriters, brokers, dealers and agents who participate in any sale of the common shares may also engage in transactions with, or perform services for, us or our affiliates in the ordinary course of their businesses.</w:t>
      </w:r>
    </w:p>
    <w:p>
      <w:pPr>
        <w:spacing w:after="0" w:line="154" w:lineRule="exact"/>
        <w:rPr>
          <w:sz w:val="20"/>
          <w:szCs w:val="20"/>
          <w:color w:val="auto"/>
        </w:rPr>
      </w:pPr>
    </w:p>
    <w:p>
      <w:pPr>
        <w:ind w:right="120" w:firstLine="637"/>
        <w:spacing w:after="0" w:line="243" w:lineRule="auto"/>
        <w:rPr>
          <w:sz w:val="20"/>
          <w:szCs w:val="20"/>
          <w:color w:val="auto"/>
        </w:rPr>
      </w:pPr>
      <w:r>
        <w:rPr>
          <w:rFonts w:ascii="Times New Roman" w:cs="Times New Roman" w:eastAsia="Times New Roman" w:hAnsi="Times New Roman"/>
          <w:sz w:val="18"/>
          <w:szCs w:val="18"/>
          <w:color w:val="auto"/>
        </w:rPr>
        <w:t>To the extent required, this prospectus may be amended or supplemented from time to time to describe a specific plan of distribution. The place and time of delivery for the common shares in respect of which this prospectus is delivered will be set forth in the accompanying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11220"/>
          </w:cols>
          <w:pgMar w:left="320" w:top="1063" w:right="359" w:bottom="1440" w:gutter="0" w:footer="0" w:header="0"/>
        </w:sectPr>
      </w:pPr>
    </w:p>
    <w:bookmarkStart w:id="37" w:name="page38"/>
    <w:bookmarkEnd w:id="37"/>
    <w:p>
      <w:pPr>
        <w:ind w:right="40" w:firstLine="637"/>
        <w:spacing w:after="0" w:line="232" w:lineRule="auto"/>
        <w:rPr>
          <w:sz w:val="20"/>
          <w:szCs w:val="20"/>
          <w:color w:val="auto"/>
        </w:rPr>
      </w:pPr>
      <w:r>
        <w:rPr>
          <w:rFonts w:ascii="Times New Roman" w:cs="Times New Roman" w:eastAsia="Times New Roman" w:hAnsi="Times New Roman"/>
          <w:sz w:val="17"/>
          <w:szCs w:val="17"/>
          <w:color w:val="auto"/>
        </w:rPr>
        <w:t>In connection with offerings under this shelf registration statement and in compliance with applicable law, underwriters, brokers or dealers may engage in transactions that stabilize or maintain the market price of the common shares at levels above those that might otherwise prevail in the open market.</w:t>
      </w:r>
    </w:p>
    <w:p>
      <w:pPr>
        <w:ind w:right="40"/>
        <w:spacing w:after="0" w:line="217" w:lineRule="auto"/>
        <w:rPr>
          <w:sz w:val="20"/>
          <w:szCs w:val="20"/>
          <w:color w:val="auto"/>
        </w:rPr>
      </w:pPr>
      <w:r>
        <w:rPr>
          <w:rFonts w:ascii="Times New Roman" w:cs="Times New Roman" w:eastAsia="Times New Roman" w:hAnsi="Times New Roman"/>
          <w:sz w:val="17"/>
          <w:szCs w:val="17"/>
          <w:color w:val="auto"/>
        </w:rPr>
        <w:t>Specifically, underwriters, brokers or dealers may overallot in connection with offerings, creating a short position in the common shares for their own accounts. For the purpose of covering a syndicate short position or stabilizing the price of the common shares, the underwriters, brokers or dealers may place bids for the common shares or effect purchases of the common shares in the open market. Finally, the underwriters may impose a penalty whereby selling</w:t>
      </w:r>
    </w:p>
    <w:p>
      <w:pPr>
        <w:spacing w:after="0" w:line="217" w:lineRule="auto"/>
        <w:rPr>
          <w:sz w:val="20"/>
          <w:szCs w:val="20"/>
          <w:color w:val="auto"/>
        </w:rPr>
      </w:pPr>
      <w:r>
        <w:rPr>
          <w:rFonts w:ascii="Times New Roman" w:cs="Times New Roman" w:eastAsia="Times New Roman" w:hAnsi="Times New Roman"/>
          <w:sz w:val="17"/>
          <w:szCs w:val="17"/>
          <w:color w:val="auto"/>
        </w:rPr>
        <w:t>concessions allowed to syndicate members or other brokers or dealers for distribution of the common shares in offerings may be reclaimed by the syndicate if the syndicate repurchases the previously distributed common shares in transactions to cover short positions, in stabilization transactions or otherwise. These activities may stabilize, maintain or otherwise affect the market price of the common shares, which may be higher than the price that might otherwise prevail</w:t>
      </w:r>
    </w:p>
    <w:p>
      <w:pPr>
        <w:spacing w:after="0"/>
        <w:rPr>
          <w:sz w:val="20"/>
          <w:szCs w:val="20"/>
          <w:color w:val="auto"/>
        </w:rPr>
      </w:pPr>
      <w:r>
        <w:rPr>
          <w:rFonts w:ascii="Times New Roman" w:cs="Times New Roman" w:eastAsia="Times New Roman" w:hAnsi="Times New Roman"/>
          <w:sz w:val="18"/>
          <w:szCs w:val="18"/>
          <w:color w:val="auto"/>
        </w:rPr>
        <w:t>in the open market, and, if commenced, may be discontinued at any time.</w:t>
      </w:r>
    </w:p>
    <w:p>
      <w:pPr>
        <w:spacing w:after="0" w:line="158" w:lineRule="exact"/>
        <w:rPr>
          <w:sz w:val="20"/>
          <w:szCs w:val="20"/>
          <w:color w:val="auto"/>
        </w:rPr>
      </w:pPr>
    </w:p>
    <w:p>
      <w:pPr>
        <w:ind w:firstLine="637"/>
        <w:spacing w:after="0" w:line="234" w:lineRule="auto"/>
        <w:rPr>
          <w:sz w:val="20"/>
          <w:szCs w:val="20"/>
          <w:color w:val="auto"/>
        </w:rPr>
      </w:pPr>
      <w:r>
        <w:rPr>
          <w:rFonts w:ascii="Times New Roman" w:cs="Times New Roman" w:eastAsia="Times New Roman" w:hAnsi="Times New Roman"/>
          <w:sz w:val="18"/>
          <w:szCs w:val="18"/>
          <w:color w:val="auto"/>
        </w:rPr>
        <w:t>These transactions may be effected on or through the NYSE, the existing trading market for the common shares, or in the over-the-counter market or otherwise.</w:t>
      </w:r>
    </w:p>
    <w:p>
      <w:pPr>
        <w:spacing w:after="0" w:line="167" w:lineRule="exact"/>
        <w:rPr>
          <w:sz w:val="20"/>
          <w:szCs w:val="20"/>
          <w:color w:val="auto"/>
        </w:rPr>
      </w:pPr>
    </w:p>
    <w:p>
      <w:pPr>
        <w:ind w:right="180" w:firstLine="637"/>
        <w:spacing w:after="0" w:line="225" w:lineRule="auto"/>
        <w:rPr>
          <w:sz w:val="20"/>
          <w:szCs w:val="20"/>
          <w:color w:val="auto"/>
        </w:rPr>
      </w:pPr>
      <w:r>
        <w:rPr>
          <w:rFonts w:ascii="Times New Roman" w:cs="Times New Roman" w:eastAsia="Times New Roman" w:hAnsi="Times New Roman"/>
          <w:sz w:val="17"/>
          <w:szCs w:val="17"/>
          <w:color w:val="auto"/>
        </w:rPr>
        <w:t>If required, we may add transferees, successors and donees by prospectus supplement in instances where the transferee, successor or donee has acquired its shares from holders named in this prospectus after the effective date of this prospectus. Transferees, successors and donees of identified selling shareholders may not be able to use this prospectus for resales until they are named in the selling shareholders table by prospectus supplement or post-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amendment. See “Selling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12</w:t>
      </w:r>
    </w:p>
    <w:p>
      <w:pPr>
        <w:sectPr>
          <w:pgSz w:w="11900" w:h="16838" w:orient="portrait"/>
          <w:cols w:equalWidth="0" w:num="1">
            <w:col w:w="11160"/>
          </w:cols>
          <w:pgMar w:left="320" w:top="1063" w:right="419" w:bottom="1440" w:gutter="0" w:footer="0" w:header="0"/>
        </w:sectPr>
      </w:pPr>
    </w:p>
    <w:bookmarkStart w:id="38" w:name="page39"/>
    <w:bookmarkEnd w:id="3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80" w:lineRule="exact"/>
        <w:rPr>
          <w:sz w:val="20"/>
          <w:szCs w:val="20"/>
          <w:color w:val="auto"/>
        </w:rPr>
      </w:pPr>
    </w:p>
    <w:p>
      <w:pPr>
        <w:ind w:right="160" w:firstLine="637"/>
        <w:spacing w:after="0" w:line="266" w:lineRule="auto"/>
        <w:rPr>
          <w:sz w:val="20"/>
          <w:szCs w:val="20"/>
          <w:color w:val="auto"/>
        </w:rPr>
      </w:pPr>
      <w:r>
        <w:rPr>
          <w:rFonts w:ascii="Times New Roman" w:cs="Times New Roman" w:eastAsia="Times New Roman" w:hAnsi="Times New Roman"/>
          <w:sz w:val="17"/>
          <w:szCs w:val="17"/>
          <w:color w:val="auto"/>
        </w:rPr>
        <w:t>Certain legal matters in connection with this offering will be passed upon for us by Gibson, Dunn &amp; Crutcher LLP, Houston, Texas, with respect to U.S. law. Certain legal matters in connection with this offering will be passed upon for us by Dentons Canada LLP, Vancouver, British Columbia, Canada, with respect to Canadian law. Any underwriters will be advised about other issues relating to any offering by their own legal counsel.</w:t>
      </w:r>
    </w:p>
    <w:p>
      <w:pPr>
        <w:spacing w:after="0" w:line="1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80" w:lineRule="exact"/>
        <w:rPr>
          <w:sz w:val="20"/>
          <w:szCs w:val="20"/>
          <w:color w:val="auto"/>
        </w:rPr>
      </w:pPr>
    </w:p>
    <w:p>
      <w:pPr>
        <w:ind w:right="320" w:firstLine="637"/>
        <w:spacing w:after="0" w:line="241" w:lineRule="auto"/>
        <w:rPr>
          <w:sz w:val="20"/>
          <w:szCs w:val="20"/>
          <w:color w:val="auto"/>
        </w:rPr>
      </w:pPr>
      <w:r>
        <w:rPr>
          <w:rFonts w:ascii="Times New Roman" w:cs="Times New Roman" w:eastAsia="Times New Roman" w:hAnsi="Times New Roman"/>
          <w:sz w:val="18"/>
          <w:szCs w:val="18"/>
          <w:color w:val="auto"/>
        </w:rPr>
        <w:t>The consolidated financial statements of Civeo Corporation appearing in Civeo Corporation’s Annual Report (Form 10-K) for the year ended December 31, 2021, and the effectiveness of Civeo Corporation’s internal control over financial reporting as of December 31, 2021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1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6" w:lineRule="exact"/>
        <w:rPr>
          <w:sz w:val="20"/>
          <w:szCs w:val="20"/>
          <w:color w:val="auto"/>
        </w:rPr>
      </w:pPr>
    </w:p>
    <w:p>
      <w:pPr>
        <w:jc w:val="both"/>
        <w:ind w:right="320" w:firstLine="637"/>
        <w:spacing w:after="0" w:line="252" w:lineRule="auto"/>
        <w:rPr>
          <w:sz w:val="20"/>
          <w:szCs w:val="20"/>
          <w:color w:val="auto"/>
        </w:rPr>
      </w:pPr>
      <w:r>
        <w:rPr>
          <w:rFonts w:ascii="Times New Roman" w:cs="Times New Roman" w:eastAsia="Times New Roman" w:hAnsi="Times New Roman"/>
          <w:sz w:val="18"/>
          <w:szCs w:val="18"/>
          <w:color w:val="auto"/>
        </w:rPr>
        <w:t>We have filed a registration statement with the SEC under the Securities Act relating to the securities offered by this prospectus. The registration statement, including the attached exhibits, contains additional relevant information about us. The rules and regulations of the SEC allow us to omit some information included in the registration statement from this prospectus.</w:t>
      </w:r>
    </w:p>
    <w:p>
      <w:pPr>
        <w:spacing w:after="0" w:line="144" w:lineRule="exact"/>
        <w:rPr>
          <w:sz w:val="20"/>
          <w:szCs w:val="20"/>
          <w:color w:val="auto"/>
        </w:rPr>
      </w:pPr>
    </w:p>
    <w:p>
      <w:pPr>
        <w:ind w:right="100" w:firstLine="637"/>
        <w:spacing w:after="0" w:line="256" w:lineRule="auto"/>
        <w:rPr>
          <w:sz w:val="20"/>
          <w:szCs w:val="20"/>
          <w:color w:val="auto"/>
        </w:rPr>
      </w:pPr>
      <w:r>
        <w:rPr>
          <w:rFonts w:ascii="Times New Roman" w:cs="Times New Roman" w:eastAsia="Times New Roman" w:hAnsi="Times New Roman"/>
          <w:sz w:val="17"/>
          <w:szCs w:val="17"/>
          <w:color w:val="auto"/>
        </w:rPr>
        <w:t>In addition, we file annual, quarterly and other reports, proxy statements and other information with the SEC. The SEC maintains a website that contains reports, proxy statements and other information about registrants, like us, that have been filed electronically with the SEC. You can access the website maintained by the SEC at http://www.sec.gov. We also make available free of charge on our website, at http://www.civeo.com, all materials that we file electronically with the SEC, including our annual report on Form 10-K, quarterly reports on Form 10-Q, current reports on Form 8-K, Section 16 reports and amendments to these reports as soon as reasonably practicable after such materials are electronically filed with, or furnished to, the SEC. Information contained on our website or any other website is not incorporated by reference into this prospectus and does not constitute a part of this prospectus.</w:t>
      </w:r>
    </w:p>
    <w:p>
      <w:pPr>
        <w:spacing w:after="0" w:line="142" w:lineRule="exact"/>
        <w:rPr>
          <w:sz w:val="20"/>
          <w:szCs w:val="20"/>
          <w:color w:val="auto"/>
        </w:rPr>
      </w:pPr>
    </w:p>
    <w:p>
      <w:pPr>
        <w:ind w:firstLine="637"/>
        <w:spacing w:after="0" w:line="264" w:lineRule="auto"/>
        <w:rPr>
          <w:sz w:val="20"/>
          <w:szCs w:val="20"/>
          <w:color w:val="auto"/>
        </w:rPr>
      </w:pPr>
      <w:r>
        <w:rPr>
          <w:rFonts w:ascii="Times New Roman" w:cs="Times New Roman" w:eastAsia="Times New Roman" w:hAnsi="Times New Roman"/>
          <w:sz w:val="17"/>
          <w:szCs w:val="17"/>
          <w:color w:val="auto"/>
        </w:rPr>
        <w:t>The SEC allows us to “incorporate by reference” the information we have filed with the SEC. This means that we can disclose important information to you without actually including the specific information in this prospectus by referring you to other documents filed separately with the SEC. These other documents contain important information about us. The information incorporated by reference is an important part of this prospectus. Information that we file later with the SEC will automatically update and may replace information in this prospectus and information previously filed with the SEC.</w:t>
      </w:r>
    </w:p>
    <w:p>
      <w:pPr>
        <w:spacing w:after="0" w:line="188" w:lineRule="exact"/>
        <w:rPr>
          <w:sz w:val="20"/>
          <w:szCs w:val="20"/>
          <w:color w:val="auto"/>
        </w:rPr>
      </w:pPr>
    </w:p>
    <w:p>
      <w:pPr>
        <w:jc w:val="both"/>
        <w:ind w:right="200" w:firstLine="637"/>
        <w:spacing w:after="0" w:line="252" w:lineRule="auto"/>
        <w:rPr>
          <w:sz w:val="20"/>
          <w:szCs w:val="20"/>
          <w:color w:val="auto"/>
        </w:rPr>
      </w:pPr>
      <w:r>
        <w:rPr>
          <w:rFonts w:ascii="Times New Roman" w:cs="Times New Roman" w:eastAsia="Times New Roman" w:hAnsi="Times New Roman"/>
          <w:sz w:val="18"/>
          <w:szCs w:val="18"/>
          <w:color w:val="auto"/>
        </w:rPr>
        <w:t>We incorporate by reference in this prospectus the documents listed below, and any subsequent filings we make with the SEC under Section 13(a), 13(c), 14 or 15(d) of the Exchange Act (excluding information deemed to be furnished and not filed with the SEC) until all offerings under this registration statement are completed or terminated:</w:t>
      </w:r>
    </w:p>
    <w:p>
      <w:pPr>
        <w:spacing w:after="0" w:line="117" w:lineRule="exact"/>
        <w:rPr>
          <w:sz w:val="20"/>
          <w:szCs w:val="20"/>
          <w:color w:val="auto"/>
        </w:rPr>
      </w:pPr>
    </w:p>
    <w:p>
      <w:pPr>
        <w:ind w:left="960" w:hanging="317"/>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report on Form 10-K for the year ended December 31, 2021 (the “Form 10-K”);</w:t>
      </w:r>
    </w:p>
    <w:p>
      <w:pPr>
        <w:spacing w:after="0" w:line="190" w:lineRule="exact"/>
        <w:rPr>
          <w:rFonts w:ascii="Times New Roman" w:cs="Times New Roman" w:eastAsia="Times New Roman" w:hAnsi="Times New Roman"/>
          <w:sz w:val="18"/>
          <w:szCs w:val="18"/>
          <w:color w:val="auto"/>
        </w:rPr>
      </w:pPr>
    </w:p>
    <w:p>
      <w:pPr>
        <w:ind w:left="960" w:right="120" w:hanging="317"/>
        <w:spacing w:after="0" w:line="234" w:lineRule="auto"/>
        <w:tabs>
          <w:tab w:leader="none" w:pos="9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our definitive proxy statement on Schedule 14A for our 2022 annual general meeting of shareholders to the extent incorporated by reference in Part III of the Form 10-K;</w:t>
      </w:r>
    </w:p>
    <w:p>
      <w:pPr>
        <w:spacing w:after="0" w:line="153"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reports on Form 10-Q filed on April 29, 2022 and August 4, 2022;</w:t>
      </w:r>
    </w:p>
    <w:p>
      <w:pPr>
        <w:spacing w:after="0" w:line="190"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reports on Form 8-K filed on April 5, 2022, April 7, 2022, May 18, 2022 and August 1, 2022; and</w:t>
      </w:r>
    </w:p>
    <w:p>
      <w:pPr>
        <w:spacing w:after="0" w:line="177" w:lineRule="exact"/>
        <w:rPr>
          <w:rFonts w:ascii="Times New Roman" w:cs="Times New Roman" w:eastAsia="Times New Roman" w:hAnsi="Times New Roman"/>
          <w:sz w:val="18"/>
          <w:szCs w:val="18"/>
          <w:color w:val="auto"/>
        </w:rPr>
      </w:pPr>
    </w:p>
    <w:p>
      <w:pPr>
        <w:ind w:left="960" w:right="440" w:hanging="317"/>
        <w:spacing w:after="0" w:line="234" w:lineRule="auto"/>
        <w:tabs>
          <w:tab w:leader="none" w:pos="9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our common shares contained in our Current Report on Form 8-K12B, filed on July 17, 2015, as that description may be updated from time to time.</w:t>
      </w:r>
    </w:p>
    <w:p>
      <w:pPr>
        <w:spacing w:after="0" w:line="180" w:lineRule="exact"/>
        <w:rPr>
          <w:sz w:val="20"/>
          <w:szCs w:val="20"/>
          <w:color w:val="auto"/>
        </w:rPr>
      </w:pPr>
    </w:p>
    <w:p>
      <w:pPr>
        <w:ind w:right="620" w:firstLine="637"/>
        <w:spacing w:after="0" w:line="259" w:lineRule="auto"/>
        <w:rPr>
          <w:sz w:val="20"/>
          <w:szCs w:val="20"/>
          <w:color w:val="auto"/>
        </w:rPr>
      </w:pPr>
      <w:r>
        <w:rPr>
          <w:rFonts w:ascii="Times New Roman" w:cs="Times New Roman" w:eastAsia="Times New Roman" w:hAnsi="Times New Roman"/>
          <w:sz w:val="18"/>
          <w:szCs w:val="18"/>
          <w:color w:val="auto"/>
        </w:rPr>
        <w:t>We also are incorporating by reference all additional documents that we may file with the SEC under Section 13(a), 13(c), 14 or 15(d) of the Exchange Act after the date hereof and prior to the effectiveness of the registration statement.</w:t>
      </w:r>
    </w:p>
    <w:p>
      <w:pPr>
        <w:spacing w:after="0" w:line="137" w:lineRule="exact"/>
        <w:rPr>
          <w:sz w:val="20"/>
          <w:szCs w:val="20"/>
          <w:color w:val="auto"/>
        </w:rPr>
      </w:pPr>
    </w:p>
    <w:p>
      <w:pPr>
        <w:ind w:right="140" w:firstLine="637"/>
        <w:spacing w:after="0" w:line="259" w:lineRule="auto"/>
        <w:rPr>
          <w:sz w:val="20"/>
          <w:szCs w:val="20"/>
          <w:color w:val="auto"/>
        </w:rPr>
      </w:pPr>
      <w:r>
        <w:rPr>
          <w:rFonts w:ascii="Times New Roman" w:cs="Times New Roman" w:eastAsia="Times New Roman" w:hAnsi="Times New Roman"/>
          <w:sz w:val="18"/>
          <w:szCs w:val="18"/>
          <w:color w:val="auto"/>
        </w:rPr>
        <w:t>You may request a copy of these filings, other than an exhibit to these filings unless we have specifically incorporated that exhibit by reference into the filing, at no cost, by writing or telephoning us at the following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13</w:t>
      </w:r>
    </w:p>
    <w:p>
      <w:pPr>
        <w:sectPr>
          <w:pgSz w:w="11900" w:h="16838" w:orient="portrait"/>
          <w:cols w:equalWidth="0" w:num="1">
            <w:col w:w="11200"/>
          </w:cols>
          <w:pgMar w:left="320" w:top="1313" w:right="379" w:bottom="1440" w:gutter="0" w:footer="0" w:header="0"/>
        </w:sectPr>
      </w:pPr>
    </w:p>
    <w:bookmarkStart w:id="39" w:name="page40"/>
    <w:bookmarkEnd w:id="39"/>
    <w:p>
      <w:pPr>
        <w:ind w:left="160"/>
        <w:spacing w:after="0"/>
        <w:rPr>
          <w:sz w:val="20"/>
          <w:szCs w:val="20"/>
          <w:color w:val="auto"/>
        </w:rPr>
      </w:pPr>
      <w:r>
        <w:rPr>
          <w:rFonts w:ascii="Times New Roman" w:cs="Times New Roman" w:eastAsia="Times New Roman" w:hAnsi="Times New Roman"/>
          <w:sz w:val="18"/>
          <w:szCs w:val="18"/>
          <w:color w:val="auto"/>
        </w:rPr>
        <w:t>Civeo Corporation</w:t>
      </w:r>
    </w:p>
    <w:p>
      <w:pPr>
        <w:spacing w:after="0" w:line="1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Attn: Corporate Secretary</w:t>
      </w:r>
    </w:p>
    <w:p>
      <w:pPr>
        <w:ind w:left="160"/>
        <w:spacing w:after="0" w:line="236" w:lineRule="auto"/>
        <w:rPr>
          <w:sz w:val="20"/>
          <w:szCs w:val="20"/>
          <w:color w:val="auto"/>
        </w:rPr>
      </w:pPr>
      <w:r>
        <w:rPr>
          <w:rFonts w:ascii="Times New Roman" w:cs="Times New Roman" w:eastAsia="Times New Roman" w:hAnsi="Times New Roman"/>
          <w:sz w:val="18"/>
          <w:szCs w:val="18"/>
          <w:color w:val="auto"/>
        </w:rPr>
        <w:t>Three Allen Center</w:t>
      </w:r>
    </w:p>
    <w:p>
      <w:pPr>
        <w:ind w:left="160"/>
        <w:spacing w:after="0" w:line="231" w:lineRule="auto"/>
        <w:rPr>
          <w:sz w:val="20"/>
          <w:szCs w:val="20"/>
          <w:color w:val="auto"/>
        </w:rPr>
      </w:pPr>
      <w:r>
        <w:rPr>
          <w:rFonts w:ascii="Times New Roman" w:cs="Times New Roman" w:eastAsia="Times New Roman" w:hAnsi="Times New Roman"/>
          <w:sz w:val="18"/>
          <w:szCs w:val="18"/>
          <w:color w:val="auto"/>
        </w:rPr>
        <w:t>333 Clay Street</w:t>
      </w:r>
    </w:p>
    <w:p>
      <w:pPr>
        <w:ind w:left="160"/>
        <w:spacing w:after="0"/>
        <w:rPr>
          <w:sz w:val="20"/>
          <w:szCs w:val="20"/>
          <w:color w:val="auto"/>
        </w:rPr>
      </w:pPr>
      <w:r>
        <w:rPr>
          <w:rFonts w:ascii="Times New Roman" w:cs="Times New Roman" w:eastAsia="Times New Roman" w:hAnsi="Times New Roman"/>
          <w:sz w:val="18"/>
          <w:szCs w:val="18"/>
          <w:color w:val="auto"/>
        </w:rPr>
        <w:t>Suite 4980</w:t>
      </w:r>
    </w:p>
    <w:p>
      <w:pPr>
        <w:ind w:left="160"/>
        <w:spacing w:after="0" w:line="236" w:lineRule="auto"/>
        <w:rPr>
          <w:sz w:val="20"/>
          <w:szCs w:val="20"/>
          <w:color w:val="auto"/>
        </w:rPr>
      </w:pPr>
      <w:r>
        <w:rPr>
          <w:rFonts w:ascii="Times New Roman" w:cs="Times New Roman" w:eastAsia="Times New Roman" w:hAnsi="Times New Roman"/>
          <w:sz w:val="18"/>
          <w:szCs w:val="18"/>
          <w:color w:val="auto"/>
        </w:rPr>
        <w:t>Houston, Texas 77002</w:t>
      </w:r>
    </w:p>
    <w:p>
      <w:pPr>
        <w:spacing w:after="0" w:line="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(713) 510-2400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w:t>
      </w:r>
    </w:p>
    <w:p>
      <w:pPr>
        <w:sectPr>
          <w:pgSz w:w="11900" w:h="16838" w:orient="portrait"/>
          <w:cols w:equalWidth="0" w:num="1">
            <w:col w:w="9019"/>
          </w:cols>
          <w:pgMar w:left="1440" w:top="1076" w:right="1440"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0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Other Expenses of Issuance and Distribution.</w:t>
      </w:r>
    </w:p>
    <w:p>
      <w:pPr>
        <w:spacing w:after="0" w:line="180" w:lineRule="exact"/>
        <w:rPr>
          <w:sz w:val="20"/>
          <w:szCs w:val="20"/>
          <w:color w:val="auto"/>
        </w:rPr>
      </w:pPr>
    </w:p>
    <w:p>
      <w:pPr>
        <w:ind w:right="380" w:firstLine="637"/>
        <w:spacing w:after="0" w:line="259" w:lineRule="auto"/>
        <w:rPr>
          <w:sz w:val="20"/>
          <w:szCs w:val="20"/>
          <w:color w:val="auto"/>
        </w:rPr>
      </w:pPr>
      <w:r>
        <w:rPr>
          <w:rFonts w:ascii="Times New Roman" w:cs="Times New Roman" w:eastAsia="Times New Roman" w:hAnsi="Times New Roman"/>
          <w:sz w:val="18"/>
          <w:szCs w:val="18"/>
          <w:color w:val="auto"/>
        </w:rPr>
        <w:t>The following table sets forth the estimated expenses payable by Civeo Corporation, a British Columbia, Canada limited company (“Civeo”), in connection with the offering described in this registration statement.</w:t>
      </w:r>
    </w:p>
    <w:p>
      <w:pPr>
        <w:spacing w:after="0" w:line="190" w:lineRule="exact"/>
        <w:rPr>
          <w:sz w:val="20"/>
          <w:szCs w:val="20"/>
          <w:color w:val="auto"/>
        </w:rPr>
      </w:pPr>
    </w:p>
    <w:tbl>
      <w:tblPr>
        <w:tblLayout w:type="fixed"/>
        <w:tblInd w:w="3120" w:type="dxa"/>
        <w:tblCellMar>
          <w:top w:w="0" w:type="dxa"/>
          <w:left w:w="0" w:type="dxa"/>
          <w:bottom w:w="0" w:type="dxa"/>
          <w:right w:w="0" w:type="dxa"/>
        </w:tblCellMar>
      </w:tblPr>
      <w:tr>
        <w:trPr>
          <w:trHeight w:val="232"/>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Registration fee</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$44,205.54*</w:t>
            </w:r>
          </w:p>
        </w:tc>
        <w:tc>
          <w:tcPr>
            <w:tcW w:w="0" w:type="dxa"/>
            <w:vAlign w:val="bottom"/>
          </w:tcPr>
          <w:p>
            <w:pPr>
              <w:spacing w:after="0"/>
              <w:rPr>
                <w:sz w:val="1"/>
                <w:szCs w:val="1"/>
                <w:color w:val="auto"/>
              </w:rPr>
            </w:pPr>
          </w:p>
        </w:tc>
      </w:tr>
      <w:tr>
        <w:trPr>
          <w:trHeight w:val="279"/>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Printing expenses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79"/>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79"/>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79"/>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Rating agency fees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79"/>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Fees and expenses of trustee</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79"/>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39"/>
        </w:trPr>
        <w:tc>
          <w:tcPr>
            <w:tcW w:w="4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4040" w:type="dxa"/>
            <w:vAlign w:val="bottom"/>
            <w:vMerge w:val="continue"/>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45"/>
        </w:trPr>
        <w:tc>
          <w:tcPr>
            <w:tcW w:w="404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73" w:lineRule="exact"/>
        <w:rPr>
          <w:sz w:val="20"/>
          <w:szCs w:val="20"/>
          <w:color w:val="auto"/>
        </w:rPr>
      </w:pPr>
    </w:p>
    <w:p>
      <w:pPr>
        <w:ind w:firstLine="50"/>
        <w:spacing w:after="0" w:line="238" w:lineRule="auto"/>
        <w:tabs>
          <w:tab w:leader="none" w:pos="309"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computing the registration fee pursuant to Rule 457(c) and Rule 457(o) under the Securities Act of 1933 and exclusive of accrued interest, distributions and dividends, if any. Includes a registration fee of $36,360 that was previously paid by the registrant relating to certain securities (the “Carry-Forward Securities”) previously registered under the Registration Statement on Form S-3 (File No. 333-233444), initially filed with the Securities and Exchange Commission on August 23, 2019, and declared effective on September 5, 2019 (the “2019 Registration Statement”). The Carry-Forward Securities consist of up to $300,000,000 of an indeterminate amount of common stock, preferred stock, debt securities and/or warrants, all of which remain unsold as of the date of this registration statement. Pursuant to Rule 415(a)(6) under the Securities Act, the registration fee relating to the Carry-Forward Securities under the 2019 Registration Statement will continue to be applied to such securities hereunder.</w:t>
      </w:r>
    </w:p>
    <w:p>
      <w:pPr>
        <w:spacing w:after="0" w:line="2" w:lineRule="exact"/>
        <w:rPr>
          <w:rFonts w:ascii="Times New Roman" w:cs="Times New Roman" w:eastAsia="Times New Roman" w:hAnsi="Times New Roman"/>
          <w:sz w:val="18"/>
          <w:szCs w:val="18"/>
          <w:color w:val="auto"/>
        </w:rPr>
      </w:pPr>
    </w:p>
    <w:p>
      <w:pPr>
        <w:ind w:left="280" w:hanging="274"/>
        <w:spacing w:after="0"/>
        <w:tabs>
          <w:tab w:leader="none" w:pos="2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expenses are not presently known. The foregoing sets forth the general categories of expenses (other than underwriting discounts and</w:t>
      </w:r>
    </w:p>
    <w:p>
      <w:pPr>
        <w:spacing w:after="0" w:line="5" w:lineRule="exact"/>
        <w:rPr>
          <w:sz w:val="20"/>
          <w:szCs w:val="20"/>
          <w:color w:val="auto"/>
        </w:rPr>
      </w:pPr>
    </w:p>
    <w:p>
      <w:pPr>
        <w:ind w:right="220"/>
        <w:spacing w:after="0" w:line="235" w:lineRule="auto"/>
        <w:rPr>
          <w:sz w:val="20"/>
          <w:szCs w:val="20"/>
          <w:color w:val="auto"/>
        </w:rPr>
      </w:pPr>
      <w:r>
        <w:rPr>
          <w:rFonts w:ascii="Times New Roman" w:cs="Times New Roman" w:eastAsia="Times New Roman" w:hAnsi="Times New Roman"/>
          <w:sz w:val="18"/>
          <w:szCs w:val="18"/>
          <w:color w:val="auto"/>
        </w:rPr>
        <w:t>commissions) that Civeo anticipates it will incur in connection with the offering of securities under this registration statement. An estimate of the aggregate expenses in connection with the issuance and distribution of the securities being offered by Civeo in a primary offering will be included in the applicable prospectus supplement.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Indemnification of Directors and Officers.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British Columbia Law</w:t>
      </w:r>
    </w:p>
    <w:p>
      <w:pPr>
        <w:spacing w:after="0" w:line="182" w:lineRule="exact"/>
        <w:rPr>
          <w:sz w:val="20"/>
          <w:szCs w:val="20"/>
          <w:color w:val="auto"/>
        </w:rPr>
      </w:pPr>
    </w:p>
    <w:p>
      <w:pPr>
        <w:ind w:right="60" w:firstLine="637"/>
        <w:spacing w:after="0" w:line="237" w:lineRule="auto"/>
        <w:rPr>
          <w:sz w:val="20"/>
          <w:szCs w:val="20"/>
          <w:color w:val="auto"/>
        </w:rPr>
      </w:pPr>
      <w:r>
        <w:rPr>
          <w:rFonts w:ascii="Times New Roman" w:cs="Times New Roman" w:eastAsia="Times New Roman" w:hAnsi="Times New Roman"/>
          <w:sz w:val="18"/>
          <w:szCs w:val="18"/>
          <w:color w:val="auto"/>
        </w:rPr>
        <w:t>Under Section 160 of the British Columbia Business Corporations Act (the “BCA”), we may indemnify an eligible party including, but not limited to, a director or officer of us, a former director or officer of us or another individual who acts or acted at our request as a director or officer, or an individual acting in a similar capacity, against all judgments, penalties or fines awarded or imposed in, or an amount paid in settlement of a proceeding in which a party or any of the heirs and personal or other legal representatives of the eligible party, by reason of such party having been a director or officer of, or holding or having held a position equivalent to that of a director or officer of, the company or an associated corporation, to which the such party is or may be liable. Indemnification will be prohibited if (i) giving indemnity or paying expenses is or was prohibited by the company’s articles, (ii) if in relation to the subject matter of the eligible proceeding, the eligible party did not act honestly and in good faith with a view to the best interests of us, or (iii) in the case of an eligible proceeding other than a civil proceeding, if the eligible party did not have reasonable grounds for believing that the eligible party’s conduct in respect of which the proceeding was brought was lawful. The BCA also provides, under Section 162, that we may also advance moneys to a director, officer or other individual for costs, charges and expenses reasonably incurred in connection with such a proceeding; however, the individual must agree in writing to undertake that if it is ultimately determined that the payment of expenses is prohibited by either conditions (i), (ii) or (iii) above, the eligible party will repay the amounts advanced.</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Civeo’s Notice of Articles and Articles</w:t>
      </w:r>
    </w:p>
    <w:p>
      <w:pPr>
        <w:spacing w:after="0" w:line="182" w:lineRule="exact"/>
        <w:rPr>
          <w:sz w:val="20"/>
          <w:szCs w:val="20"/>
          <w:color w:val="auto"/>
        </w:rPr>
      </w:pPr>
    </w:p>
    <w:p>
      <w:pPr>
        <w:jc w:val="both"/>
        <w:ind w:right="140" w:firstLine="637"/>
        <w:spacing w:after="0" w:line="244" w:lineRule="auto"/>
        <w:rPr>
          <w:sz w:val="20"/>
          <w:szCs w:val="20"/>
          <w:color w:val="auto"/>
        </w:rPr>
      </w:pPr>
      <w:r>
        <w:rPr>
          <w:rFonts w:ascii="Times New Roman" w:cs="Times New Roman" w:eastAsia="Times New Roman" w:hAnsi="Times New Roman"/>
          <w:sz w:val="18"/>
          <w:szCs w:val="18"/>
          <w:color w:val="auto"/>
        </w:rPr>
        <w:t>Our articles provide that we shall indemnify, and pay expenses in advance of the final disposition of a proceeding of, a director or officer, a former director or officer or a person who acts or acted at our requests as a director or officer, or in a similar capacity of another entity, and the heirs and personal or other legal representatives of such a person so long as the</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620" w:hanging="152"/>
        <w:spacing w:after="0"/>
        <w:tabs>
          <w:tab w:leader="none" w:pos="56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21"/>
          <w:szCs w:val="21"/>
          <w:color w:val="auto"/>
        </w:rPr>
        <w:t>-</w:t>
      </w:r>
      <w:r>
        <w:rPr>
          <w:rFonts w:ascii="Times New Roman" w:cs="Times New Roman" w:eastAsia="Times New Roman" w:hAnsi="Times New Roman"/>
          <w:sz w:val="15"/>
          <w:szCs w:val="15"/>
          <w:color w:val="auto"/>
        </w:rPr>
        <w:t>1</w:t>
      </w:r>
    </w:p>
    <w:p>
      <w:pPr>
        <w:sectPr>
          <w:pgSz w:w="11900" w:h="16838" w:orient="portrait"/>
          <w:cols w:equalWidth="0" w:num="1">
            <w:col w:w="11220"/>
          </w:cols>
          <w:pgMar w:left="320" w:top="1074"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individual signs the requisite undertaking, in accordance, and to the fullest extent and in all circumstances permitted by the BCA.</w:t>
      </w:r>
    </w:p>
    <w:p>
      <w:pPr>
        <w:spacing w:after="0" w:line="204" w:lineRule="exact"/>
        <w:rPr>
          <w:sz w:val="20"/>
          <w:szCs w:val="20"/>
          <w:color w:val="auto"/>
        </w:rPr>
      </w:pPr>
    </w:p>
    <w:p>
      <w:pPr>
        <w:jc w:val="both"/>
        <w:ind w:firstLine="637"/>
        <w:spacing w:after="0" w:line="245" w:lineRule="auto"/>
        <w:rPr>
          <w:sz w:val="20"/>
          <w:szCs w:val="20"/>
          <w:color w:val="auto"/>
        </w:rPr>
      </w:pPr>
      <w:r>
        <w:rPr>
          <w:rFonts w:ascii="Times New Roman" w:cs="Times New Roman" w:eastAsia="Times New Roman" w:hAnsi="Times New Roman"/>
          <w:sz w:val="18"/>
          <w:szCs w:val="18"/>
          <w:color w:val="auto"/>
        </w:rPr>
        <w:t>We entered into and, in the future, will enter into indemnification agreements with our officers and directors in respect of any legal claims or actions initiated against them in their capacity as officers and directors of us or our subsidiaries in accordance with applicable law. These agreements include bearing the reasonable cost of legal representation in any legal or regulatory action in which they may become involved in their capacity as our officers and directors. Pursuant to such indemnities, we bear the cost of the representation of certain officers and directors.</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maintain insurance for certain liabilities incurred by our directors and officers in their capacity with us or our subsidiaries.</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620" w:hanging="152"/>
        <w:spacing w:after="0"/>
        <w:tabs>
          <w:tab w:leader="none" w:pos="56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21"/>
          <w:szCs w:val="21"/>
          <w:color w:val="auto"/>
        </w:rPr>
        <w:t>-</w:t>
      </w:r>
      <w:r>
        <w:rPr>
          <w:rFonts w:ascii="Times New Roman" w:cs="Times New Roman" w:eastAsia="Times New Roman" w:hAnsi="Times New Roman"/>
          <w:sz w:val="15"/>
          <w:szCs w:val="15"/>
          <w:color w:val="auto"/>
        </w:rPr>
        <w:t>2</w:t>
      </w:r>
    </w:p>
    <w:p>
      <w:pPr>
        <w:sectPr>
          <w:pgSz w:w="11900" w:h="16838" w:orient="portrait"/>
          <w:cols w:equalWidth="0" w:num="1">
            <w:col w:w="11140"/>
          </w:cols>
          <w:pgMar w:left="320" w:top="1076" w:right="439" w:bottom="1440" w:gutter="0" w:footer="0" w:header="0"/>
        </w:sectPr>
      </w:pPr>
    </w:p>
    <w:bookmarkStart w:id="42" w:name="page43"/>
    <w:bookmarkEnd w:id="42"/>
    <w:tbl>
      <w:tblPr>
        <w:tblLayout w:type="fixed"/>
        <w:tblInd w:w="20" w:type="dxa"/>
        <w:tblCellMar>
          <w:top w:w="0" w:type="dxa"/>
          <w:left w:w="0" w:type="dxa"/>
          <w:bottom w:w="0" w:type="dxa"/>
          <w:right w:w="0" w:type="dxa"/>
        </w:tblCellMar>
      </w:tblPr>
      <w:tr>
        <w:trPr>
          <w:trHeight w:val="207"/>
        </w:trPr>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906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Description of Exhibit</w:t>
            </w:r>
          </w:p>
        </w:tc>
      </w:tr>
      <w:tr>
        <w:trPr>
          <w:trHeight w:val="20"/>
        </w:trPr>
        <w:tc>
          <w:tcPr>
            <w:tcW w:w="8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37"/>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780" w:type="dxa"/>
            <w:vAlign w:val="bottom"/>
          </w:tcPr>
          <w:p>
            <w:pPr>
              <w:spacing w:after="0"/>
              <w:rPr>
                <w:sz w:val="24"/>
                <w:szCs w:val="24"/>
                <w:color w:val="auto"/>
              </w:rPr>
            </w:pPr>
          </w:p>
        </w:tc>
        <w:tc>
          <w:tcPr>
            <w:tcW w:w="9060" w:type="dxa"/>
            <w:vAlign w:val="bottom"/>
            <w:gridSpan w:val="25"/>
          </w:tcPr>
          <w:p>
            <w:pPr>
              <w:spacing w:after="0"/>
              <w:rPr>
                <w:rFonts w:ascii="Times New Roman" w:cs="Times New Roman" w:eastAsia="Times New Roman" w:hAnsi="Times New Roman"/>
                <w:sz w:val="18"/>
                <w:szCs w:val="18"/>
                <w:color w:val="0563C1"/>
              </w:rPr>
            </w:pPr>
            <w:hyperlink r:id="rId22">
              <w:r>
                <w:rPr>
                  <w:rFonts w:ascii="Times New Roman" w:cs="Times New Roman" w:eastAsia="Times New Roman" w:hAnsi="Times New Roman"/>
                  <w:sz w:val="18"/>
                  <w:szCs w:val="18"/>
                  <w:color w:val="0563C1"/>
                </w:rPr>
                <w:t>Notice of Articles of Civeo Corporation (incorporated herein by reference to Exhibit 3.1 to the Current Report on Form 8-K</w:t>
              </w:r>
            </w:hyperlink>
          </w:p>
        </w:tc>
      </w:tr>
      <w:tr>
        <w:trPr>
          <w:trHeight w:val="179"/>
        </w:trPr>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780" w:type="dxa"/>
            <w:vAlign w:val="bottom"/>
            <w:tcBorders>
              <w:top w:val="single" w:sz="8" w:color="0563C1"/>
            </w:tcBorders>
            <w:gridSpan w:val="19"/>
          </w:tcPr>
          <w:p>
            <w:pPr>
              <w:spacing w:after="0" w:line="179" w:lineRule="exact"/>
              <w:rPr>
                <w:rFonts w:ascii="Times New Roman" w:cs="Times New Roman" w:eastAsia="Times New Roman" w:hAnsi="Times New Roman"/>
                <w:sz w:val="18"/>
                <w:szCs w:val="18"/>
                <w:color w:val="0563C1"/>
              </w:rPr>
            </w:pPr>
            <w:hyperlink r:id="rId22">
              <w:r>
                <w:rPr>
                  <w:rFonts w:ascii="Times New Roman" w:cs="Times New Roman" w:eastAsia="Times New Roman" w:hAnsi="Times New Roman"/>
                  <w:sz w:val="18"/>
                  <w:szCs w:val="18"/>
                  <w:color w:val="0563C1"/>
                </w:rPr>
                <w:t>(File No. 001-36246), filed on April 2, 2018).</w:t>
              </w:r>
            </w:hyperlink>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shd w:val="clear" w:color="auto" w:fill="0563C1"/>
          </w:tcPr>
          <w:p>
            <w:pPr>
              <w:spacing w:after="0" w:line="20" w:lineRule="exact"/>
              <w:rPr>
                <w:sz w:val="1"/>
                <w:szCs w:val="1"/>
                <w:color w:val="auto"/>
              </w:rPr>
            </w:pPr>
          </w:p>
        </w:tc>
        <w:tc>
          <w:tcPr>
            <w:tcW w:w="580" w:type="dxa"/>
            <w:vAlign w:val="bottom"/>
            <w:gridSpan w:val="2"/>
            <w:shd w:val="clear" w:color="auto" w:fill="0563C1"/>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520" w:type="dxa"/>
            <w:vAlign w:val="bottom"/>
            <w:shd w:val="clear" w:color="auto" w:fill="0563C1"/>
          </w:tcPr>
          <w:p>
            <w:pPr>
              <w:spacing w:after="0" w:line="20" w:lineRule="exact"/>
              <w:rPr>
                <w:sz w:val="1"/>
                <w:szCs w:val="1"/>
                <w:color w:val="auto"/>
              </w:rPr>
            </w:pPr>
          </w:p>
        </w:tc>
        <w:tc>
          <w:tcPr>
            <w:tcW w:w="420" w:type="dxa"/>
            <w:vAlign w:val="bottom"/>
            <w:tcBorders>
              <w:right w:val="single" w:sz="8" w:color="0563C1"/>
            </w:tcBorders>
            <w:shd w:val="clear" w:color="auto" w:fill="0563C1"/>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780" w:type="dxa"/>
            <w:vAlign w:val="bottom"/>
          </w:tcPr>
          <w:p>
            <w:pPr>
              <w:spacing w:after="0"/>
              <w:rPr>
                <w:sz w:val="24"/>
                <w:szCs w:val="24"/>
                <w:color w:val="auto"/>
              </w:rPr>
            </w:pPr>
          </w:p>
        </w:tc>
        <w:tc>
          <w:tcPr>
            <w:tcW w:w="892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8"/>
              </w:rPr>
            </w:pPr>
            <w:hyperlink r:id="rId23">
              <w:r>
                <w:rPr>
                  <w:rFonts w:ascii="Times New Roman" w:cs="Times New Roman" w:eastAsia="Times New Roman" w:hAnsi="Times New Roman"/>
                  <w:sz w:val="18"/>
                  <w:szCs w:val="18"/>
                  <w:color w:val="0000FF"/>
                  <w:w w:val="98"/>
                </w:rPr>
                <w:t>Certification of Amendment to the Notice of Articles of Civeo Corporation (incorporated herein by reference to Exhibit 3.1 to</w:t>
              </w:r>
            </w:hyperlink>
          </w:p>
        </w:tc>
        <w:tc>
          <w:tcPr>
            <w:tcW w:w="140" w:type="dxa"/>
            <w:vAlign w:val="bottom"/>
            <w:gridSpan w:val="4"/>
          </w:tcPr>
          <w:p>
            <w:pPr>
              <w:spacing w:after="0"/>
              <w:rPr>
                <w:sz w:val="24"/>
                <w:szCs w:val="24"/>
                <w:color w:val="auto"/>
              </w:rPr>
            </w:pPr>
          </w:p>
        </w:tc>
      </w:tr>
      <w:tr>
        <w:trPr>
          <w:trHeight w:val="206"/>
        </w:trPr>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060" w:type="dxa"/>
            <w:vAlign w:val="bottom"/>
            <w:gridSpan w:val="25"/>
          </w:tcPr>
          <w:p>
            <w:pPr>
              <w:spacing w:after="0" w:line="206" w:lineRule="exact"/>
              <w:rPr>
                <w:rFonts w:ascii="Times New Roman" w:cs="Times New Roman" w:eastAsia="Times New Roman" w:hAnsi="Times New Roman"/>
                <w:sz w:val="18"/>
                <w:szCs w:val="18"/>
                <w:color w:val="0000FF"/>
              </w:rPr>
            </w:pPr>
            <w:hyperlink r:id="rId23">
              <w:r>
                <w:rPr>
                  <w:rFonts w:ascii="Times New Roman" w:cs="Times New Roman" w:eastAsia="Times New Roman" w:hAnsi="Times New Roman"/>
                  <w:sz w:val="18"/>
                  <w:szCs w:val="18"/>
                  <w:color w:val="0000FF"/>
                </w:rPr>
                <w:t>the Current Report on Form 8-K (File No. 001-36246) filed on November 20, 2020.</w:t>
              </w:r>
            </w:hyperlink>
          </w:p>
        </w:tc>
      </w:tr>
      <w:tr>
        <w:trPr>
          <w:trHeight w:val="20"/>
        </w:trPr>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780" w:type="dxa"/>
            <w:vAlign w:val="bottom"/>
          </w:tcPr>
          <w:p>
            <w:pPr>
              <w:spacing w:after="0"/>
              <w:rPr>
                <w:sz w:val="24"/>
                <w:szCs w:val="24"/>
                <w:color w:val="auto"/>
              </w:rPr>
            </w:pPr>
          </w:p>
        </w:tc>
        <w:tc>
          <w:tcPr>
            <w:tcW w:w="9060" w:type="dxa"/>
            <w:vAlign w:val="bottom"/>
            <w:gridSpan w:val="25"/>
          </w:tcPr>
          <w:p>
            <w:pPr>
              <w:spacing w:after="0"/>
              <w:rPr>
                <w:rFonts w:ascii="Times New Roman" w:cs="Times New Roman" w:eastAsia="Times New Roman" w:hAnsi="Times New Roman"/>
                <w:sz w:val="18"/>
                <w:szCs w:val="18"/>
                <w:color w:val="0563C1"/>
                <w:w w:val="98"/>
              </w:rPr>
            </w:pPr>
            <w:hyperlink r:id="rId24">
              <w:r>
                <w:rPr>
                  <w:rFonts w:ascii="Times New Roman" w:cs="Times New Roman" w:eastAsia="Times New Roman" w:hAnsi="Times New Roman"/>
                  <w:sz w:val="18"/>
                  <w:szCs w:val="18"/>
                  <w:color w:val="0563C1"/>
                  <w:w w:val="98"/>
                </w:rPr>
                <w:t>Amended and Restated Articles of Civeo Corporation (incorporated herein by reference to Exhibit 3.2 to the Current Report on</w:t>
              </w:r>
            </w:hyperlink>
          </w:p>
        </w:tc>
      </w:tr>
      <w:tr>
        <w:trPr>
          <w:trHeight w:val="179"/>
        </w:trPr>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0" w:type="dxa"/>
            <w:vAlign w:val="bottom"/>
            <w:tcBorders>
              <w:top w:val="single" w:sz="8" w:color="0563C1"/>
            </w:tcBorders>
            <w:gridSpan w:val="22"/>
          </w:tcPr>
          <w:p>
            <w:pPr>
              <w:spacing w:after="0" w:line="179" w:lineRule="exact"/>
              <w:rPr>
                <w:rFonts w:ascii="Times New Roman" w:cs="Times New Roman" w:eastAsia="Times New Roman" w:hAnsi="Times New Roman"/>
                <w:sz w:val="18"/>
                <w:szCs w:val="18"/>
                <w:color w:val="0563C1"/>
              </w:rPr>
            </w:pPr>
            <w:hyperlink r:id="rId24">
              <w:r>
                <w:rPr>
                  <w:rFonts w:ascii="Times New Roman" w:cs="Times New Roman" w:eastAsia="Times New Roman" w:hAnsi="Times New Roman"/>
                  <w:sz w:val="18"/>
                  <w:szCs w:val="18"/>
                  <w:color w:val="0563C1"/>
                </w:rPr>
                <w:t>Form 8-K (File No. 001-36246) filed on April 2, 2018).</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shd w:val="clear" w:color="auto" w:fill="0563C1"/>
          </w:tcPr>
          <w:p>
            <w:pPr>
              <w:spacing w:after="0" w:line="20" w:lineRule="exact"/>
              <w:rPr>
                <w:sz w:val="1"/>
                <w:szCs w:val="1"/>
                <w:color w:val="auto"/>
              </w:rPr>
            </w:pPr>
          </w:p>
        </w:tc>
        <w:tc>
          <w:tcPr>
            <w:tcW w:w="580" w:type="dxa"/>
            <w:vAlign w:val="bottom"/>
            <w:gridSpan w:val="2"/>
            <w:shd w:val="clear" w:color="auto" w:fill="0563C1"/>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520" w:type="dxa"/>
            <w:vAlign w:val="bottom"/>
            <w:shd w:val="clear" w:color="auto" w:fill="0563C1"/>
          </w:tcPr>
          <w:p>
            <w:pPr>
              <w:spacing w:after="0" w:line="20" w:lineRule="exact"/>
              <w:rPr>
                <w:sz w:val="1"/>
                <w:szCs w:val="1"/>
                <w:color w:val="auto"/>
              </w:rPr>
            </w:pPr>
          </w:p>
        </w:tc>
        <w:tc>
          <w:tcPr>
            <w:tcW w:w="420" w:type="dxa"/>
            <w:vAlign w:val="bottom"/>
            <w:tcBorders>
              <w:right w:val="single" w:sz="8" w:color="0563C1"/>
            </w:tcBorders>
            <w:shd w:val="clear" w:color="auto" w:fill="0563C1"/>
          </w:tcPr>
          <w:p>
            <w:pPr>
              <w:spacing w:after="0" w:line="20" w:lineRule="exact"/>
              <w:rPr>
                <w:sz w:val="1"/>
                <w:szCs w:val="1"/>
                <w:color w:val="auto"/>
              </w:rPr>
            </w:pPr>
          </w:p>
        </w:tc>
        <w:tc>
          <w:tcPr>
            <w:tcW w:w="700" w:type="dxa"/>
            <w:vAlign w:val="bottom"/>
            <w:shd w:val="clear" w:color="auto" w:fill="0563C1"/>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4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780" w:type="dxa"/>
            <w:vAlign w:val="bottom"/>
          </w:tcPr>
          <w:p>
            <w:pPr>
              <w:spacing w:after="0"/>
              <w:rPr>
                <w:sz w:val="24"/>
                <w:szCs w:val="24"/>
                <w:color w:val="auto"/>
              </w:rPr>
            </w:pPr>
          </w:p>
        </w:tc>
        <w:tc>
          <w:tcPr>
            <w:tcW w:w="9060" w:type="dxa"/>
            <w:vAlign w:val="bottom"/>
            <w:gridSpan w:val="25"/>
          </w:tcPr>
          <w:p>
            <w:pPr>
              <w:spacing w:after="0"/>
              <w:rPr>
                <w:rFonts w:ascii="Times New Roman" w:cs="Times New Roman" w:eastAsia="Times New Roman" w:hAnsi="Times New Roman"/>
                <w:sz w:val="18"/>
                <w:szCs w:val="18"/>
                <w:color w:val="0563C1"/>
              </w:rPr>
            </w:pPr>
            <w:hyperlink r:id="rId25">
              <w:r>
                <w:rPr>
                  <w:rFonts w:ascii="Times New Roman" w:cs="Times New Roman" w:eastAsia="Times New Roman" w:hAnsi="Times New Roman"/>
                  <w:sz w:val="18"/>
                  <w:szCs w:val="18"/>
                  <w:color w:val="0563C1"/>
                </w:rPr>
                <w:t>Form of Common Share Certificate (incorporated herein by reference to Exhibit 4.1 to the Current Report on Form 8-K12B</w:t>
              </w:r>
            </w:hyperlink>
          </w:p>
        </w:tc>
      </w:tr>
      <w:tr>
        <w:trPr>
          <w:trHeight w:val="179"/>
        </w:trPr>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40" w:type="dxa"/>
            <w:vAlign w:val="bottom"/>
            <w:tcBorders>
              <w:top w:val="single" w:sz="8" w:color="0563C1"/>
              <w:bottom w:val="single" w:sz="8" w:color="0563C1"/>
            </w:tcBorders>
            <w:gridSpan w:val="7"/>
          </w:tcPr>
          <w:p>
            <w:pPr>
              <w:spacing w:after="0" w:line="179" w:lineRule="exact"/>
              <w:rPr>
                <w:rFonts w:ascii="Times New Roman" w:cs="Times New Roman" w:eastAsia="Times New Roman" w:hAnsi="Times New Roman"/>
                <w:sz w:val="18"/>
                <w:szCs w:val="18"/>
                <w:color w:val="0563C1"/>
                <w:w w:val="98"/>
              </w:rPr>
            </w:pPr>
            <w:hyperlink r:id="rId25">
              <w:r>
                <w:rPr>
                  <w:rFonts w:ascii="Times New Roman" w:cs="Times New Roman" w:eastAsia="Times New Roman" w:hAnsi="Times New Roman"/>
                  <w:sz w:val="18"/>
                  <w:szCs w:val="18"/>
                  <w:color w:val="0563C1"/>
                  <w:w w:val="98"/>
                </w:rPr>
                <w:t>(File No. 001-36246) filed on July 17, 2015).</w:t>
              </w:r>
            </w:hyperlink>
          </w:p>
        </w:tc>
        <w:tc>
          <w:tcPr>
            <w:tcW w:w="5520" w:type="dxa"/>
            <w:vAlign w:val="bottom"/>
            <w:tcBorders>
              <w:top w:val="single" w:sz="8" w:color="0563C1"/>
            </w:tcBorders>
            <w:gridSpan w:val="11"/>
          </w:tcPr>
          <w:p>
            <w:pPr>
              <w:spacing w:after="0"/>
              <w:rPr>
                <w:sz w:val="15"/>
                <w:szCs w:val="15"/>
                <w:color w:val="auto"/>
              </w:rPr>
            </w:pPr>
          </w:p>
        </w:tc>
        <w:tc>
          <w:tcPr>
            <w:tcW w:w="40" w:type="dxa"/>
            <w:vAlign w:val="bottom"/>
            <w:gridSpan w:val="2"/>
          </w:tcPr>
          <w:p>
            <w:pPr>
              <w:spacing w:after="0"/>
              <w:rPr>
                <w:sz w:val="15"/>
                <w:szCs w:val="15"/>
                <w:color w:val="auto"/>
              </w:rPr>
            </w:pPr>
          </w:p>
        </w:tc>
        <w:tc>
          <w:tcPr>
            <w:tcW w:w="22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31"/>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780" w:type="dxa"/>
            <w:vAlign w:val="bottom"/>
          </w:tcPr>
          <w:p>
            <w:pPr>
              <w:spacing w:after="0"/>
              <w:rPr>
                <w:sz w:val="24"/>
                <w:szCs w:val="24"/>
                <w:color w:val="auto"/>
              </w:rPr>
            </w:pPr>
          </w:p>
        </w:tc>
        <w:tc>
          <w:tcPr>
            <w:tcW w:w="9060" w:type="dxa"/>
            <w:vAlign w:val="bottom"/>
            <w:gridSpan w:val="25"/>
          </w:tcPr>
          <w:p>
            <w:pPr>
              <w:spacing w:after="0"/>
              <w:rPr>
                <w:rFonts w:ascii="Times New Roman" w:cs="Times New Roman" w:eastAsia="Times New Roman" w:hAnsi="Times New Roman"/>
                <w:sz w:val="18"/>
                <w:szCs w:val="18"/>
                <w:color w:val="0563C1"/>
              </w:rPr>
            </w:pPr>
            <w:hyperlink r:id="rId26">
              <w:r>
                <w:rPr>
                  <w:rFonts w:ascii="Times New Roman" w:cs="Times New Roman" w:eastAsia="Times New Roman" w:hAnsi="Times New Roman"/>
                  <w:sz w:val="18"/>
                  <w:szCs w:val="18"/>
                  <w:color w:val="0563C1"/>
                </w:rPr>
                <w:t>Registration Rights, Lock-Up and Standstill Agreement, dated April 2, 2018, by and among Civeo Corporation, Torgerson</w:t>
              </w:r>
            </w:hyperlink>
          </w:p>
        </w:tc>
      </w:tr>
      <w:tr>
        <w:trPr>
          <w:trHeight w:val="152"/>
        </w:trPr>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660" w:type="dxa"/>
            <w:vAlign w:val="bottom"/>
            <w:tcBorders>
              <w:top w:val="single" w:sz="8" w:color="0563C1"/>
            </w:tcBorders>
            <w:gridSpan w:val="17"/>
          </w:tcPr>
          <w:p>
            <w:pPr>
              <w:spacing w:after="0" w:line="153" w:lineRule="exact"/>
              <w:rPr>
                <w:rFonts w:ascii="Times New Roman" w:cs="Times New Roman" w:eastAsia="Times New Roman" w:hAnsi="Times New Roman"/>
                <w:sz w:val="17"/>
                <w:szCs w:val="17"/>
                <w:color w:val="0563C1"/>
              </w:rPr>
            </w:pPr>
            <w:hyperlink r:id="rId26">
              <w:r>
                <w:rPr>
                  <w:rFonts w:ascii="Times New Roman" w:cs="Times New Roman" w:eastAsia="Times New Roman" w:hAnsi="Times New Roman"/>
                  <w:sz w:val="17"/>
                  <w:szCs w:val="17"/>
                  <w:color w:val="0563C1"/>
                </w:rPr>
                <w:t>Family Trust and 989677 Alberta Ltd. (incorporated herein by reference to Exhibit 4.1 to the Current Report on Form 8-K</w:t>
              </w:r>
            </w:hyperlink>
          </w:p>
        </w:tc>
        <w:tc>
          <w:tcPr>
            <w:tcW w:w="400" w:type="dxa"/>
            <w:vAlign w:val="bottom"/>
            <w:gridSpan w:val="8"/>
          </w:tcPr>
          <w:p>
            <w:pPr>
              <w:ind w:left="20"/>
              <w:spacing w:after="0" w:line="153" w:lineRule="exact"/>
              <w:rPr>
                <w:rFonts w:ascii="Times New Roman" w:cs="Times New Roman" w:eastAsia="Times New Roman" w:hAnsi="Times New Roman"/>
                <w:sz w:val="17"/>
                <w:szCs w:val="17"/>
                <w:color w:val="0563C1"/>
              </w:rPr>
            </w:pPr>
            <w:hyperlink r:id="rId26">
              <w:r>
                <w:rPr>
                  <w:rFonts w:ascii="Times New Roman" w:cs="Times New Roman" w:eastAsia="Times New Roman" w:hAnsi="Times New Roman"/>
                  <w:sz w:val="17"/>
                  <w:szCs w:val="17"/>
                  <w:color w:val="0563C1"/>
                </w:rPr>
                <w:t>(File</w:t>
              </w:r>
            </w:hyperlink>
          </w:p>
        </w:tc>
      </w:tr>
      <w:tr>
        <w:trPr>
          <w:trHeight w:val="166"/>
        </w:trPr>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20" w:type="dxa"/>
            <w:vAlign w:val="bottom"/>
            <w:tcBorders>
              <w:top w:val="single" w:sz="8" w:color="0563C1"/>
            </w:tcBorders>
            <w:gridSpan w:val="23"/>
          </w:tcPr>
          <w:p>
            <w:pPr>
              <w:spacing w:after="0" w:line="166" w:lineRule="exact"/>
              <w:rPr>
                <w:rFonts w:ascii="Times New Roman" w:cs="Times New Roman" w:eastAsia="Times New Roman" w:hAnsi="Times New Roman"/>
                <w:sz w:val="18"/>
                <w:szCs w:val="18"/>
                <w:color w:val="0563C1"/>
              </w:rPr>
            </w:pPr>
            <w:hyperlink r:id="rId26">
              <w:r>
                <w:rPr>
                  <w:rFonts w:ascii="Times New Roman" w:cs="Times New Roman" w:eastAsia="Times New Roman" w:hAnsi="Times New Roman"/>
                  <w:sz w:val="18"/>
                  <w:szCs w:val="18"/>
                  <w:color w:val="0563C1"/>
                </w:rPr>
                <w:t>No. 001-36246) filed on April 2, 2018).</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shd w:val="clear" w:color="auto" w:fill="0563C1"/>
          </w:tcPr>
          <w:p>
            <w:pPr>
              <w:spacing w:after="0" w:line="20" w:lineRule="exact"/>
              <w:rPr>
                <w:sz w:val="1"/>
                <w:szCs w:val="1"/>
                <w:color w:val="auto"/>
              </w:rPr>
            </w:pPr>
          </w:p>
        </w:tc>
        <w:tc>
          <w:tcPr>
            <w:tcW w:w="580" w:type="dxa"/>
            <w:vAlign w:val="bottom"/>
            <w:gridSpan w:val="2"/>
            <w:shd w:val="clear" w:color="auto" w:fill="0563C1"/>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520" w:type="dxa"/>
            <w:vAlign w:val="bottom"/>
            <w:shd w:val="clear" w:color="auto" w:fill="0563C1"/>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1"/>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780" w:type="dxa"/>
            <w:vAlign w:val="bottom"/>
          </w:tcPr>
          <w:p>
            <w:pPr>
              <w:spacing w:after="0"/>
              <w:rPr>
                <w:sz w:val="24"/>
                <w:szCs w:val="24"/>
                <w:color w:val="auto"/>
              </w:rPr>
            </w:pPr>
          </w:p>
        </w:tc>
        <w:tc>
          <w:tcPr>
            <w:tcW w:w="9060" w:type="dxa"/>
            <w:vAlign w:val="bottom"/>
            <w:gridSpan w:val="25"/>
          </w:tcPr>
          <w:p>
            <w:pPr>
              <w:spacing w:after="0"/>
              <w:rPr>
                <w:rFonts w:ascii="Times New Roman" w:cs="Times New Roman" w:eastAsia="Times New Roman" w:hAnsi="Times New Roman"/>
                <w:sz w:val="18"/>
                <w:szCs w:val="18"/>
                <w:color w:val="0563C1"/>
              </w:rPr>
            </w:pPr>
            <w:hyperlink r:id="rId27">
              <w:r>
                <w:rPr>
                  <w:rFonts w:ascii="Times New Roman" w:cs="Times New Roman" w:eastAsia="Times New Roman" w:hAnsi="Times New Roman"/>
                  <w:sz w:val="18"/>
                  <w:szCs w:val="18"/>
                  <w:color w:val="0563C1"/>
                </w:rPr>
                <w:t>Form of Indenture between Civeo Corporation and the trustee thereunder (the “Senior Trustee”), relating to senior debt</w:t>
              </w:r>
            </w:hyperlink>
          </w:p>
        </w:tc>
      </w:tr>
      <w:tr>
        <w:trPr>
          <w:trHeight w:val="20"/>
        </w:trPr>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shd w:val="clear" w:color="auto" w:fill="0563C1"/>
          </w:tcPr>
          <w:p>
            <w:pPr>
              <w:spacing w:after="0" w:line="20" w:lineRule="exact"/>
              <w:rPr>
                <w:sz w:val="1"/>
                <w:szCs w:val="1"/>
                <w:color w:val="auto"/>
              </w:rPr>
            </w:pPr>
          </w:p>
        </w:tc>
        <w:tc>
          <w:tcPr>
            <w:tcW w:w="580" w:type="dxa"/>
            <w:vAlign w:val="bottom"/>
            <w:gridSpan w:val="2"/>
            <w:shd w:val="clear" w:color="auto" w:fill="0563C1"/>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880" w:type="dxa"/>
            <w:vAlign w:val="bottom"/>
            <w:gridSpan w:val="4"/>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188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720" w:type="dxa"/>
            <w:vAlign w:val="bottom"/>
            <w:shd w:val="clear" w:color="auto" w:fill="0563C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2"/>
        </w:trPr>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060" w:type="dxa"/>
            <w:vAlign w:val="bottom"/>
            <w:gridSpan w:val="25"/>
          </w:tcPr>
          <w:p>
            <w:pPr>
              <w:spacing w:after="0" w:line="153" w:lineRule="exact"/>
              <w:rPr>
                <w:rFonts w:ascii="Times New Roman" w:cs="Times New Roman" w:eastAsia="Times New Roman" w:hAnsi="Times New Roman"/>
                <w:sz w:val="17"/>
                <w:szCs w:val="17"/>
                <w:color w:val="0563C1"/>
              </w:rPr>
            </w:pPr>
            <w:hyperlink r:id="rId27">
              <w:r>
                <w:rPr>
                  <w:rFonts w:ascii="Times New Roman" w:cs="Times New Roman" w:eastAsia="Times New Roman" w:hAnsi="Times New Roman"/>
                  <w:sz w:val="17"/>
                  <w:szCs w:val="17"/>
                  <w:color w:val="0563C1"/>
                </w:rPr>
                <w:t>securities (incorporated herein by reference to Exhibit 4.2 to the Registration Statement on Form S-3 (File No. 333-212754)</w:t>
              </w:r>
            </w:hyperlink>
          </w:p>
        </w:tc>
      </w:tr>
      <w:tr>
        <w:trPr>
          <w:trHeight w:val="166"/>
        </w:trPr>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60" w:type="dxa"/>
            <w:vAlign w:val="bottom"/>
            <w:tcBorders>
              <w:top w:val="single" w:sz="8" w:color="0563C1"/>
              <w:bottom w:val="single" w:sz="8" w:color="0563C1"/>
            </w:tcBorders>
            <w:gridSpan w:val="3"/>
          </w:tcPr>
          <w:p>
            <w:pPr>
              <w:spacing w:after="0" w:line="166" w:lineRule="exact"/>
              <w:rPr>
                <w:rFonts w:ascii="Times New Roman" w:cs="Times New Roman" w:eastAsia="Times New Roman" w:hAnsi="Times New Roman"/>
                <w:sz w:val="18"/>
                <w:szCs w:val="18"/>
                <w:color w:val="0563C1"/>
                <w:w w:val="97"/>
              </w:rPr>
            </w:pPr>
            <w:hyperlink r:id="rId27">
              <w:r>
                <w:rPr>
                  <w:rFonts w:ascii="Times New Roman" w:cs="Times New Roman" w:eastAsia="Times New Roman" w:hAnsi="Times New Roman"/>
                  <w:sz w:val="18"/>
                  <w:szCs w:val="18"/>
                  <w:color w:val="0563C1"/>
                  <w:w w:val="97"/>
                </w:rPr>
                <w:t>filed on July 29, 2016).</w:t>
              </w:r>
            </w:hyperlink>
          </w:p>
        </w:tc>
        <w:tc>
          <w:tcPr>
            <w:tcW w:w="7140" w:type="dxa"/>
            <w:vAlign w:val="bottom"/>
            <w:tcBorders>
              <w:top w:val="single" w:sz="8" w:color="0563C1"/>
            </w:tcBorders>
            <w:gridSpan w:val="17"/>
          </w:tcPr>
          <w:p>
            <w:pPr>
              <w:spacing w:after="0"/>
              <w:rPr>
                <w:sz w:val="14"/>
                <w:szCs w:val="14"/>
                <w:color w:val="auto"/>
              </w:rPr>
            </w:pPr>
          </w:p>
        </w:tc>
        <w:tc>
          <w:tcPr>
            <w:tcW w:w="24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r>
      <w:tr>
        <w:trPr>
          <w:trHeight w:val="431"/>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780" w:type="dxa"/>
            <w:vAlign w:val="bottom"/>
          </w:tcPr>
          <w:p>
            <w:pPr>
              <w:spacing w:after="0"/>
              <w:rPr>
                <w:sz w:val="24"/>
                <w:szCs w:val="24"/>
                <w:color w:val="auto"/>
              </w:rPr>
            </w:pPr>
          </w:p>
        </w:tc>
        <w:tc>
          <w:tcPr>
            <w:tcW w:w="9060" w:type="dxa"/>
            <w:vAlign w:val="bottom"/>
            <w:gridSpan w:val="25"/>
          </w:tcPr>
          <w:p>
            <w:pPr>
              <w:spacing w:after="0"/>
              <w:rPr>
                <w:rFonts w:ascii="Times New Roman" w:cs="Times New Roman" w:eastAsia="Times New Roman" w:hAnsi="Times New Roman"/>
                <w:sz w:val="18"/>
                <w:szCs w:val="18"/>
                <w:color w:val="0563C1"/>
                <w:w w:val="98"/>
              </w:rPr>
            </w:pPr>
            <w:hyperlink r:id="rId28">
              <w:r>
                <w:rPr>
                  <w:rFonts w:ascii="Times New Roman" w:cs="Times New Roman" w:eastAsia="Times New Roman" w:hAnsi="Times New Roman"/>
                  <w:sz w:val="18"/>
                  <w:szCs w:val="18"/>
                  <w:color w:val="0563C1"/>
                  <w:w w:val="98"/>
                </w:rPr>
                <w:t>Form of Indenture between Civeo Corporation and the trustee thereunder (the “Subordinated Trustee”), relating to subordinated</w:t>
              </w:r>
            </w:hyperlink>
          </w:p>
        </w:tc>
      </w:tr>
      <w:tr>
        <w:trPr>
          <w:trHeight w:val="152"/>
        </w:trPr>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040" w:type="dxa"/>
            <w:vAlign w:val="bottom"/>
            <w:tcBorders>
              <w:top w:val="single" w:sz="8" w:color="0563C1"/>
            </w:tcBorders>
            <w:gridSpan w:val="24"/>
          </w:tcPr>
          <w:p>
            <w:pPr>
              <w:spacing w:after="0" w:line="153" w:lineRule="exact"/>
              <w:rPr>
                <w:rFonts w:ascii="Times New Roman" w:cs="Times New Roman" w:eastAsia="Times New Roman" w:hAnsi="Times New Roman"/>
                <w:sz w:val="17"/>
                <w:szCs w:val="17"/>
                <w:color w:val="0563C1"/>
              </w:rPr>
            </w:pPr>
            <w:hyperlink r:id="rId28">
              <w:r>
                <w:rPr>
                  <w:rFonts w:ascii="Times New Roman" w:cs="Times New Roman" w:eastAsia="Times New Roman" w:hAnsi="Times New Roman"/>
                  <w:sz w:val="17"/>
                  <w:szCs w:val="17"/>
                  <w:color w:val="0563C1"/>
                </w:rPr>
                <w:t>debt securities (incorporated herein by reference to Exhibit 4.3 to the Registration Statement on Form S-3 (File No. 333-</w:t>
              </w:r>
            </w:hyperlink>
          </w:p>
        </w:tc>
        <w:tc>
          <w:tcPr>
            <w:tcW w:w="20" w:type="dxa"/>
            <w:vAlign w:val="bottom"/>
          </w:tcPr>
          <w:p>
            <w:pPr>
              <w:spacing w:after="0"/>
              <w:rPr>
                <w:sz w:val="13"/>
                <w:szCs w:val="13"/>
                <w:color w:val="auto"/>
              </w:rPr>
            </w:pPr>
          </w:p>
        </w:tc>
      </w:tr>
      <w:tr>
        <w:trPr>
          <w:trHeight w:val="166"/>
        </w:trPr>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300" w:type="dxa"/>
            <w:vAlign w:val="bottom"/>
            <w:tcBorders>
              <w:top w:val="single" w:sz="8" w:color="0563C1"/>
              <w:bottom w:val="single" w:sz="8" w:color="0563C1"/>
            </w:tcBorders>
            <w:gridSpan w:val="5"/>
          </w:tcPr>
          <w:p>
            <w:pPr>
              <w:spacing w:after="0" w:line="166" w:lineRule="exact"/>
              <w:rPr>
                <w:rFonts w:ascii="Times New Roman" w:cs="Times New Roman" w:eastAsia="Times New Roman" w:hAnsi="Times New Roman"/>
                <w:sz w:val="18"/>
                <w:szCs w:val="18"/>
                <w:color w:val="0563C1"/>
                <w:w w:val="98"/>
              </w:rPr>
            </w:pPr>
            <w:hyperlink r:id="rId28">
              <w:r>
                <w:rPr>
                  <w:rFonts w:ascii="Times New Roman" w:cs="Times New Roman" w:eastAsia="Times New Roman" w:hAnsi="Times New Roman"/>
                  <w:sz w:val="18"/>
                  <w:szCs w:val="18"/>
                  <w:color w:val="0563C1"/>
                  <w:w w:val="98"/>
                </w:rPr>
                <w:t>212754) filed on July 29, 2016).</w:t>
              </w:r>
            </w:hyperlink>
          </w:p>
        </w:tc>
        <w:tc>
          <w:tcPr>
            <w:tcW w:w="6240" w:type="dxa"/>
            <w:vAlign w:val="bottom"/>
            <w:tcBorders>
              <w:top w:val="single" w:sz="8" w:color="0563C1"/>
            </w:tcBorders>
            <w:gridSpan w:val="11"/>
          </w:tcPr>
          <w:p>
            <w:pPr>
              <w:spacing w:after="0"/>
              <w:rPr>
                <w:sz w:val="14"/>
                <w:szCs w:val="14"/>
                <w:color w:val="auto"/>
              </w:rPr>
            </w:pPr>
          </w:p>
        </w:tc>
        <w:tc>
          <w:tcPr>
            <w:tcW w:w="520" w:type="dxa"/>
            <w:vAlign w:val="bottom"/>
            <w:gridSpan w:val="9"/>
          </w:tcPr>
          <w:p>
            <w:pPr>
              <w:spacing w:after="0"/>
              <w:rPr>
                <w:sz w:val="14"/>
                <w:szCs w:val="14"/>
                <w:color w:val="auto"/>
              </w:rPr>
            </w:pPr>
          </w:p>
        </w:tc>
      </w:tr>
      <w:tr>
        <w:trPr>
          <w:trHeight w:val="497"/>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780" w:type="dxa"/>
            <w:vAlign w:val="bottom"/>
          </w:tcPr>
          <w:p>
            <w:pPr>
              <w:spacing w:after="0"/>
              <w:rPr>
                <w:sz w:val="24"/>
                <w:szCs w:val="24"/>
                <w:color w:val="auto"/>
              </w:rPr>
            </w:pPr>
          </w:p>
        </w:tc>
        <w:tc>
          <w:tcPr>
            <w:tcW w:w="66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8"/>
              </w:rPr>
              <w:t>Opinion of Dentons Canada LLP as to the legality of the common shares and preferred shares.</w:t>
            </w:r>
          </w:p>
        </w:tc>
        <w:tc>
          <w:tcPr>
            <w:tcW w:w="2380" w:type="dxa"/>
            <w:vAlign w:val="bottom"/>
            <w:gridSpan w:val="12"/>
          </w:tcPr>
          <w:p>
            <w:pPr>
              <w:spacing w:after="0"/>
              <w:rPr>
                <w:sz w:val="24"/>
                <w:szCs w:val="24"/>
                <w:color w:val="auto"/>
              </w:rPr>
            </w:pPr>
          </w:p>
        </w:tc>
      </w:tr>
      <w:tr>
        <w:trPr>
          <w:trHeight w:val="537"/>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5.2</w:t>
            </w:r>
          </w:p>
        </w:tc>
        <w:tc>
          <w:tcPr>
            <w:tcW w:w="780" w:type="dxa"/>
            <w:vAlign w:val="bottom"/>
          </w:tcPr>
          <w:p>
            <w:pPr>
              <w:spacing w:after="0"/>
              <w:rPr>
                <w:sz w:val="24"/>
                <w:szCs w:val="24"/>
                <w:color w:val="auto"/>
              </w:rPr>
            </w:pPr>
          </w:p>
        </w:tc>
        <w:tc>
          <w:tcPr>
            <w:tcW w:w="90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Opinion of Gibson, Dunn &amp; Crutcher LLP as to the legality of the debt securities and warrants</w:t>
            </w:r>
            <w:r>
              <w:rPr>
                <w:rFonts w:ascii="Times New Roman" w:cs="Times New Roman" w:eastAsia="Times New Roman" w:hAnsi="Times New Roman"/>
                <w:sz w:val="18"/>
                <w:szCs w:val="18"/>
                <w:color w:val="000000"/>
              </w:rPr>
              <w:t>.</w:t>
            </w:r>
          </w:p>
        </w:tc>
      </w:tr>
      <w:tr>
        <w:trPr>
          <w:trHeight w:val="537"/>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780" w:type="dxa"/>
            <w:vAlign w:val="bottom"/>
          </w:tcPr>
          <w:p>
            <w:pPr>
              <w:spacing w:after="0"/>
              <w:rPr>
                <w:sz w:val="24"/>
                <w:szCs w:val="24"/>
                <w:color w:val="auto"/>
              </w:rPr>
            </w:pPr>
          </w:p>
        </w:tc>
        <w:tc>
          <w:tcPr>
            <w:tcW w:w="670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Consent of Ernst &amp; Young LLP</w:t>
            </w:r>
            <w:r>
              <w:rPr>
                <w:rFonts w:ascii="Times New Roman" w:cs="Times New Roman" w:eastAsia="Times New Roman" w:hAnsi="Times New Roman"/>
                <w:sz w:val="18"/>
                <w:szCs w:val="18"/>
                <w:color w:val="000000"/>
              </w:rPr>
              <w:t>.</w:t>
            </w:r>
          </w:p>
        </w:tc>
        <w:tc>
          <w:tcPr>
            <w:tcW w:w="2360" w:type="dxa"/>
            <w:vAlign w:val="bottom"/>
            <w:gridSpan w:val="11"/>
          </w:tcPr>
          <w:p>
            <w:pPr>
              <w:spacing w:after="0"/>
              <w:rPr>
                <w:sz w:val="24"/>
                <w:szCs w:val="24"/>
                <w:color w:val="auto"/>
              </w:rPr>
            </w:pPr>
          </w:p>
        </w:tc>
      </w:tr>
      <w:tr>
        <w:trPr>
          <w:trHeight w:val="20"/>
        </w:trPr>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19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60" w:type="dxa"/>
            <w:vAlign w:val="bottom"/>
            <w:gridSpan w:val="14"/>
          </w:tcPr>
          <w:p>
            <w:pPr>
              <w:spacing w:after="0" w:line="20" w:lineRule="exact"/>
              <w:rPr>
                <w:sz w:val="1"/>
                <w:szCs w:val="1"/>
                <w:color w:val="auto"/>
              </w:rPr>
            </w:pPr>
          </w:p>
        </w:tc>
      </w:tr>
      <w:tr>
        <w:trPr>
          <w:trHeight w:val="537"/>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780" w:type="dxa"/>
            <w:vAlign w:val="bottom"/>
          </w:tcPr>
          <w:p>
            <w:pPr>
              <w:spacing w:after="0"/>
              <w:rPr>
                <w:sz w:val="24"/>
                <w:szCs w:val="24"/>
                <w:color w:val="auto"/>
              </w:rPr>
            </w:pPr>
          </w:p>
        </w:tc>
        <w:tc>
          <w:tcPr>
            <w:tcW w:w="41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Consent of Dentons Canada LLP (included in Exhibit 5.1).</w:t>
            </w:r>
          </w:p>
        </w:tc>
        <w:tc>
          <w:tcPr>
            <w:tcW w:w="4880" w:type="dxa"/>
            <w:vAlign w:val="bottom"/>
            <w:gridSpan w:val="16"/>
          </w:tcPr>
          <w:p>
            <w:pPr>
              <w:spacing w:after="0"/>
              <w:rPr>
                <w:sz w:val="24"/>
                <w:szCs w:val="24"/>
                <w:color w:val="auto"/>
              </w:rPr>
            </w:pPr>
          </w:p>
        </w:tc>
      </w:tr>
      <w:tr>
        <w:trPr>
          <w:trHeight w:val="537"/>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23.3</w:t>
            </w:r>
          </w:p>
        </w:tc>
        <w:tc>
          <w:tcPr>
            <w:tcW w:w="780" w:type="dxa"/>
            <w:vAlign w:val="bottom"/>
          </w:tcPr>
          <w:p>
            <w:pPr>
              <w:spacing w:after="0"/>
              <w:rPr>
                <w:sz w:val="24"/>
                <w:szCs w:val="24"/>
                <w:color w:val="auto"/>
              </w:rPr>
            </w:pPr>
          </w:p>
        </w:tc>
        <w:tc>
          <w:tcPr>
            <w:tcW w:w="90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Consent of Gibson, Dunn &amp; Crutcher LLP (included in Exhibit 5.2)</w:t>
            </w:r>
            <w:r>
              <w:rPr>
                <w:rFonts w:ascii="Times New Roman" w:cs="Times New Roman" w:eastAsia="Times New Roman" w:hAnsi="Times New Roman"/>
                <w:sz w:val="18"/>
                <w:szCs w:val="18"/>
                <w:color w:val="000000"/>
              </w:rPr>
              <w:t>.</w:t>
            </w:r>
          </w:p>
        </w:tc>
      </w:tr>
      <w:tr>
        <w:trPr>
          <w:trHeight w:val="537"/>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780" w:type="dxa"/>
            <w:vAlign w:val="bottom"/>
          </w:tcPr>
          <w:p>
            <w:pPr>
              <w:spacing w:after="0"/>
              <w:rPr>
                <w:sz w:val="24"/>
                <w:szCs w:val="24"/>
                <w:color w:val="auto"/>
              </w:rPr>
            </w:pPr>
          </w:p>
        </w:tc>
        <w:tc>
          <w:tcPr>
            <w:tcW w:w="480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Powers of Attorney (included on the signature page herein)</w:t>
            </w:r>
            <w:r>
              <w:rPr>
                <w:rFonts w:ascii="Times New Roman" w:cs="Times New Roman" w:eastAsia="Times New Roman" w:hAnsi="Times New Roman"/>
                <w:sz w:val="18"/>
                <w:szCs w:val="18"/>
                <w:color w:val="000000"/>
              </w:rPr>
              <w:t>.</w:t>
            </w:r>
          </w:p>
        </w:tc>
        <w:tc>
          <w:tcPr>
            <w:tcW w:w="4260" w:type="dxa"/>
            <w:vAlign w:val="bottom"/>
            <w:gridSpan w:val="14"/>
          </w:tcPr>
          <w:p>
            <w:pPr>
              <w:spacing w:after="0"/>
              <w:rPr>
                <w:sz w:val="24"/>
                <w:szCs w:val="24"/>
                <w:color w:val="auto"/>
              </w:rPr>
            </w:pPr>
          </w:p>
        </w:tc>
      </w:tr>
      <w:tr>
        <w:trPr>
          <w:trHeight w:val="458"/>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780" w:type="dxa"/>
            <w:vAlign w:val="bottom"/>
          </w:tcPr>
          <w:p>
            <w:pPr>
              <w:spacing w:after="0"/>
              <w:rPr>
                <w:sz w:val="24"/>
                <w:szCs w:val="24"/>
                <w:color w:val="auto"/>
              </w:rPr>
            </w:pPr>
          </w:p>
        </w:tc>
        <w:tc>
          <w:tcPr>
            <w:tcW w:w="108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Filing fee table</w:t>
            </w:r>
          </w:p>
        </w:tc>
        <w:tc>
          <w:tcPr>
            <w:tcW w:w="3120" w:type="dxa"/>
            <w:vAlign w:val="bottom"/>
            <w:tcBorders>
              <w:top w:val="single" w:sz="8" w:color="0000FF"/>
            </w:tcBorders>
            <w:gridSpan w:val="9"/>
          </w:tcPr>
          <w:p>
            <w:pPr>
              <w:spacing w:after="0"/>
              <w:rPr>
                <w:sz w:val="24"/>
                <w:szCs w:val="24"/>
                <w:color w:val="auto"/>
              </w:rPr>
            </w:pPr>
          </w:p>
        </w:tc>
        <w:tc>
          <w:tcPr>
            <w:tcW w:w="4860" w:type="dxa"/>
            <w:vAlign w:val="bottom"/>
            <w:gridSpan w:val="15"/>
          </w:tcPr>
          <w:p>
            <w:pPr>
              <w:spacing w:after="0"/>
              <w:rPr>
                <w:sz w:val="24"/>
                <w:szCs w:val="24"/>
                <w:color w:val="auto"/>
              </w:rPr>
            </w:pPr>
          </w:p>
        </w:tc>
      </w:tr>
    </w:tbl>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164" w:lineRule="exact"/>
        <w:rPr>
          <w:sz w:val="20"/>
          <w:szCs w:val="20"/>
          <w:color w:val="auto"/>
        </w:rPr>
      </w:pPr>
    </w:p>
    <w:p>
      <w:pPr>
        <w:ind w:firstLine="6"/>
        <w:spacing w:after="0" w:line="245" w:lineRule="auto"/>
        <w:tabs>
          <w:tab w:leader="none" w:pos="26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file as an exhibit to a Current Report on Form 8-K (i) any underwriting, remarketing or agency agreement relating to the securities offered hereby, (ii) the instruments setting forth the terms of any debt securities, preferred shares or warrants, (iii) any additional required opinions of counsel with respect to legality of the securities offered hereby and (iv) any required opinion of counsel as to certain tax matters relative to the securities offered hereby. We will file any required Statement of Eligibility and Qualification under the Trust Indenture Act of 1939 of the Senior Trustee and the Subordinated Trustee on Form T-1 in accordance with the requirements of Section 305(b)(2) of the Trust Indenture Act of 1939 and Rule 5b-3 thereunder.</w:t>
      </w:r>
    </w:p>
    <w:p>
      <w:pPr>
        <w:spacing w:after="0" w:line="204"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Incorporated by reference as indicated.</w:t>
      </w:r>
    </w:p>
    <w:p>
      <w:pPr>
        <w:sectPr>
          <w:pgSz w:w="11900" w:h="16838" w:orient="portrait"/>
          <w:cols w:equalWidth="0" w:num="1">
            <w:col w:w="11200"/>
          </w:cols>
          <w:pgMar w:left="320" w:top="111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620" w:hanging="152"/>
        <w:spacing w:after="0"/>
        <w:tabs>
          <w:tab w:leader="none" w:pos="56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21"/>
          <w:szCs w:val="21"/>
          <w:color w:val="auto"/>
        </w:rPr>
        <w:t>-</w:t>
      </w:r>
      <w:r>
        <w:rPr>
          <w:rFonts w:ascii="Times New Roman" w:cs="Times New Roman" w:eastAsia="Times New Roman" w:hAnsi="Times New Roman"/>
          <w:sz w:val="15"/>
          <w:szCs w:val="15"/>
          <w:color w:val="auto"/>
        </w:rPr>
        <w:t>3</w:t>
      </w:r>
    </w:p>
    <w:p>
      <w:pPr>
        <w:sectPr>
          <w:pgSz w:w="11900" w:h="16838" w:orient="portrait"/>
          <w:cols w:equalWidth="0" w:num="1">
            <w:col w:w="11200"/>
          </w:cols>
          <w:pgMar w:left="320" w:top="1113" w:right="37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 The undersigned Registrant hereby undertakes:</w:t>
      </w:r>
    </w:p>
    <w:p>
      <w:pPr>
        <w:spacing w:after="0" w:line="149" w:lineRule="exact"/>
        <w:rPr>
          <w:sz w:val="20"/>
          <w:szCs w:val="20"/>
          <w:color w:val="auto"/>
        </w:rPr>
      </w:pPr>
    </w:p>
    <w:p>
      <w:pPr>
        <w:ind w:left="660" w:hanging="389"/>
        <w:spacing w:after="0"/>
        <w:tabs>
          <w:tab w:leader="none" w:pos="6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ind w:left="520" w:hanging="337"/>
        <w:spacing w:after="0" w:line="199" w:lineRule="auto"/>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ind w:right="40" w:firstLine="183"/>
        <w:spacing w:after="0" w:line="205" w:lineRule="auto"/>
        <w:tabs>
          <w:tab w:leader="none" w:pos="56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of the Securities Act of 1933 if, in the aggregate, the changes in volume and price represent no more than a 20% change in the maximum aggregate offering price set forth in the “Calculation of Registration Fee” table in the effective registration statement; and</w:t>
      </w:r>
    </w:p>
    <w:p>
      <w:pPr>
        <w:ind w:right="440" w:firstLine="183"/>
        <w:spacing w:after="0" w:line="207" w:lineRule="auto"/>
        <w:tabs>
          <w:tab w:leader="none" w:pos="61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 w:lineRule="exact"/>
        <w:rPr>
          <w:rFonts w:ascii="Times New Roman" w:cs="Times New Roman" w:eastAsia="Times New Roman" w:hAnsi="Times New Roman"/>
          <w:sz w:val="18"/>
          <w:szCs w:val="18"/>
          <w:color w:val="auto"/>
        </w:rPr>
      </w:pPr>
    </w:p>
    <w:p>
      <w:pPr>
        <w:ind w:right="20"/>
        <w:spacing w:after="0" w:line="20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however, that paragraphs (a)(1)(i), (a)(1)(ii) and (a)(1)(iii) do not apply if the information required to be included in a post-effective amendment by those paragraphs is contained in reports filed with or furnished to the SEC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3" w:lineRule="exact"/>
        <w:rPr>
          <w:sz w:val="20"/>
          <w:szCs w:val="20"/>
          <w:color w:val="auto"/>
        </w:rPr>
      </w:pPr>
    </w:p>
    <w:p>
      <w:pPr>
        <w:ind w:right="180" w:firstLine="183"/>
        <w:spacing w:after="0" w:line="205" w:lineRule="auto"/>
        <w:tabs>
          <w:tab w:leader="none" w:pos="55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ind w:right="120" w:firstLine="183"/>
        <w:spacing w:after="0" w:line="207" w:lineRule="auto"/>
        <w:tabs>
          <w:tab w:leader="none" w:pos="55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 w:lineRule="exact"/>
        <w:rPr>
          <w:rFonts w:ascii="Times New Roman" w:cs="Times New Roman" w:eastAsia="Times New Roman" w:hAnsi="Times New Roman"/>
          <w:sz w:val="18"/>
          <w:szCs w:val="18"/>
          <w:color w:val="auto"/>
        </w:rPr>
      </w:pPr>
    </w:p>
    <w:p>
      <w:pPr>
        <w:ind w:left="560" w:hanging="377"/>
        <w:spacing w:after="0" w:line="199" w:lineRule="auto"/>
        <w:tabs>
          <w:tab w:leader="none" w:pos="5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w:t>
      </w:r>
    </w:p>
    <w:p>
      <w:pPr>
        <w:spacing w:after="0" w:line="1" w:lineRule="exact"/>
        <w:rPr>
          <w:sz w:val="20"/>
          <w:szCs w:val="20"/>
          <w:color w:val="auto"/>
        </w:rPr>
      </w:pPr>
    </w:p>
    <w:p>
      <w:pPr>
        <w:ind w:right="400" w:firstLine="183"/>
        <w:spacing w:after="0" w:line="207" w:lineRule="auto"/>
        <w:tabs>
          <w:tab w:leader="none" w:pos="59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 w:lineRule="exact"/>
        <w:rPr>
          <w:rFonts w:ascii="Times New Roman" w:cs="Times New Roman" w:eastAsia="Times New Roman" w:hAnsi="Times New Roman"/>
          <w:sz w:val="18"/>
          <w:szCs w:val="18"/>
          <w:color w:val="auto"/>
        </w:rPr>
      </w:pPr>
    </w:p>
    <w:p>
      <w:pPr>
        <w:ind w:firstLine="183"/>
        <w:spacing w:after="0" w:line="216" w:lineRule="auto"/>
        <w:tabs>
          <w:tab w:leader="none" w:pos="589"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5" w:lineRule="exact"/>
        <w:rPr>
          <w:sz w:val="20"/>
          <w:szCs w:val="20"/>
          <w:color w:val="auto"/>
        </w:rPr>
      </w:pPr>
    </w:p>
    <w:p>
      <w:pPr>
        <w:ind w:right="520" w:firstLine="183"/>
        <w:spacing w:after="0" w:line="199" w:lineRule="auto"/>
        <w:tabs>
          <w:tab w:leader="none" w:pos="55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of 1933 to any purchaser in the initial distribution of the securities:</w:t>
      </w:r>
    </w:p>
    <w:p>
      <w:pPr>
        <w:spacing w:after="0" w:line="1" w:lineRule="exact"/>
        <w:rPr>
          <w:rFonts w:ascii="Times New Roman" w:cs="Times New Roman" w:eastAsia="Times New Roman" w:hAnsi="Times New Roman"/>
          <w:sz w:val="18"/>
          <w:szCs w:val="18"/>
          <w:color w:val="auto"/>
        </w:rPr>
      </w:pPr>
    </w:p>
    <w:p>
      <w:pPr>
        <w:jc w:val="both"/>
        <w:ind w:right="140"/>
        <w:spacing w:after="0" w:line="21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undersigned Registrant undertakes that in a primary offering of securities of the undersigned Registrant pursuant to the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ind w:left="520" w:hanging="337"/>
        <w:spacing w:after="0" w:line="215"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ind w:right="220" w:firstLine="183"/>
        <w:spacing w:after="0" w:line="222" w:lineRule="auto"/>
        <w:tabs>
          <w:tab w:leader="none" w:pos="5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6" w:lineRule="exact"/>
        <w:rPr>
          <w:rFonts w:ascii="Times New Roman" w:cs="Times New Roman" w:eastAsia="Times New Roman" w:hAnsi="Times New Roman"/>
          <w:sz w:val="18"/>
          <w:szCs w:val="18"/>
          <w:color w:val="auto"/>
        </w:rPr>
      </w:pPr>
    </w:p>
    <w:p>
      <w:pPr>
        <w:ind w:left="5620" w:hanging="152"/>
        <w:spacing w:after="0"/>
        <w:tabs>
          <w:tab w:leader="none" w:pos="5620" w:val="left"/>
        </w:tabs>
        <w:numPr>
          <w:ilvl w:val="1"/>
          <w:numId w:val="43"/>
        </w:numPr>
        <w:rPr>
          <w:rFonts w:ascii="Times New Roman" w:cs="Times New Roman" w:eastAsia="Times New Roman" w:hAnsi="Times New Roman"/>
          <w:sz w:val="18"/>
          <w:szCs w:val="18"/>
          <w:color w:val="auto"/>
        </w:rPr>
      </w:pPr>
      <w:r>
        <w:rPr>
          <w:rFonts w:ascii="Arial" w:cs="Arial" w:eastAsia="Arial" w:hAnsi="Arial"/>
          <w:sz w:val="21"/>
          <w:szCs w:val="21"/>
          <w:color w:val="auto"/>
        </w:rPr>
        <w:t>-</w:t>
      </w:r>
      <w:r>
        <w:rPr>
          <w:rFonts w:ascii="Times New Roman" w:cs="Times New Roman" w:eastAsia="Times New Roman" w:hAnsi="Times New Roman"/>
          <w:sz w:val="15"/>
          <w:szCs w:val="15"/>
          <w:color w:val="auto"/>
        </w:rPr>
        <w:t>4</w:t>
      </w:r>
    </w:p>
    <w:p>
      <w:pPr>
        <w:sectPr>
          <w:pgSz w:w="11900" w:h="16838" w:orient="portrait"/>
          <w:cols w:equalWidth="0" w:num="1">
            <w:col w:w="11240"/>
          </w:cols>
          <w:pgMar w:left="320" w:top="1313" w:right="339" w:bottom="1440" w:gutter="0" w:footer="0" w:header="0"/>
        </w:sectPr>
      </w:pPr>
    </w:p>
    <w:bookmarkStart w:id="44" w:name="page45"/>
    <w:bookmarkEnd w:id="44"/>
    <w:p>
      <w:pPr>
        <w:ind w:left="-183" w:right="500" w:firstLine="183"/>
        <w:spacing w:after="0" w:line="219" w:lineRule="auto"/>
        <w:tabs>
          <w:tab w:leader="none" w:pos="43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ind w:left="417" w:hanging="417"/>
        <w:spacing w:after="0" w:line="199" w:lineRule="auto"/>
        <w:tabs>
          <w:tab w:leader="none" w:pos="41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1" w:lineRule="exact"/>
        <w:rPr>
          <w:sz w:val="20"/>
          <w:szCs w:val="20"/>
          <w:color w:val="auto"/>
        </w:rPr>
      </w:pPr>
    </w:p>
    <w:p>
      <w:pPr>
        <w:ind w:left="-183" w:right="20" w:firstLine="183"/>
        <w:spacing w:after="0" w:line="206" w:lineRule="auto"/>
        <w:tabs>
          <w:tab w:leader="none" w:pos="37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further undertakes that, for purposes of determining any liability under the Securities Act of 1933,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ind w:left="-183" w:firstLine="183"/>
        <w:spacing w:after="0" w:line="203" w:lineRule="auto"/>
        <w:tabs>
          <w:tab w:leader="none" w:pos="36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5" w:lineRule="exact"/>
        <w:rPr>
          <w:rFonts w:ascii="Times New Roman" w:cs="Times New Roman" w:eastAsia="Times New Roman" w:hAnsi="Times New Roman"/>
          <w:sz w:val="18"/>
          <w:szCs w:val="18"/>
          <w:color w:val="auto"/>
        </w:rPr>
      </w:pPr>
    </w:p>
    <w:p>
      <w:pPr>
        <w:ind w:left="377" w:hanging="377"/>
        <w:spacing w:after="0" w:line="215" w:lineRule="auto"/>
        <w:tabs>
          <w:tab w:leader="none" w:pos="37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w:t>
      </w:r>
    </w:p>
    <w:p>
      <w:pPr>
        <w:ind w:left="-183" w:right="260" w:firstLine="183"/>
        <w:spacing w:after="0" w:line="205" w:lineRule="auto"/>
        <w:tabs>
          <w:tab w:leader="none" w:pos="37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of 1933 shall be deemed to be part of this registration statement as of the time it was declared effective.</w:t>
      </w:r>
    </w:p>
    <w:p>
      <w:pPr>
        <w:ind w:left="-183" w:right="60" w:firstLine="183"/>
        <w:spacing w:after="0" w:line="205" w:lineRule="auto"/>
        <w:tabs>
          <w:tab w:leader="none" w:pos="37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ind w:left="-183" w:right="60" w:firstLine="183"/>
        <w:spacing w:after="0" w:line="215" w:lineRule="auto"/>
        <w:tabs>
          <w:tab w:leader="none" w:pos="36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to file an application for the purpose of determining the eligibility of each of the Senior Trustee and the Subordinated Trustee to act under subsection (a) of section 310 of the Trust Indenture Act of 1939 (the “Act”) in accordance with the rules and regulations prescribed by the SEC under section 305(b)(2) of the Act.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61" w:lineRule="exact"/>
        <w:rPr>
          <w:rFonts w:ascii="Times New Roman" w:cs="Times New Roman" w:eastAsia="Times New Roman" w:hAnsi="Times New Roman"/>
          <w:sz w:val="18"/>
          <w:szCs w:val="18"/>
          <w:color w:val="auto"/>
        </w:rPr>
      </w:pPr>
    </w:p>
    <w:p>
      <w:pPr>
        <w:ind w:left="5437" w:hanging="152"/>
        <w:spacing w:after="0"/>
        <w:tabs>
          <w:tab w:leader="none" w:pos="5437" w:val="left"/>
        </w:tabs>
        <w:numPr>
          <w:ilvl w:val="1"/>
          <w:numId w:val="47"/>
        </w:numPr>
        <w:rPr>
          <w:rFonts w:ascii="Times New Roman" w:cs="Times New Roman" w:eastAsia="Times New Roman" w:hAnsi="Times New Roman"/>
          <w:sz w:val="18"/>
          <w:szCs w:val="18"/>
          <w:color w:val="auto"/>
        </w:rPr>
      </w:pPr>
      <w:r>
        <w:rPr>
          <w:rFonts w:ascii="Arial" w:cs="Arial" w:eastAsia="Arial" w:hAnsi="Arial"/>
          <w:sz w:val="21"/>
          <w:szCs w:val="21"/>
          <w:color w:val="auto"/>
        </w:rPr>
        <w:t>-</w:t>
      </w:r>
      <w:r>
        <w:rPr>
          <w:rFonts w:ascii="Times New Roman" w:cs="Times New Roman" w:eastAsia="Times New Roman" w:hAnsi="Times New Roman"/>
          <w:sz w:val="15"/>
          <w:szCs w:val="15"/>
          <w:color w:val="auto"/>
        </w:rPr>
        <w:t>5</w:t>
      </w:r>
    </w:p>
    <w:p>
      <w:pPr>
        <w:sectPr>
          <w:pgSz w:w="11900" w:h="16838" w:orient="portrait"/>
          <w:cols w:equalWidth="0" w:num="1">
            <w:col w:w="11057"/>
          </w:cols>
          <w:pgMar w:left="503" w:top="1063" w:right="339" w:bottom="1440" w:gutter="0" w:footer="0" w:header="0"/>
        </w:sectPr>
      </w:pPr>
    </w:p>
    <w:bookmarkStart w:id="45" w:name="page46"/>
    <w:bookmarkEnd w:id="4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6" w:lineRule="exact"/>
        <w:rPr>
          <w:sz w:val="20"/>
          <w:szCs w:val="20"/>
          <w:color w:val="auto"/>
        </w:rPr>
      </w:pPr>
    </w:p>
    <w:p>
      <w:pPr>
        <w:ind w:firstLine="382"/>
        <w:spacing w:after="0" w:line="244"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Houston, State of Texas, on August 29, 2022.</w:t>
      </w:r>
    </w:p>
    <w:p>
      <w:pPr>
        <w:spacing w:after="0" w:line="231"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CIVEO CORPORATION</w:t>
      </w:r>
    </w:p>
    <w:p>
      <w:pPr>
        <w:spacing w:after="0" w:line="350" w:lineRule="exact"/>
        <w:rPr>
          <w:sz w:val="20"/>
          <w:szCs w:val="20"/>
          <w:color w:val="auto"/>
        </w:rPr>
      </w:pPr>
    </w:p>
    <w:p>
      <w:pPr>
        <w:ind w:left="5560"/>
        <w:spacing w:after="0"/>
        <w:tabs>
          <w:tab w:leader="none" w:pos="6000" w:val="left"/>
        </w:tabs>
        <w:rPr>
          <w:sz w:val="20"/>
          <w:szCs w:val="20"/>
          <w:color w:val="auto"/>
        </w:rPr>
      </w:pPr>
      <w:r>
        <w:rPr>
          <w:rFonts w:ascii="Times New Roman" w:cs="Times New Roman" w:eastAsia="Times New Roman" w:hAnsi="Times New Roman"/>
          <w:sz w:val="18"/>
          <w:szCs w:val="18"/>
          <w:color w:val="auto"/>
        </w:rPr>
        <w:t>By:</w:t>
        <w:tab/>
        <w:t>/s/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40005</wp:posOffset>
            </wp:positionV>
            <wp:extent cx="24765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2476500" cy="8255"/>
                    </a:xfrm>
                    <a:prstGeom prst="rect">
                      <a:avLst/>
                    </a:prstGeom>
                    <a:noFill/>
                  </pic:spPr>
                </pic:pic>
              </a:graphicData>
            </a:graphic>
          </wp:anchor>
        </w:drawing>
      </w:r>
    </w:p>
    <w:p>
      <w:pPr>
        <w:spacing w:after="0" w:line="65"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Bradley J. Dodson</w:t>
      </w:r>
    </w:p>
    <w:p>
      <w:pPr>
        <w:spacing w:after="0" w:line="70"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93" w:lineRule="exact"/>
        <w:rPr>
          <w:sz w:val="20"/>
          <w:szCs w:val="20"/>
          <w:color w:val="auto"/>
        </w:rPr>
      </w:pPr>
    </w:p>
    <w:p>
      <w:pPr>
        <w:jc w:val="both"/>
        <w:ind w:right="120" w:firstLine="637"/>
        <w:spacing w:after="0" w:line="225" w:lineRule="auto"/>
        <w:rPr>
          <w:sz w:val="20"/>
          <w:szCs w:val="20"/>
          <w:color w:val="auto"/>
        </w:rPr>
      </w:pPr>
      <w:r>
        <w:rPr>
          <w:rFonts w:ascii="Times New Roman" w:cs="Times New Roman" w:eastAsia="Times New Roman" w:hAnsi="Times New Roman"/>
          <w:sz w:val="17"/>
          <w:szCs w:val="17"/>
          <w:color w:val="auto"/>
        </w:rPr>
        <w:t>KNOW ALL PERSONS BY THESE PRESENTS, that each person whose signature appears below constitutes and appoints Bradley J. Dodson and Carolyn J. Stone, and each of them, as his true and lawful attorneys-in-fact and agents, with full power of substitution and resubstitution, for the undersigned and in his name, place and stead, in any and all capacities, to sign any and all amendments (including post-effective amendments) to this registration</w:t>
      </w:r>
    </w:p>
    <w:p>
      <w:pPr>
        <w:spacing w:after="0" w:line="1" w:lineRule="exact"/>
        <w:rPr>
          <w:sz w:val="20"/>
          <w:szCs w:val="20"/>
          <w:color w:val="auto"/>
        </w:rPr>
      </w:pPr>
    </w:p>
    <w:p>
      <w:pPr>
        <w:ind w:right="80"/>
        <w:spacing w:after="0" w:line="217" w:lineRule="auto"/>
        <w:rPr>
          <w:sz w:val="20"/>
          <w:szCs w:val="20"/>
          <w:color w:val="auto"/>
        </w:rPr>
      </w:pPr>
      <w:r>
        <w:rPr>
          <w:rFonts w:ascii="Times New Roman" w:cs="Times New Roman" w:eastAsia="Times New Roman" w:hAnsi="Times New Roman"/>
          <w:sz w:val="17"/>
          <w:szCs w:val="17"/>
          <w:color w:val="auto"/>
        </w:rPr>
        <w:t>statement, any registration statement for the same offering filed pursuant to Rule 462(b) under the Securities Act of 1933 and any and all amendments (including post-effective amendments) thereto, and to file the same, with all exhibits thereto, and all documents in connection therewith, with the Securities and Exchange Commission, granting unto said attorneys-in-fact and agents, full power and authority to do and perform each and every act and thing requisite</w:t>
      </w:r>
    </w:p>
    <w:p>
      <w:pPr>
        <w:ind w:right="240"/>
        <w:spacing w:after="0" w:line="222" w:lineRule="auto"/>
        <w:rPr>
          <w:sz w:val="20"/>
          <w:szCs w:val="20"/>
          <w:color w:val="auto"/>
        </w:rPr>
      </w:pPr>
      <w:r>
        <w:rPr>
          <w:rFonts w:ascii="Times New Roman" w:cs="Times New Roman" w:eastAsia="Times New Roman" w:hAnsi="Times New Roman"/>
          <w:sz w:val="18"/>
          <w:szCs w:val="18"/>
          <w:color w:val="auto"/>
        </w:rPr>
        <w:t>and necessary to be done in connection therewith, as fully to all intents and purposes as he might or could do in person, hereby ratifying and confirming all that said attorneys-in-fact and agents, or any of them or their or his substitute or substitutes, may lawfully do or cause to be done by virtue hereof.</w:t>
      </w:r>
    </w:p>
    <w:p>
      <w:pPr>
        <w:spacing w:after="0" w:line="128" w:lineRule="exact"/>
        <w:rPr>
          <w:sz w:val="20"/>
          <w:szCs w:val="20"/>
          <w:color w:val="auto"/>
        </w:rPr>
      </w:pPr>
    </w:p>
    <w:p>
      <w:pPr>
        <w:ind w:right="100" w:firstLine="637"/>
        <w:spacing w:after="0" w:line="234"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1220"/>
          </w:cols>
          <w:pgMar w:left="320" w:top="1074" w:right="35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4"/>
        </w:trPr>
        <w:tc>
          <w:tcPr>
            <w:tcW w:w="3460" w:type="dxa"/>
            <w:vAlign w:val="bottom"/>
          </w:tcPr>
          <w:p>
            <w:pPr>
              <w:ind w:left="15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80" w:type="dxa"/>
            <w:vAlign w:val="bottom"/>
          </w:tcPr>
          <w:p>
            <w:pPr>
              <w:spacing w:after="0"/>
              <w:rPr>
                <w:sz w:val="20"/>
                <w:szCs w:val="20"/>
                <w:color w:val="auto"/>
              </w:rPr>
            </w:pPr>
          </w:p>
        </w:tc>
        <w:tc>
          <w:tcPr>
            <w:tcW w:w="5600" w:type="dxa"/>
            <w:vAlign w:val="bottom"/>
            <w:gridSpan w:val="2"/>
          </w:tcPr>
          <w:p>
            <w:pPr>
              <w:ind w:left="2300"/>
              <w:spacing w:after="0"/>
              <w:rPr>
                <w:sz w:val="20"/>
                <w:szCs w:val="20"/>
                <w:color w:val="auto"/>
              </w:rPr>
            </w:pPr>
            <w:r>
              <w:rPr>
                <w:rFonts w:ascii="Times New Roman" w:cs="Times New Roman" w:eastAsia="Times New Roman" w:hAnsi="Times New Roman"/>
                <w:sz w:val="18"/>
                <w:szCs w:val="18"/>
                <w:b w:val="1"/>
                <w:bCs w:val="1"/>
                <w:color w:val="auto"/>
              </w:rPr>
              <w:t>Capacity</w:t>
            </w:r>
          </w:p>
        </w:tc>
        <w:tc>
          <w:tcPr>
            <w:tcW w:w="190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Date</w:t>
            </w:r>
          </w:p>
        </w:tc>
        <w:tc>
          <w:tcPr>
            <w:tcW w:w="0" w:type="dxa"/>
            <w:vAlign w:val="bottom"/>
          </w:tcPr>
          <w:p>
            <w:pPr>
              <w:spacing w:after="0"/>
              <w:rPr>
                <w:sz w:val="1"/>
                <w:szCs w:val="1"/>
                <w:color w:val="auto"/>
              </w:rPr>
            </w:pPr>
          </w:p>
        </w:tc>
      </w:tr>
      <w:tr>
        <w:trPr>
          <w:trHeight w:val="39"/>
        </w:trPr>
        <w:tc>
          <w:tcPr>
            <w:tcW w:w="346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528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32"/>
        </w:trPr>
        <w:tc>
          <w:tcPr>
            <w:tcW w:w="3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 Richard A. Navarre</w:t>
            </w:r>
          </w:p>
        </w:tc>
        <w:tc>
          <w:tcPr>
            <w:tcW w:w="280" w:type="dxa"/>
            <w:vAlign w:val="bottom"/>
          </w:tcPr>
          <w:p>
            <w:pPr>
              <w:spacing w:after="0"/>
              <w:rPr>
                <w:sz w:val="24"/>
                <w:szCs w:val="24"/>
                <w:color w:val="auto"/>
              </w:rPr>
            </w:pPr>
          </w:p>
        </w:tc>
        <w:tc>
          <w:tcPr>
            <w:tcW w:w="56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Chairman of the Board</w:t>
            </w: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29, 2022</w:t>
            </w:r>
          </w:p>
        </w:tc>
        <w:tc>
          <w:tcPr>
            <w:tcW w:w="0" w:type="dxa"/>
            <w:vAlign w:val="bottom"/>
          </w:tcPr>
          <w:p>
            <w:pPr>
              <w:spacing w:after="0"/>
              <w:rPr>
                <w:sz w:val="1"/>
                <w:szCs w:val="1"/>
                <w:color w:val="auto"/>
              </w:rPr>
            </w:pPr>
          </w:p>
        </w:tc>
      </w:tr>
      <w:tr>
        <w:trPr>
          <w:trHeight w:val="39"/>
        </w:trPr>
        <w:tc>
          <w:tcPr>
            <w:tcW w:w="346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5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3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Richard A. Navarre</w:t>
            </w:r>
          </w:p>
        </w:tc>
        <w:tc>
          <w:tcPr>
            <w:tcW w:w="28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8"/>
        </w:trPr>
        <w:tc>
          <w:tcPr>
            <w:tcW w:w="3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 Bradley J. Dodson</w:t>
            </w:r>
          </w:p>
        </w:tc>
        <w:tc>
          <w:tcPr>
            <w:tcW w:w="280" w:type="dxa"/>
            <w:vAlign w:val="bottom"/>
          </w:tcPr>
          <w:p>
            <w:pPr>
              <w:spacing w:after="0"/>
              <w:rPr>
                <w:sz w:val="24"/>
                <w:szCs w:val="24"/>
                <w:color w:val="auto"/>
              </w:rPr>
            </w:pPr>
          </w:p>
        </w:tc>
        <w:tc>
          <w:tcPr>
            <w:tcW w:w="56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 President &amp; Chief Executive Officer</w:t>
            </w: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29, 2022</w:t>
            </w:r>
          </w:p>
        </w:tc>
        <w:tc>
          <w:tcPr>
            <w:tcW w:w="0" w:type="dxa"/>
            <w:vAlign w:val="bottom"/>
          </w:tcPr>
          <w:p>
            <w:pPr>
              <w:spacing w:after="0"/>
              <w:rPr>
                <w:sz w:val="1"/>
                <w:szCs w:val="1"/>
                <w:color w:val="auto"/>
              </w:rPr>
            </w:pPr>
          </w:p>
        </w:tc>
      </w:tr>
      <w:tr>
        <w:trPr>
          <w:trHeight w:val="39"/>
        </w:trPr>
        <w:tc>
          <w:tcPr>
            <w:tcW w:w="346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560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3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Bradley J. Dodson</w:t>
            </w:r>
          </w:p>
        </w:tc>
        <w:tc>
          <w:tcPr>
            <w:tcW w:w="280" w:type="dxa"/>
            <w:vAlign w:val="bottom"/>
          </w:tcPr>
          <w:p>
            <w:pPr>
              <w:spacing w:after="0"/>
              <w:rPr>
                <w:sz w:val="20"/>
                <w:szCs w:val="20"/>
                <w:color w:val="auto"/>
              </w:rPr>
            </w:pPr>
          </w:p>
        </w:tc>
        <w:tc>
          <w:tcPr>
            <w:tcW w:w="5600" w:type="dxa"/>
            <w:vAlign w:val="bottom"/>
            <w:gridSpan w:val="2"/>
            <w:vMerge w:val="continue"/>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8"/>
        </w:trPr>
        <w:tc>
          <w:tcPr>
            <w:tcW w:w="3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 Carolyn J. Stone</w:t>
            </w:r>
          </w:p>
        </w:tc>
        <w:tc>
          <w:tcPr>
            <w:tcW w:w="280" w:type="dxa"/>
            <w:vAlign w:val="bottom"/>
          </w:tcPr>
          <w:p>
            <w:pPr>
              <w:spacing w:after="0"/>
              <w:rPr>
                <w:sz w:val="24"/>
                <w:szCs w:val="24"/>
                <w:color w:val="auto"/>
              </w:rPr>
            </w:pPr>
          </w:p>
        </w:tc>
        <w:tc>
          <w:tcPr>
            <w:tcW w:w="56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Senior Vice President, Chief Financial Officer and Treasurer</w:t>
            </w: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29, 2022</w:t>
            </w:r>
          </w:p>
        </w:tc>
        <w:tc>
          <w:tcPr>
            <w:tcW w:w="0" w:type="dxa"/>
            <w:vAlign w:val="bottom"/>
          </w:tcPr>
          <w:p>
            <w:pPr>
              <w:spacing w:after="0"/>
              <w:rPr>
                <w:sz w:val="1"/>
                <w:szCs w:val="1"/>
                <w:color w:val="auto"/>
              </w:rPr>
            </w:pPr>
          </w:p>
        </w:tc>
      </w:tr>
      <w:tr>
        <w:trPr>
          <w:trHeight w:val="39"/>
        </w:trPr>
        <w:tc>
          <w:tcPr>
            <w:tcW w:w="346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560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(Principal Financial Officer and Accounting Officer)</w:t>
            </w:r>
          </w:p>
        </w:tc>
        <w:tc>
          <w:tcPr>
            <w:tcW w:w="1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3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Carolyn J. Stone</w:t>
            </w:r>
          </w:p>
        </w:tc>
        <w:tc>
          <w:tcPr>
            <w:tcW w:w="280" w:type="dxa"/>
            <w:vAlign w:val="bottom"/>
          </w:tcPr>
          <w:p>
            <w:pPr>
              <w:spacing w:after="0"/>
              <w:rPr>
                <w:sz w:val="20"/>
                <w:szCs w:val="20"/>
                <w:color w:val="auto"/>
              </w:rPr>
            </w:pPr>
          </w:p>
        </w:tc>
        <w:tc>
          <w:tcPr>
            <w:tcW w:w="5600" w:type="dxa"/>
            <w:vAlign w:val="bottom"/>
            <w:gridSpan w:val="2"/>
            <w:vMerge w:val="continue"/>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8"/>
        </w:trPr>
        <w:tc>
          <w:tcPr>
            <w:tcW w:w="3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 C. Ronald Blankenship</w:t>
            </w:r>
          </w:p>
        </w:tc>
        <w:tc>
          <w:tcPr>
            <w:tcW w:w="280" w:type="dxa"/>
            <w:vAlign w:val="bottom"/>
          </w:tcPr>
          <w:p>
            <w:pPr>
              <w:spacing w:after="0"/>
              <w:rPr>
                <w:sz w:val="24"/>
                <w:szCs w:val="24"/>
                <w:color w:val="auto"/>
              </w:rPr>
            </w:pPr>
          </w:p>
        </w:tc>
        <w:tc>
          <w:tcPr>
            <w:tcW w:w="56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29, 2022</w:t>
            </w:r>
          </w:p>
        </w:tc>
        <w:tc>
          <w:tcPr>
            <w:tcW w:w="0" w:type="dxa"/>
            <w:vAlign w:val="bottom"/>
          </w:tcPr>
          <w:p>
            <w:pPr>
              <w:spacing w:after="0"/>
              <w:rPr>
                <w:sz w:val="1"/>
                <w:szCs w:val="1"/>
                <w:color w:val="auto"/>
              </w:rPr>
            </w:pPr>
          </w:p>
        </w:tc>
      </w:tr>
      <w:tr>
        <w:trPr>
          <w:trHeight w:val="39"/>
        </w:trPr>
        <w:tc>
          <w:tcPr>
            <w:tcW w:w="346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5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3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 Ronald Blankenship</w:t>
            </w:r>
          </w:p>
        </w:tc>
        <w:tc>
          <w:tcPr>
            <w:tcW w:w="28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8"/>
        </w:trPr>
        <w:tc>
          <w:tcPr>
            <w:tcW w:w="3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 Jay K. Grewal</w:t>
            </w:r>
          </w:p>
        </w:tc>
        <w:tc>
          <w:tcPr>
            <w:tcW w:w="280" w:type="dxa"/>
            <w:vAlign w:val="bottom"/>
          </w:tcPr>
          <w:p>
            <w:pPr>
              <w:spacing w:after="0"/>
              <w:rPr>
                <w:sz w:val="24"/>
                <w:szCs w:val="24"/>
                <w:color w:val="auto"/>
              </w:rPr>
            </w:pPr>
          </w:p>
        </w:tc>
        <w:tc>
          <w:tcPr>
            <w:tcW w:w="56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29, 2022</w:t>
            </w:r>
          </w:p>
        </w:tc>
        <w:tc>
          <w:tcPr>
            <w:tcW w:w="0" w:type="dxa"/>
            <w:vAlign w:val="bottom"/>
          </w:tcPr>
          <w:p>
            <w:pPr>
              <w:spacing w:after="0"/>
              <w:rPr>
                <w:sz w:val="1"/>
                <w:szCs w:val="1"/>
                <w:color w:val="auto"/>
              </w:rPr>
            </w:pPr>
          </w:p>
        </w:tc>
      </w:tr>
      <w:tr>
        <w:trPr>
          <w:trHeight w:val="39"/>
        </w:trPr>
        <w:tc>
          <w:tcPr>
            <w:tcW w:w="346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5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3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Jay K. Grewal</w:t>
            </w:r>
          </w:p>
        </w:tc>
        <w:tc>
          <w:tcPr>
            <w:tcW w:w="28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8"/>
        </w:trPr>
        <w:tc>
          <w:tcPr>
            <w:tcW w:w="3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 Martin A. Lambert</w:t>
            </w:r>
          </w:p>
        </w:tc>
        <w:tc>
          <w:tcPr>
            <w:tcW w:w="280" w:type="dxa"/>
            <w:vAlign w:val="bottom"/>
          </w:tcPr>
          <w:p>
            <w:pPr>
              <w:spacing w:after="0"/>
              <w:rPr>
                <w:sz w:val="24"/>
                <w:szCs w:val="24"/>
                <w:color w:val="auto"/>
              </w:rPr>
            </w:pPr>
          </w:p>
        </w:tc>
        <w:tc>
          <w:tcPr>
            <w:tcW w:w="56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29, 2022</w:t>
            </w:r>
          </w:p>
        </w:tc>
        <w:tc>
          <w:tcPr>
            <w:tcW w:w="0" w:type="dxa"/>
            <w:vAlign w:val="bottom"/>
          </w:tcPr>
          <w:p>
            <w:pPr>
              <w:spacing w:after="0"/>
              <w:rPr>
                <w:sz w:val="1"/>
                <w:szCs w:val="1"/>
                <w:color w:val="auto"/>
              </w:rPr>
            </w:pPr>
          </w:p>
        </w:tc>
      </w:tr>
      <w:tr>
        <w:trPr>
          <w:trHeight w:val="39"/>
        </w:trPr>
        <w:tc>
          <w:tcPr>
            <w:tcW w:w="346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5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3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Martin A. Lambert</w:t>
            </w:r>
          </w:p>
        </w:tc>
        <w:tc>
          <w:tcPr>
            <w:tcW w:w="28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8"/>
        </w:trPr>
        <w:tc>
          <w:tcPr>
            <w:tcW w:w="3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 Michael Montelongo</w:t>
            </w:r>
          </w:p>
        </w:tc>
        <w:tc>
          <w:tcPr>
            <w:tcW w:w="280" w:type="dxa"/>
            <w:vAlign w:val="bottom"/>
          </w:tcPr>
          <w:p>
            <w:pPr>
              <w:spacing w:after="0"/>
              <w:rPr>
                <w:sz w:val="24"/>
                <w:szCs w:val="24"/>
                <w:color w:val="auto"/>
              </w:rPr>
            </w:pPr>
          </w:p>
        </w:tc>
        <w:tc>
          <w:tcPr>
            <w:tcW w:w="56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29, 2022</w:t>
            </w:r>
          </w:p>
        </w:tc>
        <w:tc>
          <w:tcPr>
            <w:tcW w:w="0" w:type="dxa"/>
            <w:vAlign w:val="bottom"/>
          </w:tcPr>
          <w:p>
            <w:pPr>
              <w:spacing w:after="0"/>
              <w:rPr>
                <w:sz w:val="1"/>
                <w:szCs w:val="1"/>
                <w:color w:val="auto"/>
              </w:rPr>
            </w:pPr>
          </w:p>
        </w:tc>
      </w:tr>
      <w:tr>
        <w:trPr>
          <w:trHeight w:val="39"/>
        </w:trPr>
        <w:tc>
          <w:tcPr>
            <w:tcW w:w="346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5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3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Michael Montelongo</w:t>
            </w:r>
          </w:p>
        </w:tc>
        <w:tc>
          <w:tcPr>
            <w:tcW w:w="28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8"/>
        </w:trPr>
        <w:tc>
          <w:tcPr>
            <w:tcW w:w="3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 Constance B. Moore</w:t>
            </w:r>
          </w:p>
        </w:tc>
        <w:tc>
          <w:tcPr>
            <w:tcW w:w="280" w:type="dxa"/>
            <w:vAlign w:val="bottom"/>
          </w:tcPr>
          <w:p>
            <w:pPr>
              <w:spacing w:after="0"/>
              <w:rPr>
                <w:sz w:val="24"/>
                <w:szCs w:val="24"/>
                <w:color w:val="auto"/>
              </w:rPr>
            </w:pPr>
          </w:p>
        </w:tc>
        <w:tc>
          <w:tcPr>
            <w:tcW w:w="56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29, 2022</w:t>
            </w:r>
          </w:p>
        </w:tc>
        <w:tc>
          <w:tcPr>
            <w:tcW w:w="0" w:type="dxa"/>
            <w:vAlign w:val="bottom"/>
          </w:tcPr>
          <w:p>
            <w:pPr>
              <w:spacing w:after="0"/>
              <w:rPr>
                <w:sz w:val="1"/>
                <w:szCs w:val="1"/>
                <w:color w:val="auto"/>
              </w:rPr>
            </w:pPr>
          </w:p>
        </w:tc>
      </w:tr>
      <w:tr>
        <w:trPr>
          <w:trHeight w:val="39"/>
        </w:trPr>
        <w:tc>
          <w:tcPr>
            <w:tcW w:w="346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5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3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Constance B. Moore</w:t>
            </w:r>
          </w:p>
        </w:tc>
        <w:tc>
          <w:tcPr>
            <w:tcW w:w="28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8"/>
        </w:trPr>
        <w:tc>
          <w:tcPr>
            <w:tcW w:w="3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 Charles Szalkowski</w:t>
            </w:r>
          </w:p>
        </w:tc>
        <w:tc>
          <w:tcPr>
            <w:tcW w:w="280" w:type="dxa"/>
            <w:vAlign w:val="bottom"/>
          </w:tcPr>
          <w:p>
            <w:pPr>
              <w:spacing w:after="0"/>
              <w:rPr>
                <w:sz w:val="24"/>
                <w:szCs w:val="24"/>
                <w:color w:val="auto"/>
              </w:rPr>
            </w:pPr>
          </w:p>
        </w:tc>
        <w:tc>
          <w:tcPr>
            <w:tcW w:w="56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29, 2022</w:t>
            </w:r>
          </w:p>
        </w:tc>
        <w:tc>
          <w:tcPr>
            <w:tcW w:w="0" w:type="dxa"/>
            <w:vAlign w:val="bottom"/>
          </w:tcPr>
          <w:p>
            <w:pPr>
              <w:spacing w:after="0"/>
              <w:rPr>
                <w:sz w:val="1"/>
                <w:szCs w:val="1"/>
                <w:color w:val="auto"/>
              </w:rPr>
            </w:pPr>
          </w:p>
        </w:tc>
      </w:tr>
      <w:tr>
        <w:trPr>
          <w:trHeight w:val="39"/>
        </w:trPr>
        <w:tc>
          <w:tcPr>
            <w:tcW w:w="346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5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3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Charles Szalkowski</w:t>
            </w:r>
          </w:p>
        </w:tc>
        <w:tc>
          <w:tcPr>
            <w:tcW w:w="28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8"/>
        </w:trPr>
        <w:tc>
          <w:tcPr>
            <w:tcW w:w="3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 Timothy O. Wall</w:t>
            </w:r>
          </w:p>
        </w:tc>
        <w:tc>
          <w:tcPr>
            <w:tcW w:w="280" w:type="dxa"/>
            <w:vAlign w:val="bottom"/>
          </w:tcPr>
          <w:p>
            <w:pPr>
              <w:spacing w:after="0"/>
              <w:rPr>
                <w:sz w:val="24"/>
                <w:szCs w:val="24"/>
                <w:color w:val="auto"/>
              </w:rPr>
            </w:pPr>
          </w:p>
        </w:tc>
        <w:tc>
          <w:tcPr>
            <w:tcW w:w="56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29, 2022</w:t>
            </w:r>
          </w:p>
        </w:tc>
        <w:tc>
          <w:tcPr>
            <w:tcW w:w="0" w:type="dxa"/>
            <w:vAlign w:val="bottom"/>
          </w:tcPr>
          <w:p>
            <w:pPr>
              <w:spacing w:after="0"/>
              <w:rPr>
                <w:sz w:val="1"/>
                <w:szCs w:val="1"/>
                <w:color w:val="auto"/>
              </w:rPr>
            </w:pPr>
          </w:p>
        </w:tc>
      </w:tr>
      <w:tr>
        <w:trPr>
          <w:trHeight w:val="39"/>
        </w:trPr>
        <w:tc>
          <w:tcPr>
            <w:tcW w:w="346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5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3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Timothy O. Wall</w:t>
            </w:r>
          </w:p>
        </w:tc>
        <w:tc>
          <w:tcPr>
            <w:tcW w:w="28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27" w:right="339" w:bottom="1440" w:gutter="0" w:footer="0" w:header="0"/>
        </w:sectPr>
      </w:pPr>
    </w:p>
    <w:bookmarkStart w:id="47" w:name="page48"/>
    <w:bookmarkEnd w:id="47"/>
    <w:p>
      <w:pPr>
        <w:ind w:left="10740"/>
        <w:spacing w:after="0"/>
        <w:rPr>
          <w:sz w:val="20"/>
          <w:szCs w:val="20"/>
          <w:color w:val="auto"/>
        </w:rPr>
      </w:pPr>
      <w:r>
        <w:rPr>
          <w:rFonts w:ascii="Times New Roman" w:cs="Times New Roman" w:eastAsia="Times New Roman" w:hAnsi="Times New Roman"/>
          <w:sz w:val="15"/>
          <w:szCs w:val="15"/>
          <w:color w:val="auto"/>
        </w:rPr>
        <w:t>Exhibit</w:t>
      </w:r>
    </w:p>
    <w:p>
      <w:pPr>
        <w:spacing w:after="0" w:line="20" w:lineRule="exact"/>
        <w:rPr>
          <w:sz w:val="20"/>
          <w:szCs w:val="20"/>
          <w:color w:val="auto"/>
        </w:rPr>
      </w:pPr>
    </w:p>
    <w:p>
      <w:pPr>
        <w:ind w:left="10740"/>
        <w:spacing w:after="0"/>
        <w:rPr>
          <w:sz w:val="20"/>
          <w:szCs w:val="20"/>
          <w:color w:val="auto"/>
        </w:rPr>
      </w:pPr>
      <w:r>
        <w:rPr>
          <w:rFonts w:ascii="Times New Roman" w:cs="Times New Roman" w:eastAsia="Times New Roman" w:hAnsi="Times New Roman"/>
          <w:sz w:val="18"/>
          <w:szCs w:val="18"/>
          <w:color w:val="auto"/>
        </w:rPr>
        <w:t>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b w:val="1"/>
          <w:bCs w:val="1"/>
          <w:color w:val="auto"/>
        </w:rPr>
        <w:t>Calculation of Filing Fee Tables</w:t>
      </w:r>
    </w:p>
    <w:p>
      <w:pPr>
        <w:spacing w:after="0" w:line="2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4"/>
          <w:szCs w:val="14"/>
          <w:b w:val="1"/>
          <w:bCs w:val="1"/>
          <w:color w:val="auto"/>
        </w:rPr>
        <w:t>Form S-3</w:t>
      </w:r>
    </w:p>
    <w:p>
      <w:pPr>
        <w:jc w:val="center"/>
        <w:ind w:right="200"/>
        <w:spacing w:after="0"/>
        <w:rPr>
          <w:sz w:val="20"/>
          <w:szCs w:val="20"/>
          <w:color w:val="auto"/>
        </w:rPr>
      </w:pPr>
      <w:r>
        <w:rPr>
          <w:rFonts w:ascii="Times New Roman" w:cs="Times New Roman" w:eastAsia="Times New Roman" w:hAnsi="Times New Roman"/>
          <w:sz w:val="14"/>
          <w:szCs w:val="14"/>
          <w:color w:val="auto"/>
        </w:rPr>
        <w:t>(Form Type)</w:t>
      </w:r>
    </w:p>
    <w:p>
      <w:pPr>
        <w:spacing w:after="0" w:line="3"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5"/>
          <w:szCs w:val="25"/>
          <w:b w:val="1"/>
          <w:bCs w:val="1"/>
          <w:color w:val="auto"/>
        </w:rPr>
        <w:t>CIVEO CORPORATION</w:t>
      </w:r>
    </w:p>
    <w:p>
      <w:pPr>
        <w:jc w:val="center"/>
        <w:ind w:right="20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9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Table 1: Newly Registered and Carry Forward Securities</w:t>
      </w:r>
    </w:p>
    <w:p>
      <w:pPr>
        <w:spacing w:after="0" w:line="321" w:lineRule="exact"/>
        <w:rPr>
          <w:sz w:val="20"/>
          <w:szCs w:val="20"/>
          <w:color w:val="auto"/>
        </w:rPr>
      </w:pPr>
    </w:p>
    <w:tbl>
      <w:tblPr>
        <w:tblLayout w:type="fixed"/>
        <w:tblInd w:w="10" w:type="dxa"/>
        <w:tblCellMar>
          <w:top w:w="0" w:type="dxa"/>
          <w:left w:w="0" w:type="dxa"/>
          <w:bottom w:w="0" w:type="dxa"/>
          <w:right w:w="0" w:type="dxa"/>
        </w:tblCellMar>
      </w:tblPr>
      <w:tr>
        <w:trPr>
          <w:trHeight w:val="146"/>
        </w:trPr>
        <w:tc>
          <w:tcPr>
            <w:tcW w:w="940" w:type="dxa"/>
            <w:vAlign w:val="bottom"/>
            <w:tcBorders>
              <w:top w:val="single" w:sz="8" w:color="auto"/>
              <w:left w:val="single" w:sz="8" w:color="auto"/>
              <w:right w:val="single" w:sz="8" w:color="auto"/>
            </w:tcBorders>
          </w:tcPr>
          <w:p>
            <w:pPr>
              <w:spacing w:after="0"/>
              <w:rPr>
                <w:sz w:val="12"/>
                <w:szCs w:val="12"/>
                <w:color w:val="auto"/>
              </w:rPr>
            </w:pPr>
          </w:p>
        </w:tc>
        <w:tc>
          <w:tcPr>
            <w:tcW w:w="920" w:type="dxa"/>
            <w:vAlign w:val="bottom"/>
            <w:tcBorders>
              <w:top w:val="single" w:sz="8" w:color="auto"/>
              <w:right w:val="single" w:sz="8" w:color="auto"/>
            </w:tcBorders>
          </w:tcPr>
          <w:p>
            <w:pPr>
              <w:spacing w:after="0"/>
              <w:rPr>
                <w:sz w:val="12"/>
                <w:szCs w:val="12"/>
                <w:color w:val="auto"/>
              </w:rPr>
            </w:pPr>
          </w:p>
        </w:tc>
        <w:tc>
          <w:tcPr>
            <w:tcW w:w="1320" w:type="dxa"/>
            <w:vAlign w:val="bottom"/>
            <w:tcBorders>
              <w:top w:val="single" w:sz="8" w:color="auto"/>
              <w:right w:val="single" w:sz="8" w:color="auto"/>
            </w:tcBorders>
          </w:tcPr>
          <w:p>
            <w:pPr>
              <w:spacing w:after="0"/>
              <w:rPr>
                <w:sz w:val="12"/>
                <w:szCs w:val="12"/>
                <w:color w:val="auto"/>
              </w:rPr>
            </w:pPr>
          </w:p>
        </w:tc>
        <w:tc>
          <w:tcPr>
            <w:tcW w:w="880" w:type="dxa"/>
            <w:vAlign w:val="bottom"/>
            <w:tcBorders>
              <w:top w:val="single" w:sz="8" w:color="auto"/>
              <w:right w:val="single" w:sz="8" w:color="auto"/>
            </w:tcBorders>
          </w:tcPr>
          <w:p>
            <w:pPr>
              <w:spacing w:after="0"/>
              <w:rPr>
                <w:sz w:val="12"/>
                <w:szCs w:val="12"/>
                <w:color w:val="auto"/>
              </w:rPr>
            </w:pPr>
          </w:p>
        </w:tc>
        <w:tc>
          <w:tcPr>
            <w:tcW w:w="100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spacing w:after="0"/>
              <w:rPr>
                <w:sz w:val="12"/>
                <w:szCs w:val="12"/>
                <w:color w:val="auto"/>
              </w:rPr>
            </w:pPr>
          </w:p>
        </w:tc>
        <w:tc>
          <w:tcPr>
            <w:tcW w:w="1000" w:type="dxa"/>
            <w:vAlign w:val="bottom"/>
            <w:tcBorders>
              <w:top w:val="single" w:sz="8" w:color="auto"/>
              <w:right w:val="single" w:sz="8" w:color="auto"/>
            </w:tcBorders>
          </w:tcPr>
          <w:p>
            <w:pPr>
              <w:spacing w:after="0"/>
              <w:rPr>
                <w:sz w:val="12"/>
                <w:szCs w:val="12"/>
                <w:color w:val="auto"/>
              </w:rPr>
            </w:pPr>
          </w:p>
        </w:tc>
        <w:tc>
          <w:tcPr>
            <w:tcW w:w="660" w:type="dxa"/>
            <w:vAlign w:val="bottom"/>
            <w:tcBorders>
              <w:top w:val="single" w:sz="8" w:color="auto"/>
              <w:right w:val="single" w:sz="8" w:color="auto"/>
            </w:tcBorders>
          </w:tcPr>
          <w:p>
            <w:pPr>
              <w:spacing w:after="0"/>
              <w:rPr>
                <w:sz w:val="12"/>
                <w:szCs w:val="12"/>
                <w:color w:val="auto"/>
              </w:rPr>
            </w:pPr>
          </w:p>
        </w:tc>
        <w:tc>
          <w:tcPr>
            <w:tcW w:w="840" w:type="dxa"/>
            <w:vAlign w:val="bottom"/>
            <w:tcBorders>
              <w:top w:val="single" w:sz="8" w:color="auto"/>
              <w:right w:val="single" w:sz="8" w:color="auto"/>
            </w:tcBorders>
          </w:tcPr>
          <w:p>
            <w:pPr>
              <w:spacing w:after="0"/>
              <w:rPr>
                <w:sz w:val="12"/>
                <w:szCs w:val="12"/>
                <w:color w:val="auto"/>
              </w:rPr>
            </w:pPr>
          </w:p>
        </w:tc>
        <w:tc>
          <w:tcPr>
            <w:tcW w:w="660" w:type="dxa"/>
            <w:vAlign w:val="bottom"/>
            <w:tcBorders>
              <w:top w:val="single" w:sz="8" w:color="auto"/>
              <w:right w:val="single" w:sz="8" w:color="auto"/>
            </w:tcBorders>
          </w:tcPr>
          <w:p>
            <w:pPr>
              <w:spacing w:after="0"/>
              <w:rPr>
                <w:sz w:val="12"/>
                <w:szCs w:val="12"/>
                <w:color w:val="auto"/>
              </w:rPr>
            </w:pPr>
          </w:p>
        </w:tc>
        <w:tc>
          <w:tcPr>
            <w:tcW w:w="680" w:type="dxa"/>
            <w:vAlign w:val="bottom"/>
            <w:tcBorders>
              <w:top w:val="single" w:sz="8" w:color="auto"/>
              <w:right w:val="single" w:sz="8" w:color="auto"/>
            </w:tcBorders>
          </w:tcPr>
          <w:p>
            <w:pPr>
              <w:spacing w:after="0"/>
              <w:rPr>
                <w:sz w:val="12"/>
                <w:szCs w:val="12"/>
                <w:color w:val="auto"/>
              </w:rPr>
            </w:pPr>
          </w:p>
        </w:tc>
        <w:tc>
          <w:tcPr>
            <w:tcW w:w="680" w:type="dxa"/>
            <w:vAlign w:val="bottom"/>
            <w:tcBorders>
              <w:top w:val="single" w:sz="8" w:color="auto"/>
              <w:right w:val="single" w:sz="8" w:color="auto"/>
            </w:tcBorders>
          </w:tcPr>
          <w:p>
            <w:pPr>
              <w:spacing w:after="0"/>
              <w:rPr>
                <w:sz w:val="12"/>
                <w:szCs w:val="12"/>
                <w:color w:val="auto"/>
              </w:rPr>
            </w:pPr>
          </w:p>
        </w:tc>
        <w:tc>
          <w:tcPr>
            <w:tcW w:w="840" w:type="dxa"/>
            <w:vAlign w:val="bottom"/>
            <w:tcBorders>
              <w:top w:val="single" w:sz="8" w:color="auto"/>
              <w:right w:val="single" w:sz="8" w:color="auto"/>
            </w:tcBorders>
          </w:tcPr>
          <w:p>
            <w:pPr>
              <w:jc w:val="center"/>
              <w:spacing w:after="0" w:line="146" w:lineRule="exact"/>
              <w:rPr>
                <w:sz w:val="20"/>
                <w:szCs w:val="20"/>
                <w:color w:val="auto"/>
              </w:rPr>
            </w:pPr>
            <w:r>
              <w:rPr>
                <w:rFonts w:ascii="Times New Roman" w:cs="Times New Roman" w:eastAsia="Times New Roman" w:hAnsi="Times New Roman"/>
                <w:sz w:val="13"/>
                <w:szCs w:val="13"/>
                <w:b w:val="1"/>
                <w:bCs w:val="1"/>
                <w:color w:val="auto"/>
              </w:rPr>
              <w:t>Filing Fee</w:t>
            </w:r>
          </w:p>
        </w:tc>
        <w:tc>
          <w:tcPr>
            <w:tcW w:w="0" w:type="dxa"/>
            <w:vAlign w:val="bottom"/>
          </w:tcPr>
          <w:p>
            <w:pPr>
              <w:spacing w:after="0"/>
              <w:rPr>
                <w:sz w:val="1"/>
                <w:szCs w:val="1"/>
                <w:color w:val="auto"/>
              </w:rPr>
            </w:pPr>
          </w:p>
        </w:tc>
      </w:tr>
      <w:tr>
        <w:trPr>
          <w:trHeight w:val="133"/>
        </w:trPr>
        <w:tc>
          <w:tcPr>
            <w:tcW w:w="940" w:type="dxa"/>
            <w:vAlign w:val="bottom"/>
            <w:tcBorders>
              <w:left w:val="single" w:sz="8" w:color="auto"/>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Proposed</w:t>
            </w:r>
          </w:p>
        </w:tc>
        <w:tc>
          <w:tcPr>
            <w:tcW w:w="10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Carry</w:t>
            </w:r>
          </w:p>
        </w:tc>
        <w:tc>
          <w:tcPr>
            <w:tcW w:w="840" w:type="dxa"/>
            <w:vAlign w:val="bottom"/>
            <w:tcBorders>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auto"/>
              </w:rPr>
              <w:t>Previously</w:t>
            </w:r>
          </w:p>
        </w:tc>
        <w:tc>
          <w:tcPr>
            <w:tcW w:w="0" w:type="dxa"/>
            <w:vAlign w:val="bottom"/>
          </w:tcPr>
          <w:p>
            <w:pPr>
              <w:spacing w:after="0"/>
              <w:rPr>
                <w:sz w:val="1"/>
                <w:szCs w:val="1"/>
                <w:color w:val="auto"/>
              </w:rPr>
            </w:pPr>
          </w:p>
        </w:tc>
      </w:tr>
      <w:tr>
        <w:trPr>
          <w:trHeight w:val="66"/>
        </w:trPr>
        <w:tc>
          <w:tcPr>
            <w:tcW w:w="940" w:type="dxa"/>
            <w:vAlign w:val="bottom"/>
            <w:tcBorders>
              <w:left w:val="single" w:sz="8" w:color="auto"/>
              <w:right w:val="single" w:sz="8" w:color="auto"/>
            </w:tcBorders>
          </w:tcPr>
          <w:p>
            <w:pPr>
              <w:spacing w:after="0"/>
              <w:rPr>
                <w:sz w:val="5"/>
                <w:szCs w:val="5"/>
                <w:color w:val="auto"/>
              </w:rPr>
            </w:pPr>
          </w:p>
        </w:tc>
        <w:tc>
          <w:tcPr>
            <w:tcW w:w="920" w:type="dxa"/>
            <w:vAlign w:val="bottom"/>
            <w:tcBorders>
              <w:right w:val="single" w:sz="8" w:color="auto"/>
            </w:tcBorders>
          </w:tcPr>
          <w:p>
            <w:pPr>
              <w:spacing w:after="0"/>
              <w:rPr>
                <w:sz w:val="5"/>
                <w:szCs w:val="5"/>
                <w:color w:val="auto"/>
              </w:rPr>
            </w:pPr>
          </w:p>
        </w:tc>
        <w:tc>
          <w:tcPr>
            <w:tcW w:w="1320" w:type="dxa"/>
            <w:vAlign w:val="bottom"/>
            <w:tcBorders>
              <w:right w:val="single" w:sz="8" w:color="auto"/>
            </w:tcBorders>
          </w:tcPr>
          <w:p>
            <w:pPr>
              <w:spacing w:after="0"/>
              <w:rPr>
                <w:sz w:val="5"/>
                <w:szCs w:val="5"/>
                <w:color w:val="auto"/>
              </w:rPr>
            </w:pPr>
          </w:p>
        </w:tc>
        <w:tc>
          <w:tcPr>
            <w:tcW w:w="880" w:type="dxa"/>
            <w:vAlign w:val="bottom"/>
            <w:tcBorders>
              <w:right w:val="single" w:sz="8" w:color="auto"/>
            </w:tcBorders>
            <w:vMerge w:val="restart"/>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auto"/>
              </w:rPr>
              <w:t>Fee</w:t>
            </w:r>
          </w:p>
        </w:tc>
        <w:tc>
          <w:tcPr>
            <w:tcW w:w="1000" w:type="dxa"/>
            <w:vAlign w:val="bottom"/>
            <w:tcBorders>
              <w:right w:val="single" w:sz="8" w:color="auto"/>
            </w:tcBorders>
          </w:tcPr>
          <w:p>
            <w:pPr>
              <w:spacing w:after="0"/>
              <w:rPr>
                <w:sz w:val="5"/>
                <w:szCs w:val="5"/>
                <w:color w:val="auto"/>
              </w:rPr>
            </w:pPr>
          </w:p>
        </w:tc>
        <w:tc>
          <w:tcPr>
            <w:tcW w:w="740" w:type="dxa"/>
            <w:vAlign w:val="bottom"/>
            <w:tcBorders>
              <w:right w:val="single" w:sz="8" w:color="auto"/>
            </w:tcBorders>
            <w:vMerge w:val="continue"/>
          </w:tcPr>
          <w:p>
            <w:pPr>
              <w:spacing w:after="0"/>
              <w:rPr>
                <w:sz w:val="5"/>
                <w:szCs w:val="5"/>
                <w:color w:val="auto"/>
              </w:rPr>
            </w:pPr>
          </w:p>
        </w:tc>
        <w:tc>
          <w:tcPr>
            <w:tcW w:w="1000" w:type="dxa"/>
            <w:vAlign w:val="bottom"/>
            <w:tcBorders>
              <w:right w:val="single" w:sz="8" w:color="auto"/>
            </w:tcBorders>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660" w:type="dxa"/>
            <w:vAlign w:val="bottom"/>
            <w:tcBorders>
              <w:right w:val="single" w:sz="8" w:color="auto"/>
            </w:tcBorders>
            <w:vMerge w:val="restart"/>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auto"/>
              </w:rPr>
              <w:t>Carry</w:t>
            </w:r>
          </w:p>
        </w:tc>
        <w:tc>
          <w:tcPr>
            <w:tcW w:w="680" w:type="dxa"/>
            <w:vAlign w:val="bottom"/>
            <w:tcBorders>
              <w:right w:val="single" w:sz="8" w:color="auto"/>
            </w:tcBorders>
            <w:vMerge w:val="restart"/>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auto"/>
              </w:rPr>
              <w:t>Carry</w:t>
            </w:r>
          </w:p>
        </w:tc>
        <w:tc>
          <w:tcPr>
            <w:tcW w:w="680" w:type="dxa"/>
            <w:vAlign w:val="bottom"/>
            <w:tcBorders>
              <w:right w:val="single" w:sz="8" w:color="auto"/>
            </w:tcBorders>
            <w:vMerge w:val="continue"/>
          </w:tcPr>
          <w:p>
            <w:pPr>
              <w:spacing w:after="0"/>
              <w:rPr>
                <w:sz w:val="5"/>
                <w:szCs w:val="5"/>
                <w:color w:val="auto"/>
              </w:rPr>
            </w:pPr>
          </w:p>
        </w:tc>
        <w:tc>
          <w:tcPr>
            <w:tcW w:w="840" w:type="dxa"/>
            <w:vAlign w:val="bottom"/>
            <w:tcBorders>
              <w:right w:val="single" w:sz="8" w:color="auto"/>
            </w:tcBorders>
            <w:vMerge w:val="restart"/>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auto"/>
              </w:rPr>
              <w:t>Paid In</w:t>
            </w:r>
          </w:p>
        </w:tc>
        <w:tc>
          <w:tcPr>
            <w:tcW w:w="0" w:type="dxa"/>
            <w:vAlign w:val="bottom"/>
          </w:tcPr>
          <w:p>
            <w:pPr>
              <w:spacing w:after="0"/>
              <w:rPr>
                <w:sz w:val="1"/>
                <w:szCs w:val="1"/>
                <w:color w:val="auto"/>
              </w:rPr>
            </w:pPr>
          </w:p>
        </w:tc>
      </w:tr>
      <w:tr>
        <w:trPr>
          <w:trHeight w:val="66"/>
        </w:trPr>
        <w:tc>
          <w:tcPr>
            <w:tcW w:w="940" w:type="dxa"/>
            <w:vAlign w:val="bottom"/>
            <w:tcBorders>
              <w:left w:val="single" w:sz="8" w:color="auto"/>
              <w:right w:val="single" w:sz="8" w:color="auto"/>
            </w:tcBorders>
          </w:tcPr>
          <w:p>
            <w:pPr>
              <w:spacing w:after="0"/>
              <w:rPr>
                <w:sz w:val="5"/>
                <w:szCs w:val="5"/>
                <w:color w:val="auto"/>
              </w:rPr>
            </w:pPr>
          </w:p>
        </w:tc>
        <w:tc>
          <w:tcPr>
            <w:tcW w:w="920" w:type="dxa"/>
            <w:vAlign w:val="bottom"/>
            <w:tcBorders>
              <w:right w:val="single" w:sz="8" w:color="auto"/>
            </w:tcBorders>
          </w:tcPr>
          <w:p>
            <w:pPr>
              <w:spacing w:after="0"/>
              <w:rPr>
                <w:sz w:val="5"/>
                <w:szCs w:val="5"/>
                <w:color w:val="auto"/>
              </w:rPr>
            </w:pPr>
          </w:p>
        </w:tc>
        <w:tc>
          <w:tcPr>
            <w:tcW w:w="1320" w:type="dxa"/>
            <w:vAlign w:val="bottom"/>
            <w:tcBorders>
              <w:right w:val="single" w:sz="8" w:color="auto"/>
            </w:tcBorders>
          </w:tcPr>
          <w:p>
            <w:pPr>
              <w:spacing w:after="0"/>
              <w:rPr>
                <w:sz w:val="5"/>
                <w:szCs w:val="5"/>
                <w:color w:val="auto"/>
              </w:rPr>
            </w:pPr>
          </w:p>
        </w:tc>
        <w:tc>
          <w:tcPr>
            <w:tcW w:w="880" w:type="dxa"/>
            <w:vAlign w:val="bottom"/>
            <w:tcBorders>
              <w:right w:val="single" w:sz="8" w:color="auto"/>
            </w:tcBorders>
            <w:vMerge w:val="continue"/>
          </w:tcPr>
          <w:p>
            <w:pPr>
              <w:spacing w:after="0"/>
              <w:rPr>
                <w:sz w:val="5"/>
                <w:szCs w:val="5"/>
                <w:color w:val="auto"/>
              </w:rPr>
            </w:pPr>
          </w:p>
        </w:tc>
        <w:tc>
          <w:tcPr>
            <w:tcW w:w="1000" w:type="dxa"/>
            <w:vAlign w:val="bottom"/>
            <w:tcBorders>
              <w:right w:val="single" w:sz="8" w:color="auto"/>
            </w:tcBorders>
          </w:tcPr>
          <w:p>
            <w:pPr>
              <w:spacing w:after="0"/>
              <w:rPr>
                <w:sz w:val="5"/>
                <w:szCs w:val="5"/>
                <w:color w:val="auto"/>
              </w:rPr>
            </w:pPr>
          </w:p>
        </w:tc>
        <w:tc>
          <w:tcPr>
            <w:tcW w:w="740" w:type="dxa"/>
            <w:vAlign w:val="bottom"/>
            <w:tcBorders>
              <w:right w:val="single" w:sz="8" w:color="auto"/>
            </w:tcBorders>
            <w:vMerge w:val="restart"/>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auto"/>
              </w:rPr>
              <w:t>Maximum</w:t>
            </w:r>
          </w:p>
        </w:tc>
        <w:tc>
          <w:tcPr>
            <w:tcW w:w="1000" w:type="dxa"/>
            <w:vAlign w:val="bottom"/>
            <w:tcBorders>
              <w:right w:val="single" w:sz="8" w:color="auto"/>
            </w:tcBorders>
            <w:vMerge w:val="restart"/>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auto"/>
              </w:rPr>
              <w:t>Maximum</w:t>
            </w:r>
          </w:p>
        </w:tc>
        <w:tc>
          <w:tcPr>
            <w:tcW w:w="660" w:type="dxa"/>
            <w:vAlign w:val="bottom"/>
            <w:tcBorders>
              <w:right w:val="single" w:sz="8" w:color="auto"/>
            </w:tcBorders>
          </w:tcPr>
          <w:p>
            <w:pPr>
              <w:spacing w:after="0"/>
              <w:rPr>
                <w:sz w:val="5"/>
                <w:szCs w:val="5"/>
                <w:color w:val="auto"/>
              </w:rPr>
            </w:pPr>
          </w:p>
        </w:tc>
        <w:tc>
          <w:tcPr>
            <w:tcW w:w="840" w:type="dxa"/>
            <w:vAlign w:val="bottom"/>
            <w:tcBorders>
              <w:right w:val="single" w:sz="8" w:color="auto"/>
            </w:tcBorders>
            <w:vMerge w:val="restart"/>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auto"/>
              </w:rPr>
              <w:t>Amount of</w:t>
            </w:r>
          </w:p>
        </w:tc>
        <w:tc>
          <w:tcPr>
            <w:tcW w:w="660" w:type="dxa"/>
            <w:vAlign w:val="bottom"/>
            <w:tcBorders>
              <w:right w:val="single" w:sz="8" w:color="auto"/>
            </w:tcBorders>
            <w:vMerge w:val="continue"/>
          </w:tcPr>
          <w:p>
            <w:pPr>
              <w:spacing w:after="0"/>
              <w:rPr>
                <w:sz w:val="5"/>
                <w:szCs w:val="5"/>
                <w:color w:val="auto"/>
              </w:rPr>
            </w:pPr>
          </w:p>
        </w:tc>
        <w:tc>
          <w:tcPr>
            <w:tcW w:w="680" w:type="dxa"/>
            <w:vAlign w:val="bottom"/>
            <w:tcBorders>
              <w:right w:val="single" w:sz="8" w:color="auto"/>
            </w:tcBorders>
            <w:vMerge w:val="continue"/>
          </w:tcPr>
          <w:p>
            <w:pPr>
              <w:spacing w:after="0"/>
              <w:rPr>
                <w:sz w:val="5"/>
                <w:szCs w:val="5"/>
                <w:color w:val="auto"/>
              </w:rPr>
            </w:pPr>
          </w:p>
        </w:tc>
        <w:tc>
          <w:tcPr>
            <w:tcW w:w="680" w:type="dxa"/>
            <w:vAlign w:val="bottom"/>
            <w:tcBorders>
              <w:right w:val="single" w:sz="8" w:color="auto"/>
            </w:tcBorders>
            <w:vMerge w:val="restart"/>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auto"/>
              </w:rPr>
              <w:t>Forward</w:t>
            </w:r>
          </w:p>
        </w:tc>
        <w:tc>
          <w:tcPr>
            <w:tcW w:w="84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940" w:type="dxa"/>
            <w:vAlign w:val="bottom"/>
            <w:tcBorders>
              <w:left w:val="single" w:sz="8" w:color="auto"/>
              <w:right w:val="single" w:sz="8" w:color="auto"/>
            </w:tcBorders>
          </w:tcPr>
          <w:p>
            <w:pPr>
              <w:spacing w:after="0"/>
              <w:rPr>
                <w:sz w:val="5"/>
                <w:szCs w:val="5"/>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Security Type</w:t>
            </w: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Security Class Title</w:t>
            </w: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Calculation or</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40" w:type="dxa"/>
            <w:vAlign w:val="bottom"/>
            <w:tcBorders>
              <w:right w:val="single" w:sz="8" w:color="auto"/>
            </w:tcBorders>
            <w:vMerge w:val="continue"/>
          </w:tcPr>
          <w:p>
            <w:pPr>
              <w:spacing w:after="0"/>
              <w:rPr>
                <w:sz w:val="5"/>
                <w:szCs w:val="5"/>
                <w:color w:val="auto"/>
              </w:rPr>
            </w:pPr>
          </w:p>
        </w:tc>
        <w:tc>
          <w:tcPr>
            <w:tcW w:w="1000" w:type="dxa"/>
            <w:vAlign w:val="bottom"/>
            <w:tcBorders>
              <w:right w:val="single" w:sz="8" w:color="auto"/>
            </w:tcBorders>
            <w:vMerge w:val="continue"/>
          </w:tcPr>
          <w:p>
            <w:pPr>
              <w:spacing w:after="0"/>
              <w:rPr>
                <w:sz w:val="5"/>
                <w:szCs w:val="5"/>
                <w:color w:val="auto"/>
              </w:rPr>
            </w:pPr>
          </w:p>
        </w:tc>
        <w:tc>
          <w:tcPr>
            <w:tcW w:w="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Fee Rate</w:t>
            </w:r>
          </w:p>
        </w:tc>
        <w:tc>
          <w:tcPr>
            <w:tcW w:w="840" w:type="dxa"/>
            <w:vAlign w:val="bottom"/>
            <w:tcBorders>
              <w:right w:val="single" w:sz="8" w:color="auto"/>
            </w:tcBorders>
            <w:vMerge w:val="continue"/>
          </w:tcPr>
          <w:p>
            <w:pPr>
              <w:spacing w:after="0"/>
              <w:rPr>
                <w:sz w:val="5"/>
                <w:szCs w:val="5"/>
                <w:color w:val="auto"/>
              </w:rPr>
            </w:pPr>
          </w:p>
        </w:tc>
        <w:tc>
          <w:tcPr>
            <w:tcW w:w="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Forward</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Forward</w:t>
            </w:r>
          </w:p>
        </w:tc>
        <w:tc>
          <w:tcPr>
            <w:tcW w:w="680" w:type="dxa"/>
            <w:vAlign w:val="bottom"/>
            <w:tcBorders>
              <w:right w:val="single" w:sz="8" w:color="auto"/>
            </w:tcBorders>
            <w:vMerge w:val="continue"/>
          </w:tcPr>
          <w:p>
            <w:pPr>
              <w:spacing w:after="0"/>
              <w:rPr>
                <w:sz w:val="5"/>
                <w:szCs w:val="5"/>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Connection</w:t>
            </w:r>
          </w:p>
        </w:tc>
        <w:tc>
          <w:tcPr>
            <w:tcW w:w="0" w:type="dxa"/>
            <w:vAlign w:val="bottom"/>
          </w:tcPr>
          <w:p>
            <w:pPr>
              <w:spacing w:after="0"/>
              <w:rPr>
                <w:sz w:val="1"/>
                <w:szCs w:val="1"/>
                <w:color w:val="auto"/>
              </w:rPr>
            </w:pPr>
          </w:p>
        </w:tc>
      </w:tr>
      <w:tr>
        <w:trPr>
          <w:trHeight w:val="133"/>
        </w:trPr>
        <w:tc>
          <w:tcPr>
            <w:tcW w:w="940" w:type="dxa"/>
            <w:vAlign w:val="bottom"/>
            <w:tcBorders>
              <w:left w:val="single" w:sz="8" w:color="auto"/>
              <w:right w:val="single" w:sz="8" w:color="auto"/>
            </w:tcBorders>
          </w:tcPr>
          <w:p>
            <w:pPr>
              <w:spacing w:after="0"/>
              <w:rPr>
                <w:sz w:val="11"/>
                <w:szCs w:val="11"/>
                <w:color w:val="auto"/>
              </w:rPr>
            </w:pPr>
          </w:p>
        </w:tc>
        <w:tc>
          <w:tcPr>
            <w:tcW w:w="920" w:type="dxa"/>
            <w:vAlign w:val="bottom"/>
            <w:tcBorders>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880" w:type="dxa"/>
            <w:vAlign w:val="bottom"/>
            <w:tcBorders>
              <w:right w:val="single" w:sz="8" w:color="auto"/>
            </w:tcBorders>
            <w:vMerge w:val="continue"/>
          </w:tcPr>
          <w:p>
            <w:pPr>
              <w:spacing w:after="0"/>
              <w:rPr>
                <w:sz w:val="11"/>
                <w:szCs w:val="11"/>
                <w:color w:val="auto"/>
              </w:rPr>
            </w:pPr>
          </w:p>
        </w:tc>
        <w:tc>
          <w:tcPr>
            <w:tcW w:w="1000" w:type="dxa"/>
            <w:vAlign w:val="bottom"/>
            <w:tcBorders>
              <w:right w:val="single" w:sz="8" w:color="auto"/>
            </w:tcBorders>
            <w:vMerge w:val="continue"/>
          </w:tcPr>
          <w:p>
            <w:pPr>
              <w:spacing w:after="0"/>
              <w:rPr>
                <w:sz w:val="11"/>
                <w:szCs w:val="11"/>
                <w:color w:val="auto"/>
              </w:rPr>
            </w:pPr>
          </w:p>
        </w:tc>
        <w:tc>
          <w:tcPr>
            <w:tcW w:w="740" w:type="dxa"/>
            <w:vAlign w:val="bottom"/>
            <w:tcBorders>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auto"/>
              </w:rPr>
              <w:t>Offering</w:t>
            </w:r>
          </w:p>
        </w:tc>
        <w:tc>
          <w:tcPr>
            <w:tcW w:w="1000" w:type="dxa"/>
            <w:vAlign w:val="bottom"/>
            <w:tcBorders>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auto"/>
              </w:rPr>
              <w:t>Aggregate</w:t>
            </w:r>
          </w:p>
        </w:tc>
        <w:tc>
          <w:tcPr>
            <w:tcW w:w="660" w:type="dxa"/>
            <w:vAlign w:val="bottom"/>
            <w:tcBorders>
              <w:right w:val="single" w:sz="8" w:color="auto"/>
            </w:tcBorders>
            <w:vMerge w:val="continue"/>
          </w:tcPr>
          <w:p>
            <w:pPr>
              <w:spacing w:after="0"/>
              <w:rPr>
                <w:sz w:val="11"/>
                <w:szCs w:val="11"/>
                <w:color w:val="auto"/>
              </w:rPr>
            </w:pPr>
          </w:p>
        </w:tc>
        <w:tc>
          <w:tcPr>
            <w:tcW w:w="840" w:type="dxa"/>
            <w:vAlign w:val="bottom"/>
            <w:tcBorders>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auto"/>
              </w:rPr>
              <w:t>Registration</w:t>
            </w:r>
          </w:p>
        </w:tc>
        <w:tc>
          <w:tcPr>
            <w:tcW w:w="660" w:type="dxa"/>
            <w:vAlign w:val="bottom"/>
            <w:tcBorders>
              <w:right w:val="single" w:sz="8" w:color="auto"/>
            </w:tcBorders>
            <w:vMerge w:val="continue"/>
          </w:tcPr>
          <w:p>
            <w:pPr>
              <w:spacing w:after="0"/>
              <w:rPr>
                <w:sz w:val="11"/>
                <w:szCs w:val="11"/>
                <w:color w:val="auto"/>
              </w:rPr>
            </w:pPr>
          </w:p>
        </w:tc>
        <w:tc>
          <w:tcPr>
            <w:tcW w:w="680" w:type="dxa"/>
            <w:vAlign w:val="bottom"/>
            <w:tcBorders>
              <w:right w:val="single" w:sz="8" w:color="auto"/>
            </w:tcBorders>
            <w:vMerge w:val="continue"/>
          </w:tcPr>
          <w:p>
            <w:pPr>
              <w:spacing w:after="0"/>
              <w:rPr>
                <w:sz w:val="11"/>
                <w:szCs w:val="11"/>
                <w:color w:val="auto"/>
              </w:rPr>
            </w:pPr>
          </w:p>
        </w:tc>
        <w:tc>
          <w:tcPr>
            <w:tcW w:w="680" w:type="dxa"/>
            <w:vAlign w:val="bottom"/>
            <w:tcBorders>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auto"/>
              </w:rPr>
              <w:t>Initial</w:t>
            </w:r>
          </w:p>
        </w:tc>
        <w:tc>
          <w:tcPr>
            <w:tcW w:w="8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940" w:type="dxa"/>
            <w:vAlign w:val="bottom"/>
            <w:tcBorders>
              <w:left w:val="single" w:sz="8" w:color="auto"/>
              <w:right w:val="single" w:sz="8" w:color="auto"/>
            </w:tcBorders>
          </w:tcPr>
          <w:p>
            <w:pPr>
              <w:spacing w:after="0"/>
              <w:rPr>
                <w:sz w:val="5"/>
                <w:szCs w:val="5"/>
                <w:color w:val="auto"/>
              </w:rPr>
            </w:pPr>
          </w:p>
        </w:tc>
        <w:tc>
          <w:tcPr>
            <w:tcW w:w="920" w:type="dxa"/>
            <w:vAlign w:val="bottom"/>
            <w:tcBorders>
              <w:right w:val="single" w:sz="8" w:color="auto"/>
            </w:tcBorders>
          </w:tcPr>
          <w:p>
            <w:pPr>
              <w:spacing w:after="0"/>
              <w:rPr>
                <w:sz w:val="5"/>
                <w:szCs w:val="5"/>
                <w:color w:val="auto"/>
              </w:rPr>
            </w:pPr>
          </w:p>
        </w:tc>
        <w:tc>
          <w:tcPr>
            <w:tcW w:w="1320" w:type="dxa"/>
            <w:vAlign w:val="bottom"/>
            <w:tcBorders>
              <w:right w:val="single" w:sz="8" w:color="auto"/>
            </w:tcBorders>
          </w:tcPr>
          <w:p>
            <w:pPr>
              <w:spacing w:after="0"/>
              <w:rPr>
                <w:sz w:val="5"/>
                <w:szCs w:val="5"/>
                <w:color w:val="auto"/>
              </w:rPr>
            </w:pPr>
          </w:p>
        </w:tc>
        <w:tc>
          <w:tcPr>
            <w:tcW w:w="880" w:type="dxa"/>
            <w:vAlign w:val="bottom"/>
            <w:tcBorders>
              <w:right w:val="single" w:sz="8" w:color="auto"/>
            </w:tcBorders>
          </w:tcPr>
          <w:p>
            <w:pPr>
              <w:jc w:val="center"/>
              <w:spacing w:after="0" w:line="67" w:lineRule="exact"/>
              <w:rPr>
                <w:sz w:val="20"/>
                <w:szCs w:val="20"/>
                <w:color w:val="auto"/>
              </w:rPr>
            </w:pPr>
            <w:r>
              <w:rPr>
                <w:rFonts w:ascii="Times New Roman" w:cs="Times New Roman" w:eastAsia="Times New Roman" w:hAnsi="Times New Roman"/>
                <w:sz w:val="7"/>
                <w:szCs w:val="7"/>
                <w:b w:val="1"/>
                <w:bCs w:val="1"/>
                <w:color w:val="auto"/>
              </w:rPr>
              <w:t>Carry</w:t>
            </w:r>
          </w:p>
        </w:tc>
        <w:tc>
          <w:tcPr>
            <w:tcW w:w="1000" w:type="dxa"/>
            <w:vAlign w:val="bottom"/>
            <w:tcBorders>
              <w:right w:val="single" w:sz="8" w:color="auto"/>
            </w:tcBorders>
          </w:tcPr>
          <w:p>
            <w:pPr>
              <w:jc w:val="center"/>
              <w:spacing w:after="0" w:line="67" w:lineRule="exact"/>
              <w:rPr>
                <w:sz w:val="20"/>
                <w:szCs w:val="20"/>
                <w:color w:val="auto"/>
              </w:rPr>
            </w:pPr>
            <w:r>
              <w:rPr>
                <w:rFonts w:ascii="Times New Roman" w:cs="Times New Roman" w:eastAsia="Times New Roman" w:hAnsi="Times New Roman"/>
                <w:sz w:val="7"/>
                <w:szCs w:val="7"/>
                <w:b w:val="1"/>
                <w:bCs w:val="1"/>
                <w:color w:val="auto"/>
              </w:rPr>
              <w:t>Registered</w:t>
            </w:r>
          </w:p>
        </w:tc>
        <w:tc>
          <w:tcPr>
            <w:tcW w:w="740" w:type="dxa"/>
            <w:vAlign w:val="bottom"/>
            <w:tcBorders>
              <w:right w:val="single" w:sz="8" w:color="auto"/>
            </w:tcBorders>
            <w:vMerge w:val="restart"/>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auto"/>
              </w:rPr>
              <w:t>Price Per</w:t>
            </w:r>
          </w:p>
        </w:tc>
        <w:tc>
          <w:tcPr>
            <w:tcW w:w="1000" w:type="dxa"/>
            <w:vAlign w:val="bottom"/>
            <w:tcBorders>
              <w:right w:val="single" w:sz="8" w:color="auto"/>
            </w:tcBorders>
            <w:vMerge w:val="restart"/>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auto"/>
              </w:rPr>
              <w:t>Offering Price</w:t>
            </w:r>
          </w:p>
        </w:tc>
        <w:tc>
          <w:tcPr>
            <w:tcW w:w="660" w:type="dxa"/>
            <w:vAlign w:val="bottom"/>
            <w:tcBorders>
              <w:right w:val="single" w:sz="8" w:color="auto"/>
            </w:tcBorders>
          </w:tcPr>
          <w:p>
            <w:pPr>
              <w:spacing w:after="0"/>
              <w:rPr>
                <w:sz w:val="5"/>
                <w:szCs w:val="5"/>
                <w:color w:val="auto"/>
              </w:rPr>
            </w:pPr>
          </w:p>
        </w:tc>
        <w:tc>
          <w:tcPr>
            <w:tcW w:w="840" w:type="dxa"/>
            <w:vAlign w:val="bottom"/>
            <w:tcBorders>
              <w:right w:val="single" w:sz="8" w:color="auto"/>
            </w:tcBorders>
            <w:vMerge w:val="restart"/>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auto"/>
              </w:rPr>
              <w:t>Fee</w:t>
            </w:r>
          </w:p>
        </w:tc>
        <w:tc>
          <w:tcPr>
            <w:tcW w:w="660" w:type="dxa"/>
            <w:vAlign w:val="bottom"/>
            <w:tcBorders>
              <w:right w:val="single" w:sz="8" w:color="auto"/>
            </w:tcBorders>
          </w:tcPr>
          <w:p>
            <w:pPr>
              <w:jc w:val="center"/>
              <w:spacing w:after="0" w:line="67" w:lineRule="exact"/>
              <w:rPr>
                <w:sz w:val="20"/>
                <w:szCs w:val="20"/>
                <w:color w:val="auto"/>
              </w:rPr>
            </w:pPr>
            <w:r>
              <w:rPr>
                <w:rFonts w:ascii="Times New Roman" w:cs="Times New Roman" w:eastAsia="Times New Roman" w:hAnsi="Times New Roman"/>
                <w:sz w:val="7"/>
                <w:szCs w:val="7"/>
                <w:b w:val="1"/>
                <w:bCs w:val="1"/>
                <w:color w:val="auto"/>
              </w:rPr>
              <w:t>Form</w:t>
            </w:r>
          </w:p>
        </w:tc>
        <w:tc>
          <w:tcPr>
            <w:tcW w:w="680" w:type="dxa"/>
            <w:vAlign w:val="bottom"/>
            <w:tcBorders>
              <w:right w:val="single" w:sz="8" w:color="auto"/>
            </w:tcBorders>
          </w:tcPr>
          <w:p>
            <w:pPr>
              <w:jc w:val="center"/>
              <w:spacing w:after="0" w:line="67" w:lineRule="exact"/>
              <w:rPr>
                <w:sz w:val="20"/>
                <w:szCs w:val="20"/>
                <w:color w:val="auto"/>
              </w:rPr>
            </w:pPr>
            <w:r>
              <w:rPr>
                <w:rFonts w:ascii="Times New Roman" w:cs="Times New Roman" w:eastAsia="Times New Roman" w:hAnsi="Times New Roman"/>
                <w:sz w:val="7"/>
                <w:szCs w:val="7"/>
                <w:b w:val="1"/>
                <w:bCs w:val="1"/>
                <w:color w:val="auto"/>
              </w:rPr>
              <w:t>File</w:t>
            </w:r>
          </w:p>
        </w:tc>
        <w:tc>
          <w:tcPr>
            <w:tcW w:w="680" w:type="dxa"/>
            <w:vAlign w:val="bottom"/>
            <w:tcBorders>
              <w:right w:val="single" w:sz="8" w:color="auto"/>
            </w:tcBorders>
            <w:vMerge w:val="restart"/>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auto"/>
              </w:rPr>
              <w:t>effective</w:t>
            </w:r>
          </w:p>
        </w:tc>
        <w:tc>
          <w:tcPr>
            <w:tcW w:w="840" w:type="dxa"/>
            <w:vAlign w:val="bottom"/>
            <w:tcBorders>
              <w:right w:val="single" w:sz="8" w:color="auto"/>
            </w:tcBorders>
          </w:tcPr>
          <w:p>
            <w:pPr>
              <w:jc w:val="center"/>
              <w:spacing w:after="0" w:line="67" w:lineRule="exact"/>
              <w:rPr>
                <w:sz w:val="20"/>
                <w:szCs w:val="20"/>
                <w:color w:val="auto"/>
              </w:rPr>
            </w:pPr>
            <w:r>
              <w:rPr>
                <w:rFonts w:ascii="Times New Roman" w:cs="Times New Roman" w:eastAsia="Times New Roman" w:hAnsi="Times New Roman"/>
                <w:sz w:val="7"/>
                <w:szCs w:val="7"/>
                <w:b w:val="1"/>
                <w:bCs w:val="1"/>
                <w:color w:val="auto"/>
              </w:rPr>
              <w:t>with Unsold</w:t>
            </w:r>
          </w:p>
        </w:tc>
        <w:tc>
          <w:tcPr>
            <w:tcW w:w="0" w:type="dxa"/>
            <w:vAlign w:val="bottom"/>
          </w:tcPr>
          <w:p>
            <w:pPr>
              <w:spacing w:after="0"/>
              <w:rPr>
                <w:sz w:val="1"/>
                <w:szCs w:val="1"/>
                <w:color w:val="auto"/>
              </w:rPr>
            </w:pPr>
          </w:p>
        </w:tc>
      </w:tr>
      <w:tr>
        <w:trPr>
          <w:trHeight w:val="66"/>
        </w:trPr>
        <w:tc>
          <w:tcPr>
            <w:tcW w:w="940" w:type="dxa"/>
            <w:vAlign w:val="bottom"/>
            <w:tcBorders>
              <w:left w:val="single" w:sz="8" w:color="auto"/>
              <w:right w:val="single" w:sz="8" w:color="auto"/>
            </w:tcBorders>
          </w:tcPr>
          <w:p>
            <w:pPr>
              <w:spacing w:after="0"/>
              <w:rPr>
                <w:sz w:val="5"/>
                <w:szCs w:val="5"/>
                <w:color w:val="auto"/>
              </w:rPr>
            </w:pPr>
          </w:p>
        </w:tc>
        <w:tc>
          <w:tcPr>
            <w:tcW w:w="920" w:type="dxa"/>
            <w:vAlign w:val="bottom"/>
            <w:tcBorders>
              <w:right w:val="single" w:sz="8" w:color="auto"/>
            </w:tcBorders>
          </w:tcPr>
          <w:p>
            <w:pPr>
              <w:spacing w:after="0"/>
              <w:rPr>
                <w:sz w:val="5"/>
                <w:szCs w:val="5"/>
                <w:color w:val="auto"/>
              </w:rPr>
            </w:pPr>
          </w:p>
        </w:tc>
        <w:tc>
          <w:tcPr>
            <w:tcW w:w="1320" w:type="dxa"/>
            <w:vAlign w:val="bottom"/>
            <w:tcBorders>
              <w:right w:val="single" w:sz="8" w:color="auto"/>
            </w:tcBorders>
          </w:tcPr>
          <w:p>
            <w:pPr>
              <w:spacing w:after="0"/>
              <w:rPr>
                <w:sz w:val="5"/>
                <w:szCs w:val="5"/>
                <w:color w:val="auto"/>
              </w:rPr>
            </w:pPr>
          </w:p>
        </w:tc>
        <w:tc>
          <w:tcPr>
            <w:tcW w:w="880" w:type="dxa"/>
            <w:vAlign w:val="bottom"/>
            <w:tcBorders>
              <w:right w:val="single" w:sz="8" w:color="auto"/>
            </w:tcBorders>
            <w:vMerge w:val="restart"/>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auto"/>
              </w:rPr>
              <w:t>Forward Rule</w:t>
            </w:r>
          </w:p>
        </w:tc>
        <w:tc>
          <w:tcPr>
            <w:tcW w:w="1000" w:type="dxa"/>
            <w:vAlign w:val="bottom"/>
            <w:tcBorders>
              <w:right w:val="single" w:sz="8" w:color="auto"/>
            </w:tcBorders>
          </w:tcPr>
          <w:p>
            <w:pPr>
              <w:spacing w:after="0"/>
              <w:rPr>
                <w:sz w:val="5"/>
                <w:szCs w:val="5"/>
                <w:color w:val="auto"/>
              </w:rPr>
            </w:pPr>
          </w:p>
        </w:tc>
        <w:tc>
          <w:tcPr>
            <w:tcW w:w="740" w:type="dxa"/>
            <w:vAlign w:val="bottom"/>
            <w:tcBorders>
              <w:right w:val="single" w:sz="8" w:color="auto"/>
            </w:tcBorders>
            <w:vMerge w:val="continue"/>
          </w:tcPr>
          <w:p>
            <w:pPr>
              <w:spacing w:after="0"/>
              <w:rPr>
                <w:sz w:val="5"/>
                <w:szCs w:val="5"/>
                <w:color w:val="auto"/>
              </w:rPr>
            </w:pPr>
          </w:p>
        </w:tc>
        <w:tc>
          <w:tcPr>
            <w:tcW w:w="1000" w:type="dxa"/>
            <w:vAlign w:val="bottom"/>
            <w:tcBorders>
              <w:right w:val="single" w:sz="8" w:color="auto"/>
            </w:tcBorders>
            <w:vMerge w:val="continue"/>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840" w:type="dxa"/>
            <w:vAlign w:val="bottom"/>
            <w:tcBorders>
              <w:right w:val="single" w:sz="8" w:color="auto"/>
            </w:tcBorders>
            <w:vMerge w:val="continue"/>
          </w:tcPr>
          <w:p>
            <w:pPr>
              <w:spacing w:after="0"/>
              <w:rPr>
                <w:sz w:val="5"/>
                <w:szCs w:val="5"/>
                <w:color w:val="auto"/>
              </w:rPr>
            </w:pPr>
          </w:p>
        </w:tc>
        <w:tc>
          <w:tcPr>
            <w:tcW w:w="660" w:type="dxa"/>
            <w:vAlign w:val="bottom"/>
            <w:tcBorders>
              <w:right w:val="single" w:sz="8" w:color="auto"/>
            </w:tcBorders>
            <w:vMerge w:val="restart"/>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auto"/>
                <w:w w:val="99"/>
              </w:rPr>
              <w:t>Type</w:t>
            </w:r>
          </w:p>
        </w:tc>
        <w:tc>
          <w:tcPr>
            <w:tcW w:w="680" w:type="dxa"/>
            <w:vAlign w:val="bottom"/>
            <w:tcBorders>
              <w:right w:val="single" w:sz="8" w:color="auto"/>
            </w:tcBorders>
            <w:vMerge w:val="restart"/>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auto"/>
              </w:rPr>
              <w:t>Number</w:t>
            </w:r>
          </w:p>
        </w:tc>
        <w:tc>
          <w:tcPr>
            <w:tcW w:w="680" w:type="dxa"/>
            <w:vAlign w:val="bottom"/>
            <w:tcBorders>
              <w:right w:val="single" w:sz="8" w:color="auto"/>
            </w:tcBorders>
            <w:vMerge w:val="continue"/>
          </w:tcPr>
          <w:p>
            <w:pPr>
              <w:spacing w:after="0"/>
              <w:rPr>
                <w:sz w:val="5"/>
                <w:szCs w:val="5"/>
                <w:color w:val="auto"/>
              </w:rPr>
            </w:pPr>
          </w:p>
        </w:tc>
        <w:tc>
          <w:tcPr>
            <w:tcW w:w="840" w:type="dxa"/>
            <w:vAlign w:val="bottom"/>
            <w:tcBorders>
              <w:right w:val="single" w:sz="8" w:color="auto"/>
            </w:tcBorders>
            <w:vMerge w:val="restart"/>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auto"/>
              </w:rPr>
              <w:t>Securities to</w:t>
            </w:r>
          </w:p>
        </w:tc>
        <w:tc>
          <w:tcPr>
            <w:tcW w:w="0" w:type="dxa"/>
            <w:vAlign w:val="bottom"/>
          </w:tcPr>
          <w:p>
            <w:pPr>
              <w:spacing w:after="0"/>
              <w:rPr>
                <w:sz w:val="1"/>
                <w:szCs w:val="1"/>
                <w:color w:val="auto"/>
              </w:rPr>
            </w:pPr>
          </w:p>
        </w:tc>
      </w:tr>
      <w:tr>
        <w:trPr>
          <w:trHeight w:val="66"/>
        </w:trPr>
        <w:tc>
          <w:tcPr>
            <w:tcW w:w="940" w:type="dxa"/>
            <w:vAlign w:val="bottom"/>
            <w:tcBorders>
              <w:left w:val="single" w:sz="8" w:color="auto"/>
              <w:right w:val="single" w:sz="8" w:color="auto"/>
            </w:tcBorders>
          </w:tcPr>
          <w:p>
            <w:pPr>
              <w:spacing w:after="0"/>
              <w:rPr>
                <w:sz w:val="5"/>
                <w:szCs w:val="5"/>
                <w:color w:val="auto"/>
              </w:rPr>
            </w:pPr>
          </w:p>
        </w:tc>
        <w:tc>
          <w:tcPr>
            <w:tcW w:w="920" w:type="dxa"/>
            <w:vAlign w:val="bottom"/>
            <w:tcBorders>
              <w:right w:val="single" w:sz="8" w:color="auto"/>
            </w:tcBorders>
          </w:tcPr>
          <w:p>
            <w:pPr>
              <w:spacing w:after="0"/>
              <w:rPr>
                <w:sz w:val="5"/>
                <w:szCs w:val="5"/>
                <w:color w:val="auto"/>
              </w:rPr>
            </w:pPr>
          </w:p>
        </w:tc>
        <w:tc>
          <w:tcPr>
            <w:tcW w:w="1320" w:type="dxa"/>
            <w:vAlign w:val="bottom"/>
            <w:tcBorders>
              <w:right w:val="single" w:sz="8" w:color="auto"/>
            </w:tcBorders>
          </w:tcPr>
          <w:p>
            <w:pPr>
              <w:spacing w:after="0"/>
              <w:rPr>
                <w:sz w:val="5"/>
                <w:szCs w:val="5"/>
                <w:color w:val="auto"/>
              </w:rPr>
            </w:pPr>
          </w:p>
        </w:tc>
        <w:tc>
          <w:tcPr>
            <w:tcW w:w="880" w:type="dxa"/>
            <w:vAlign w:val="bottom"/>
            <w:tcBorders>
              <w:right w:val="single" w:sz="8" w:color="auto"/>
            </w:tcBorders>
            <w:vMerge w:val="continue"/>
          </w:tcPr>
          <w:p>
            <w:pPr>
              <w:spacing w:after="0"/>
              <w:rPr>
                <w:sz w:val="5"/>
                <w:szCs w:val="5"/>
                <w:color w:val="auto"/>
              </w:rPr>
            </w:pPr>
          </w:p>
        </w:tc>
        <w:tc>
          <w:tcPr>
            <w:tcW w:w="1000" w:type="dxa"/>
            <w:vAlign w:val="bottom"/>
            <w:tcBorders>
              <w:right w:val="single" w:sz="8" w:color="auto"/>
            </w:tcBorders>
          </w:tcPr>
          <w:p>
            <w:pPr>
              <w:spacing w:after="0"/>
              <w:rPr>
                <w:sz w:val="5"/>
                <w:szCs w:val="5"/>
                <w:color w:val="auto"/>
              </w:rPr>
            </w:pP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Unit</w:t>
            </w:r>
          </w:p>
        </w:tc>
        <w:tc>
          <w:tcPr>
            <w:tcW w:w="1000" w:type="dxa"/>
            <w:vAlign w:val="bottom"/>
            <w:tcBorders>
              <w:right w:val="single" w:sz="8" w:color="auto"/>
            </w:tcBorders>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660" w:type="dxa"/>
            <w:vAlign w:val="bottom"/>
            <w:tcBorders>
              <w:right w:val="single" w:sz="8" w:color="auto"/>
            </w:tcBorders>
            <w:vMerge w:val="continue"/>
          </w:tcPr>
          <w:p>
            <w:pPr>
              <w:spacing w:after="0"/>
              <w:rPr>
                <w:sz w:val="5"/>
                <w:szCs w:val="5"/>
                <w:color w:val="auto"/>
              </w:rPr>
            </w:pPr>
          </w:p>
        </w:tc>
        <w:tc>
          <w:tcPr>
            <w:tcW w:w="680" w:type="dxa"/>
            <w:vAlign w:val="bottom"/>
            <w:tcBorders>
              <w:right w:val="single" w:sz="8" w:color="auto"/>
            </w:tcBorders>
            <w:vMerge w:val="continue"/>
          </w:tcPr>
          <w:p>
            <w:pPr>
              <w:spacing w:after="0"/>
              <w:rPr>
                <w:sz w:val="5"/>
                <w:szCs w:val="5"/>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date</w:t>
            </w:r>
          </w:p>
        </w:tc>
        <w:tc>
          <w:tcPr>
            <w:tcW w:w="84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940" w:type="dxa"/>
            <w:vAlign w:val="bottom"/>
            <w:tcBorders>
              <w:left w:val="single" w:sz="8" w:color="auto"/>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1320" w:type="dxa"/>
            <w:vAlign w:val="bottom"/>
            <w:tcBorders>
              <w:right w:val="single" w:sz="8" w:color="auto"/>
            </w:tcBorders>
          </w:tcPr>
          <w:p>
            <w:pPr>
              <w:spacing w:after="0"/>
              <w:rPr>
                <w:sz w:val="9"/>
                <w:szCs w:val="9"/>
                <w:color w:val="auto"/>
              </w:rPr>
            </w:pPr>
          </w:p>
        </w:tc>
        <w:tc>
          <w:tcPr>
            <w:tcW w:w="880" w:type="dxa"/>
            <w:vAlign w:val="bottom"/>
            <w:tcBorders>
              <w:right w:val="single" w:sz="8" w:color="auto"/>
            </w:tcBorders>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740" w:type="dxa"/>
            <w:vAlign w:val="bottom"/>
            <w:tcBorders>
              <w:right w:val="single" w:sz="8" w:color="auto"/>
            </w:tcBorders>
            <w:vMerge w:val="continue"/>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vMerge w:val="continue"/>
          </w:tcPr>
          <w:p>
            <w:pPr>
              <w:spacing w:after="0"/>
              <w:rPr>
                <w:sz w:val="9"/>
                <w:szCs w:val="9"/>
                <w:color w:val="auto"/>
              </w:rPr>
            </w:pPr>
          </w:p>
        </w:tc>
        <w:tc>
          <w:tcPr>
            <w:tcW w:w="840" w:type="dxa"/>
            <w:vAlign w:val="bottom"/>
            <w:tcBorders>
              <w:right w:val="single" w:sz="8" w:color="auto"/>
            </w:tcBorders>
            <w:vMerge w:val="restart"/>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auto"/>
                <w:w w:val="99"/>
              </w:rPr>
              <w:t>be Carried</w:t>
            </w:r>
          </w:p>
        </w:tc>
        <w:tc>
          <w:tcPr>
            <w:tcW w:w="0" w:type="dxa"/>
            <w:vAlign w:val="bottom"/>
          </w:tcPr>
          <w:p>
            <w:pPr>
              <w:spacing w:after="0"/>
              <w:rPr>
                <w:sz w:val="1"/>
                <w:szCs w:val="1"/>
                <w:color w:val="auto"/>
              </w:rPr>
            </w:pPr>
          </w:p>
        </w:tc>
      </w:tr>
      <w:tr>
        <w:trPr>
          <w:trHeight w:val="25"/>
        </w:trPr>
        <w:tc>
          <w:tcPr>
            <w:tcW w:w="940" w:type="dxa"/>
            <w:vAlign w:val="bottom"/>
            <w:tcBorders>
              <w:left w:val="single" w:sz="8" w:color="auto"/>
              <w:right w:val="single" w:sz="8" w:color="auto"/>
            </w:tcBorders>
          </w:tcPr>
          <w:p>
            <w:pPr>
              <w:spacing w:after="0"/>
              <w:rPr>
                <w:sz w:val="2"/>
                <w:szCs w:val="2"/>
                <w:color w:val="auto"/>
              </w:rPr>
            </w:pPr>
          </w:p>
        </w:tc>
        <w:tc>
          <w:tcPr>
            <w:tcW w:w="920" w:type="dxa"/>
            <w:vAlign w:val="bottom"/>
            <w:tcBorders>
              <w:right w:val="single" w:sz="8" w:color="auto"/>
            </w:tcBorders>
          </w:tcPr>
          <w:p>
            <w:pPr>
              <w:spacing w:after="0"/>
              <w:rPr>
                <w:sz w:val="2"/>
                <w:szCs w:val="2"/>
                <w:color w:val="auto"/>
              </w:rPr>
            </w:pPr>
          </w:p>
        </w:tc>
        <w:tc>
          <w:tcPr>
            <w:tcW w:w="1320" w:type="dxa"/>
            <w:vAlign w:val="bottom"/>
            <w:tcBorders>
              <w:right w:val="single" w:sz="8" w:color="auto"/>
            </w:tcBorders>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1000" w:type="dxa"/>
            <w:vAlign w:val="bottom"/>
            <w:tcBorders>
              <w:right w:val="single" w:sz="8" w:color="auto"/>
            </w:tcBorders>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1000" w:type="dxa"/>
            <w:vAlign w:val="bottom"/>
            <w:tcBorders>
              <w:right w:val="single" w:sz="8" w:color="auto"/>
            </w:tcBorders>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840" w:type="dxa"/>
            <w:vAlign w:val="bottom"/>
            <w:tcBorders>
              <w:right w:val="single" w:sz="8" w:color="auto"/>
            </w:tcBorders>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84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940" w:type="dxa"/>
            <w:vAlign w:val="bottom"/>
            <w:tcBorders>
              <w:left w:val="single" w:sz="8" w:color="auto"/>
              <w:bottom w:val="single" w:sz="8" w:color="auto"/>
              <w:right w:val="single" w:sz="8" w:color="auto"/>
            </w:tcBorders>
          </w:tcPr>
          <w:p>
            <w:pPr>
              <w:spacing w:after="0"/>
              <w:rPr>
                <w:sz w:val="15"/>
                <w:szCs w:val="15"/>
                <w:color w:val="auto"/>
              </w:rPr>
            </w:pPr>
          </w:p>
        </w:tc>
        <w:tc>
          <w:tcPr>
            <w:tcW w:w="920" w:type="dxa"/>
            <w:vAlign w:val="bottom"/>
            <w:tcBorders>
              <w:bottom w:val="single" w:sz="8" w:color="auto"/>
              <w:right w:val="single" w:sz="8" w:color="auto"/>
            </w:tcBorders>
          </w:tcPr>
          <w:p>
            <w:pPr>
              <w:spacing w:after="0"/>
              <w:rPr>
                <w:sz w:val="15"/>
                <w:szCs w:val="15"/>
                <w:color w:val="auto"/>
              </w:rPr>
            </w:pPr>
          </w:p>
        </w:tc>
        <w:tc>
          <w:tcPr>
            <w:tcW w:w="132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Forward</w:t>
            </w:r>
          </w:p>
        </w:tc>
        <w:tc>
          <w:tcPr>
            <w:tcW w:w="0" w:type="dxa"/>
            <w:vAlign w:val="bottom"/>
          </w:tcPr>
          <w:p>
            <w:pPr>
              <w:spacing w:after="0"/>
              <w:rPr>
                <w:sz w:val="1"/>
                <w:szCs w:val="1"/>
                <w:color w:val="auto"/>
              </w:rPr>
            </w:pPr>
          </w:p>
        </w:tc>
      </w:tr>
      <w:tr>
        <w:trPr>
          <w:trHeight w:val="192"/>
        </w:trPr>
        <w:tc>
          <w:tcPr>
            <w:tcW w:w="940" w:type="dxa"/>
            <w:vAlign w:val="bottom"/>
            <w:tcBorders>
              <w:left w:val="single" w:sz="8" w:color="auto"/>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3"/>
          </w:tcPr>
          <w:p>
            <w:pPr>
              <w:jc w:val="center"/>
              <w:ind w:left="233"/>
              <w:spacing w:after="0"/>
              <w:rPr>
                <w:sz w:val="20"/>
                <w:szCs w:val="20"/>
                <w:color w:val="auto"/>
              </w:rPr>
            </w:pPr>
            <w:r>
              <w:rPr>
                <w:rFonts w:ascii="Times New Roman" w:cs="Times New Roman" w:eastAsia="Times New Roman" w:hAnsi="Times New Roman"/>
                <w:sz w:val="14"/>
                <w:szCs w:val="14"/>
                <w:b w:val="1"/>
                <w:bCs w:val="1"/>
                <w:color w:val="auto"/>
              </w:rPr>
              <w:t>Newly Registered Securities</w:t>
            </w:r>
          </w:p>
        </w:tc>
        <w:tc>
          <w:tcPr>
            <w:tcW w:w="6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Fees to Be</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Equity</w:t>
            </w:r>
          </w:p>
        </w:tc>
        <w:tc>
          <w:tcPr>
            <w:tcW w:w="1320" w:type="dxa"/>
            <w:vAlign w:val="bottom"/>
            <w:tcBorders>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color w:val="auto"/>
              </w:rPr>
              <w:t>Common Shares</w:t>
            </w: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457(a)</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374,753</w:t>
            </w: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$29.21(2)</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$10,946,535(2)</w:t>
            </w:r>
          </w:p>
        </w:tc>
        <w:tc>
          <w:tcPr>
            <w:tcW w:w="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0.0000927</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$1,014.74</w:t>
            </w:r>
          </w:p>
        </w:tc>
        <w:tc>
          <w:tcPr>
            <w:tcW w:w="66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940" w:type="dxa"/>
            <w:vAlign w:val="bottom"/>
            <w:tcBorders>
              <w:left w:val="single" w:sz="8" w:color="auto"/>
              <w:right w:val="single" w:sz="8" w:color="auto"/>
            </w:tcBorders>
            <w:vMerge w:val="continue"/>
          </w:tcPr>
          <w:p>
            <w:pPr>
              <w:spacing w:after="0"/>
              <w:rPr>
                <w:sz w:val="6"/>
                <w:szCs w:val="6"/>
                <w:color w:val="auto"/>
              </w:rPr>
            </w:pPr>
          </w:p>
        </w:tc>
        <w:tc>
          <w:tcPr>
            <w:tcW w:w="920" w:type="dxa"/>
            <w:vAlign w:val="bottom"/>
            <w:tcBorders>
              <w:right w:val="single" w:sz="8" w:color="auto"/>
            </w:tcBorders>
            <w:vMerge w:val="continue"/>
          </w:tcPr>
          <w:p>
            <w:pPr>
              <w:spacing w:after="0"/>
              <w:rPr>
                <w:sz w:val="6"/>
                <w:szCs w:val="6"/>
                <w:color w:val="auto"/>
              </w:rPr>
            </w:pPr>
          </w:p>
        </w:tc>
        <w:tc>
          <w:tcPr>
            <w:tcW w:w="1320" w:type="dxa"/>
            <w:vAlign w:val="bottom"/>
            <w:tcBorders>
              <w:right w:val="single" w:sz="8" w:color="auto"/>
            </w:tcBorders>
            <w:vMerge w:val="restart"/>
          </w:tcPr>
          <w:p>
            <w:pPr>
              <w:jc w:val="center"/>
              <w:spacing w:after="0" w:line="142" w:lineRule="exact"/>
              <w:rPr>
                <w:sz w:val="20"/>
                <w:szCs w:val="20"/>
                <w:color w:val="auto"/>
              </w:rPr>
            </w:pPr>
            <w:r>
              <w:rPr>
                <w:rFonts w:ascii="Times New Roman" w:cs="Times New Roman" w:eastAsia="Times New Roman" w:hAnsi="Times New Roman"/>
                <w:sz w:val="14"/>
                <w:szCs w:val="14"/>
                <w:color w:val="auto"/>
              </w:rPr>
              <w:t>offered by the selling</w:t>
            </w:r>
          </w:p>
        </w:tc>
        <w:tc>
          <w:tcPr>
            <w:tcW w:w="880" w:type="dxa"/>
            <w:vAlign w:val="bottom"/>
            <w:tcBorders>
              <w:right w:val="single" w:sz="8" w:color="auto"/>
            </w:tcBorders>
            <w:vMerge w:val="continue"/>
          </w:tcPr>
          <w:p>
            <w:pPr>
              <w:spacing w:after="0"/>
              <w:rPr>
                <w:sz w:val="6"/>
                <w:szCs w:val="6"/>
                <w:color w:val="auto"/>
              </w:rPr>
            </w:pPr>
          </w:p>
        </w:tc>
        <w:tc>
          <w:tcPr>
            <w:tcW w:w="1000" w:type="dxa"/>
            <w:vAlign w:val="bottom"/>
            <w:tcBorders>
              <w:right w:val="single" w:sz="8" w:color="auto"/>
            </w:tcBorders>
            <w:vMerge w:val="continue"/>
          </w:tcPr>
          <w:p>
            <w:pPr>
              <w:spacing w:after="0"/>
              <w:rPr>
                <w:sz w:val="6"/>
                <w:szCs w:val="6"/>
                <w:color w:val="auto"/>
              </w:rPr>
            </w:pPr>
          </w:p>
        </w:tc>
        <w:tc>
          <w:tcPr>
            <w:tcW w:w="740" w:type="dxa"/>
            <w:vAlign w:val="bottom"/>
            <w:tcBorders>
              <w:right w:val="single" w:sz="8" w:color="auto"/>
            </w:tcBorders>
            <w:vMerge w:val="continue"/>
          </w:tcPr>
          <w:p>
            <w:pPr>
              <w:spacing w:after="0"/>
              <w:rPr>
                <w:sz w:val="6"/>
                <w:szCs w:val="6"/>
                <w:color w:val="auto"/>
              </w:rPr>
            </w:pPr>
          </w:p>
        </w:tc>
        <w:tc>
          <w:tcPr>
            <w:tcW w:w="1000" w:type="dxa"/>
            <w:vAlign w:val="bottom"/>
            <w:tcBorders>
              <w:right w:val="single" w:sz="8" w:color="auto"/>
            </w:tcBorders>
            <w:vMerge w:val="continue"/>
          </w:tcPr>
          <w:p>
            <w:pPr>
              <w:spacing w:after="0"/>
              <w:rPr>
                <w:sz w:val="6"/>
                <w:szCs w:val="6"/>
                <w:color w:val="auto"/>
              </w:rPr>
            </w:pPr>
          </w:p>
        </w:tc>
        <w:tc>
          <w:tcPr>
            <w:tcW w:w="660" w:type="dxa"/>
            <w:vAlign w:val="bottom"/>
            <w:tcBorders>
              <w:right w:val="single" w:sz="8" w:color="auto"/>
            </w:tcBorders>
            <w:vMerge w:val="continue"/>
          </w:tcPr>
          <w:p>
            <w:pPr>
              <w:spacing w:after="0"/>
              <w:rPr>
                <w:sz w:val="6"/>
                <w:szCs w:val="6"/>
                <w:color w:val="auto"/>
              </w:rPr>
            </w:pPr>
          </w:p>
        </w:tc>
        <w:tc>
          <w:tcPr>
            <w:tcW w:w="840" w:type="dxa"/>
            <w:vAlign w:val="bottom"/>
            <w:tcBorders>
              <w:right w:val="single" w:sz="8" w:color="auto"/>
            </w:tcBorders>
            <w:vMerge w:val="continue"/>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8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Paid</w:t>
            </w:r>
          </w:p>
        </w:tc>
        <w:tc>
          <w:tcPr>
            <w:tcW w:w="920" w:type="dxa"/>
            <w:vAlign w:val="bottom"/>
            <w:tcBorders>
              <w:right w:val="single" w:sz="8" w:color="auto"/>
            </w:tcBorders>
            <w:vMerge w:val="continue"/>
          </w:tcPr>
          <w:p>
            <w:pPr>
              <w:spacing w:after="0"/>
              <w:rPr>
                <w:sz w:val="5"/>
                <w:szCs w:val="5"/>
                <w:color w:val="auto"/>
              </w:rPr>
            </w:pPr>
          </w:p>
        </w:tc>
        <w:tc>
          <w:tcPr>
            <w:tcW w:w="1320" w:type="dxa"/>
            <w:vAlign w:val="bottom"/>
            <w:tcBorders>
              <w:right w:val="single" w:sz="8" w:color="auto"/>
            </w:tcBorders>
            <w:vMerge w:val="continue"/>
          </w:tcPr>
          <w:p>
            <w:pPr>
              <w:spacing w:after="0"/>
              <w:rPr>
                <w:sz w:val="5"/>
                <w:szCs w:val="5"/>
                <w:color w:val="auto"/>
              </w:rPr>
            </w:pPr>
          </w:p>
        </w:tc>
        <w:tc>
          <w:tcPr>
            <w:tcW w:w="880" w:type="dxa"/>
            <w:vAlign w:val="bottom"/>
            <w:tcBorders>
              <w:right w:val="single" w:sz="8" w:color="auto"/>
            </w:tcBorders>
            <w:vMerge w:val="continue"/>
          </w:tcPr>
          <w:p>
            <w:pPr>
              <w:spacing w:after="0"/>
              <w:rPr>
                <w:sz w:val="5"/>
                <w:szCs w:val="5"/>
                <w:color w:val="auto"/>
              </w:rPr>
            </w:pPr>
          </w:p>
        </w:tc>
        <w:tc>
          <w:tcPr>
            <w:tcW w:w="1000" w:type="dxa"/>
            <w:vAlign w:val="bottom"/>
            <w:tcBorders>
              <w:right w:val="single" w:sz="8" w:color="auto"/>
            </w:tcBorders>
            <w:vMerge w:val="continue"/>
          </w:tcPr>
          <w:p>
            <w:pPr>
              <w:spacing w:after="0"/>
              <w:rPr>
                <w:sz w:val="5"/>
                <w:szCs w:val="5"/>
                <w:color w:val="auto"/>
              </w:rPr>
            </w:pPr>
          </w:p>
        </w:tc>
        <w:tc>
          <w:tcPr>
            <w:tcW w:w="740" w:type="dxa"/>
            <w:vAlign w:val="bottom"/>
            <w:tcBorders>
              <w:right w:val="single" w:sz="8" w:color="auto"/>
            </w:tcBorders>
            <w:vMerge w:val="continue"/>
          </w:tcPr>
          <w:p>
            <w:pPr>
              <w:spacing w:after="0"/>
              <w:rPr>
                <w:sz w:val="5"/>
                <w:szCs w:val="5"/>
                <w:color w:val="auto"/>
              </w:rPr>
            </w:pPr>
          </w:p>
        </w:tc>
        <w:tc>
          <w:tcPr>
            <w:tcW w:w="1000" w:type="dxa"/>
            <w:vAlign w:val="bottom"/>
            <w:tcBorders>
              <w:right w:val="single" w:sz="8" w:color="auto"/>
            </w:tcBorders>
            <w:vMerge w:val="continue"/>
          </w:tcPr>
          <w:p>
            <w:pPr>
              <w:spacing w:after="0"/>
              <w:rPr>
                <w:sz w:val="5"/>
                <w:szCs w:val="5"/>
                <w:color w:val="auto"/>
              </w:rPr>
            </w:pPr>
          </w:p>
        </w:tc>
        <w:tc>
          <w:tcPr>
            <w:tcW w:w="660" w:type="dxa"/>
            <w:vAlign w:val="bottom"/>
            <w:tcBorders>
              <w:right w:val="single" w:sz="8" w:color="auto"/>
            </w:tcBorders>
            <w:vMerge w:val="continue"/>
          </w:tcPr>
          <w:p>
            <w:pPr>
              <w:spacing w:after="0"/>
              <w:rPr>
                <w:sz w:val="5"/>
                <w:szCs w:val="5"/>
                <w:color w:val="auto"/>
              </w:rPr>
            </w:pPr>
          </w:p>
        </w:tc>
        <w:tc>
          <w:tcPr>
            <w:tcW w:w="840" w:type="dxa"/>
            <w:vAlign w:val="bottom"/>
            <w:tcBorders>
              <w:right w:val="single" w:sz="8" w:color="auto"/>
            </w:tcBorders>
            <w:vMerge w:val="continue"/>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940" w:type="dxa"/>
            <w:vAlign w:val="bottom"/>
            <w:tcBorders>
              <w:left w:val="single" w:sz="8" w:color="auto"/>
              <w:right w:val="single" w:sz="8" w:color="auto"/>
            </w:tcBorders>
            <w:vMerge w:val="continue"/>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shareholders(1)</w:t>
            </w:r>
          </w:p>
        </w:tc>
        <w:tc>
          <w:tcPr>
            <w:tcW w:w="88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940" w:type="dxa"/>
            <w:vAlign w:val="bottom"/>
            <w:tcBorders>
              <w:left w:val="single" w:sz="8" w:color="auto"/>
              <w:bottom w:val="single" w:sz="8" w:color="auto"/>
              <w:right w:val="single" w:sz="8" w:color="auto"/>
            </w:tcBorders>
          </w:tcPr>
          <w:p>
            <w:pPr>
              <w:spacing w:after="0"/>
              <w:rPr>
                <w:sz w:val="6"/>
                <w:szCs w:val="6"/>
                <w:color w:val="auto"/>
              </w:rPr>
            </w:pPr>
          </w:p>
        </w:tc>
        <w:tc>
          <w:tcPr>
            <w:tcW w:w="920" w:type="dxa"/>
            <w:vAlign w:val="bottom"/>
            <w:tcBorders>
              <w:bottom w:val="single" w:sz="8" w:color="auto"/>
              <w:right w:val="single" w:sz="8" w:color="auto"/>
            </w:tcBorders>
          </w:tcPr>
          <w:p>
            <w:pPr>
              <w:spacing w:after="0"/>
              <w:rPr>
                <w:sz w:val="6"/>
                <w:szCs w:val="6"/>
                <w:color w:val="auto"/>
              </w:rPr>
            </w:pPr>
          </w:p>
        </w:tc>
        <w:tc>
          <w:tcPr>
            <w:tcW w:w="1320" w:type="dxa"/>
            <w:vAlign w:val="bottom"/>
            <w:tcBorders>
              <w:bottom w:val="single" w:sz="8" w:color="auto"/>
              <w:right w:val="single" w:sz="8" w:color="auto"/>
            </w:tcBorders>
            <w:vMerge w:val="continue"/>
          </w:tcPr>
          <w:p>
            <w:pPr>
              <w:spacing w:after="0"/>
              <w:rPr>
                <w:sz w:val="6"/>
                <w:szCs w:val="6"/>
                <w:color w:val="auto"/>
              </w:rPr>
            </w:pPr>
          </w:p>
        </w:tc>
        <w:tc>
          <w:tcPr>
            <w:tcW w:w="880" w:type="dxa"/>
            <w:vAlign w:val="bottom"/>
            <w:tcBorders>
              <w:bottom w:val="single" w:sz="8" w:color="auto"/>
              <w:right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740" w:type="dxa"/>
            <w:vAlign w:val="bottom"/>
            <w:tcBorders>
              <w:bottom w:val="single" w:sz="8" w:color="auto"/>
              <w:right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660" w:type="dxa"/>
            <w:vAlign w:val="bottom"/>
            <w:tcBorders>
              <w:bottom w:val="single" w:sz="8" w:color="auto"/>
              <w:right w:val="single" w:sz="8" w:color="auto"/>
            </w:tcBorders>
          </w:tcPr>
          <w:p>
            <w:pPr>
              <w:spacing w:after="0"/>
              <w:rPr>
                <w:sz w:val="6"/>
                <w:szCs w:val="6"/>
                <w:color w:val="auto"/>
              </w:rPr>
            </w:pPr>
          </w:p>
        </w:tc>
        <w:tc>
          <w:tcPr>
            <w:tcW w:w="840" w:type="dxa"/>
            <w:vAlign w:val="bottom"/>
            <w:tcBorders>
              <w:bottom w:val="single" w:sz="8" w:color="auto"/>
              <w:right w:val="single" w:sz="8" w:color="auto"/>
            </w:tcBorders>
          </w:tcPr>
          <w:p>
            <w:pPr>
              <w:spacing w:after="0"/>
              <w:rPr>
                <w:sz w:val="6"/>
                <w:szCs w:val="6"/>
                <w:color w:val="auto"/>
              </w:rPr>
            </w:pPr>
          </w:p>
        </w:tc>
        <w:tc>
          <w:tcPr>
            <w:tcW w:w="660" w:type="dxa"/>
            <w:vAlign w:val="bottom"/>
            <w:tcBorders>
              <w:bottom w:val="single" w:sz="8" w:color="auto"/>
              <w:right w:val="single" w:sz="8" w:color="auto"/>
            </w:tcBorders>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940" w:type="dxa"/>
            <w:vAlign w:val="bottom"/>
            <w:tcBorders>
              <w:left w:val="single" w:sz="8" w:color="auto"/>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color w:val="auto"/>
              </w:rPr>
              <w:t>Common Shares</w:t>
            </w:r>
          </w:p>
        </w:tc>
        <w:tc>
          <w:tcPr>
            <w:tcW w:w="88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940" w:type="dxa"/>
            <w:vAlign w:val="bottom"/>
            <w:tcBorders>
              <w:left w:val="single" w:sz="8" w:color="auto"/>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offered by the selling</w:t>
            </w:r>
          </w:p>
        </w:tc>
        <w:tc>
          <w:tcPr>
            <w:tcW w:w="88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Fees to Be</w:t>
            </w:r>
          </w:p>
        </w:tc>
        <w:tc>
          <w:tcPr>
            <w:tcW w:w="92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color w:val="auto"/>
              </w:rPr>
              <w:t>shareholders, issuable</w:t>
            </w:r>
          </w:p>
        </w:tc>
        <w:tc>
          <w:tcPr>
            <w:tcW w:w="88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940" w:type="dxa"/>
            <w:vAlign w:val="bottom"/>
            <w:tcBorders>
              <w:left w:val="single" w:sz="8" w:color="auto"/>
              <w:right w:val="single" w:sz="8" w:color="auto"/>
            </w:tcBorders>
            <w:vMerge w:val="continue"/>
          </w:tcPr>
          <w:p>
            <w:pPr>
              <w:spacing w:after="0"/>
              <w:rPr>
                <w:sz w:val="6"/>
                <w:szCs w:val="6"/>
                <w:color w:val="auto"/>
              </w:rPr>
            </w:pPr>
          </w:p>
        </w:tc>
        <w:tc>
          <w:tcPr>
            <w:tcW w:w="920" w:type="dxa"/>
            <w:vAlign w:val="bottom"/>
            <w:tcBorders>
              <w:right w:val="single" w:sz="8" w:color="auto"/>
            </w:tcBorders>
            <w:vMerge w:val="restart"/>
          </w:tcPr>
          <w:p>
            <w:pPr>
              <w:jc w:val="center"/>
              <w:spacing w:after="0" w:line="146" w:lineRule="exact"/>
              <w:rPr>
                <w:sz w:val="20"/>
                <w:szCs w:val="20"/>
                <w:color w:val="auto"/>
              </w:rPr>
            </w:pPr>
            <w:r>
              <w:rPr>
                <w:rFonts w:ascii="Times New Roman" w:cs="Times New Roman" w:eastAsia="Times New Roman" w:hAnsi="Times New Roman"/>
                <w:sz w:val="14"/>
                <w:szCs w:val="14"/>
                <w:color w:val="auto"/>
              </w:rPr>
              <w:t>Equity</w:t>
            </w:r>
          </w:p>
        </w:tc>
        <w:tc>
          <w:tcPr>
            <w:tcW w:w="1320" w:type="dxa"/>
            <w:vAlign w:val="bottom"/>
            <w:tcBorders>
              <w:right w:val="single" w:sz="8" w:color="auto"/>
            </w:tcBorders>
            <w:vMerge w:val="restart"/>
          </w:tcPr>
          <w:p>
            <w:pPr>
              <w:jc w:val="center"/>
              <w:spacing w:after="0" w:line="146" w:lineRule="exact"/>
              <w:rPr>
                <w:sz w:val="20"/>
                <w:szCs w:val="20"/>
                <w:color w:val="auto"/>
              </w:rPr>
            </w:pPr>
            <w:r>
              <w:rPr>
                <w:rFonts w:ascii="Times New Roman" w:cs="Times New Roman" w:eastAsia="Times New Roman" w:hAnsi="Times New Roman"/>
                <w:sz w:val="14"/>
                <w:szCs w:val="14"/>
                <w:color w:val="auto"/>
              </w:rPr>
              <w:t>upon conversion of</w:t>
            </w:r>
          </w:p>
        </w:tc>
        <w:tc>
          <w:tcPr>
            <w:tcW w:w="880" w:type="dxa"/>
            <w:vAlign w:val="bottom"/>
            <w:tcBorders>
              <w:right w:val="single" w:sz="8" w:color="auto"/>
            </w:tcBorders>
            <w:vMerge w:val="restart"/>
          </w:tcPr>
          <w:p>
            <w:pPr>
              <w:jc w:val="center"/>
              <w:spacing w:after="0" w:line="146" w:lineRule="exact"/>
              <w:rPr>
                <w:sz w:val="20"/>
                <w:szCs w:val="20"/>
                <w:color w:val="auto"/>
              </w:rPr>
            </w:pPr>
            <w:r>
              <w:rPr>
                <w:rFonts w:ascii="Times New Roman" w:cs="Times New Roman" w:eastAsia="Times New Roman" w:hAnsi="Times New Roman"/>
                <w:sz w:val="14"/>
                <w:szCs w:val="14"/>
                <w:color w:val="auto"/>
              </w:rPr>
              <w:t>457(a)</w:t>
            </w:r>
          </w:p>
        </w:tc>
        <w:tc>
          <w:tcPr>
            <w:tcW w:w="1000" w:type="dxa"/>
            <w:vAlign w:val="bottom"/>
            <w:tcBorders>
              <w:right w:val="single" w:sz="8" w:color="auto"/>
            </w:tcBorders>
            <w:vMerge w:val="restart"/>
          </w:tcPr>
          <w:p>
            <w:pPr>
              <w:jc w:val="center"/>
              <w:spacing w:after="0" w:line="146" w:lineRule="exact"/>
              <w:rPr>
                <w:sz w:val="20"/>
                <w:szCs w:val="20"/>
                <w:color w:val="auto"/>
              </w:rPr>
            </w:pPr>
            <w:r>
              <w:rPr>
                <w:rFonts w:ascii="Times New Roman" w:cs="Times New Roman" w:eastAsia="Times New Roman" w:hAnsi="Times New Roman"/>
                <w:sz w:val="14"/>
                <w:szCs w:val="14"/>
                <w:color w:val="auto"/>
                <w:w w:val="99"/>
              </w:rPr>
              <w:t>2,522,705</w:t>
            </w:r>
          </w:p>
        </w:tc>
        <w:tc>
          <w:tcPr>
            <w:tcW w:w="740" w:type="dxa"/>
            <w:vAlign w:val="bottom"/>
            <w:tcBorders>
              <w:right w:val="single" w:sz="8" w:color="auto"/>
            </w:tcBorders>
            <w:vMerge w:val="restart"/>
          </w:tcPr>
          <w:p>
            <w:pPr>
              <w:jc w:val="center"/>
              <w:spacing w:after="0" w:line="146" w:lineRule="exact"/>
              <w:rPr>
                <w:sz w:val="20"/>
                <w:szCs w:val="20"/>
                <w:color w:val="auto"/>
              </w:rPr>
            </w:pPr>
            <w:r>
              <w:rPr>
                <w:rFonts w:ascii="Times New Roman" w:cs="Times New Roman" w:eastAsia="Times New Roman" w:hAnsi="Times New Roman"/>
                <w:sz w:val="14"/>
                <w:szCs w:val="14"/>
                <w:color w:val="auto"/>
              </w:rPr>
              <w:t>$29.21(2)</w:t>
            </w:r>
          </w:p>
        </w:tc>
        <w:tc>
          <w:tcPr>
            <w:tcW w:w="1000" w:type="dxa"/>
            <w:vAlign w:val="bottom"/>
            <w:tcBorders>
              <w:right w:val="single" w:sz="8" w:color="auto"/>
            </w:tcBorders>
            <w:vMerge w:val="restart"/>
          </w:tcPr>
          <w:p>
            <w:pPr>
              <w:jc w:val="center"/>
              <w:spacing w:after="0" w:line="146" w:lineRule="exact"/>
              <w:rPr>
                <w:sz w:val="20"/>
                <w:szCs w:val="20"/>
                <w:color w:val="auto"/>
              </w:rPr>
            </w:pPr>
            <w:r>
              <w:rPr>
                <w:rFonts w:ascii="Times New Roman" w:cs="Times New Roman" w:eastAsia="Times New Roman" w:hAnsi="Times New Roman"/>
                <w:sz w:val="14"/>
                <w:szCs w:val="14"/>
                <w:color w:val="auto"/>
              </w:rPr>
              <w:t>$73,688,213(2)</w:t>
            </w:r>
          </w:p>
        </w:tc>
        <w:tc>
          <w:tcPr>
            <w:tcW w:w="660" w:type="dxa"/>
            <w:vAlign w:val="bottom"/>
            <w:tcBorders>
              <w:right w:val="single" w:sz="8" w:color="auto"/>
            </w:tcBorders>
            <w:vMerge w:val="restart"/>
          </w:tcPr>
          <w:p>
            <w:pPr>
              <w:jc w:val="center"/>
              <w:spacing w:after="0" w:line="146" w:lineRule="exact"/>
              <w:rPr>
                <w:sz w:val="20"/>
                <w:szCs w:val="20"/>
                <w:color w:val="auto"/>
              </w:rPr>
            </w:pPr>
            <w:r>
              <w:rPr>
                <w:rFonts w:ascii="Times New Roman" w:cs="Times New Roman" w:eastAsia="Times New Roman" w:hAnsi="Times New Roman"/>
                <w:sz w:val="14"/>
                <w:szCs w:val="14"/>
                <w:color w:val="auto"/>
              </w:rPr>
              <w:t>0.0000927</w:t>
            </w:r>
          </w:p>
        </w:tc>
        <w:tc>
          <w:tcPr>
            <w:tcW w:w="840" w:type="dxa"/>
            <w:vAlign w:val="bottom"/>
            <w:tcBorders>
              <w:right w:val="single" w:sz="8" w:color="auto"/>
            </w:tcBorders>
            <w:vMerge w:val="restart"/>
          </w:tcPr>
          <w:p>
            <w:pPr>
              <w:jc w:val="center"/>
              <w:spacing w:after="0" w:line="146" w:lineRule="exact"/>
              <w:rPr>
                <w:sz w:val="20"/>
                <w:szCs w:val="20"/>
                <w:color w:val="auto"/>
              </w:rPr>
            </w:pPr>
            <w:r>
              <w:rPr>
                <w:rFonts w:ascii="Times New Roman" w:cs="Times New Roman" w:eastAsia="Times New Roman" w:hAnsi="Times New Roman"/>
                <w:sz w:val="14"/>
                <w:szCs w:val="14"/>
                <w:color w:val="auto"/>
                <w:w w:val="99"/>
              </w:rPr>
              <w:t>$6,830.90</w:t>
            </w:r>
          </w:p>
        </w:tc>
        <w:tc>
          <w:tcPr>
            <w:tcW w:w="660" w:type="dxa"/>
            <w:vAlign w:val="bottom"/>
            <w:tcBorders>
              <w:right w:val="single" w:sz="8" w:color="auto"/>
            </w:tcBorders>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8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Paid</w:t>
            </w:r>
          </w:p>
        </w:tc>
        <w:tc>
          <w:tcPr>
            <w:tcW w:w="920" w:type="dxa"/>
            <w:vAlign w:val="bottom"/>
            <w:tcBorders>
              <w:right w:val="single" w:sz="8" w:color="auto"/>
            </w:tcBorders>
            <w:vMerge w:val="continue"/>
          </w:tcPr>
          <w:p>
            <w:pPr>
              <w:spacing w:after="0"/>
              <w:rPr>
                <w:sz w:val="5"/>
                <w:szCs w:val="5"/>
                <w:color w:val="auto"/>
              </w:rPr>
            </w:pPr>
          </w:p>
        </w:tc>
        <w:tc>
          <w:tcPr>
            <w:tcW w:w="1320" w:type="dxa"/>
            <w:vAlign w:val="bottom"/>
            <w:tcBorders>
              <w:right w:val="single" w:sz="8" w:color="auto"/>
            </w:tcBorders>
            <w:vMerge w:val="continue"/>
          </w:tcPr>
          <w:p>
            <w:pPr>
              <w:spacing w:after="0"/>
              <w:rPr>
                <w:sz w:val="5"/>
                <w:szCs w:val="5"/>
                <w:color w:val="auto"/>
              </w:rPr>
            </w:pPr>
          </w:p>
        </w:tc>
        <w:tc>
          <w:tcPr>
            <w:tcW w:w="880" w:type="dxa"/>
            <w:vAlign w:val="bottom"/>
            <w:tcBorders>
              <w:right w:val="single" w:sz="8" w:color="auto"/>
            </w:tcBorders>
            <w:vMerge w:val="continue"/>
          </w:tcPr>
          <w:p>
            <w:pPr>
              <w:spacing w:after="0"/>
              <w:rPr>
                <w:sz w:val="5"/>
                <w:szCs w:val="5"/>
                <w:color w:val="auto"/>
              </w:rPr>
            </w:pPr>
          </w:p>
        </w:tc>
        <w:tc>
          <w:tcPr>
            <w:tcW w:w="1000" w:type="dxa"/>
            <w:vAlign w:val="bottom"/>
            <w:tcBorders>
              <w:right w:val="single" w:sz="8" w:color="auto"/>
            </w:tcBorders>
            <w:vMerge w:val="continue"/>
          </w:tcPr>
          <w:p>
            <w:pPr>
              <w:spacing w:after="0"/>
              <w:rPr>
                <w:sz w:val="5"/>
                <w:szCs w:val="5"/>
                <w:color w:val="auto"/>
              </w:rPr>
            </w:pPr>
          </w:p>
        </w:tc>
        <w:tc>
          <w:tcPr>
            <w:tcW w:w="740" w:type="dxa"/>
            <w:vAlign w:val="bottom"/>
            <w:tcBorders>
              <w:right w:val="single" w:sz="8" w:color="auto"/>
            </w:tcBorders>
            <w:vMerge w:val="continue"/>
          </w:tcPr>
          <w:p>
            <w:pPr>
              <w:spacing w:after="0"/>
              <w:rPr>
                <w:sz w:val="5"/>
                <w:szCs w:val="5"/>
                <w:color w:val="auto"/>
              </w:rPr>
            </w:pPr>
          </w:p>
        </w:tc>
        <w:tc>
          <w:tcPr>
            <w:tcW w:w="1000" w:type="dxa"/>
            <w:vAlign w:val="bottom"/>
            <w:tcBorders>
              <w:right w:val="single" w:sz="8" w:color="auto"/>
            </w:tcBorders>
            <w:vMerge w:val="continue"/>
          </w:tcPr>
          <w:p>
            <w:pPr>
              <w:spacing w:after="0"/>
              <w:rPr>
                <w:sz w:val="5"/>
                <w:szCs w:val="5"/>
                <w:color w:val="auto"/>
              </w:rPr>
            </w:pPr>
          </w:p>
        </w:tc>
        <w:tc>
          <w:tcPr>
            <w:tcW w:w="660" w:type="dxa"/>
            <w:vAlign w:val="bottom"/>
            <w:tcBorders>
              <w:right w:val="single" w:sz="8" w:color="auto"/>
            </w:tcBorders>
            <w:vMerge w:val="continue"/>
          </w:tcPr>
          <w:p>
            <w:pPr>
              <w:spacing w:after="0"/>
              <w:rPr>
                <w:sz w:val="5"/>
                <w:szCs w:val="5"/>
                <w:color w:val="auto"/>
              </w:rPr>
            </w:pPr>
          </w:p>
        </w:tc>
        <w:tc>
          <w:tcPr>
            <w:tcW w:w="840" w:type="dxa"/>
            <w:vAlign w:val="bottom"/>
            <w:tcBorders>
              <w:right w:val="single" w:sz="8" w:color="auto"/>
            </w:tcBorders>
            <w:vMerge w:val="continue"/>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940" w:type="dxa"/>
            <w:vAlign w:val="bottom"/>
            <w:tcBorders>
              <w:left w:val="single" w:sz="8" w:color="auto"/>
              <w:right w:val="single" w:sz="8" w:color="auto"/>
            </w:tcBorders>
            <w:vMerge w:val="continue"/>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vMerge w:val="restart"/>
          </w:tcPr>
          <w:p>
            <w:pPr>
              <w:jc w:val="center"/>
              <w:spacing w:after="0" w:line="142" w:lineRule="exact"/>
              <w:rPr>
                <w:sz w:val="20"/>
                <w:szCs w:val="20"/>
                <w:color w:val="auto"/>
              </w:rPr>
            </w:pPr>
            <w:r>
              <w:rPr>
                <w:rFonts w:ascii="Times New Roman" w:cs="Times New Roman" w:eastAsia="Times New Roman" w:hAnsi="Times New Roman"/>
                <w:sz w:val="14"/>
                <w:szCs w:val="14"/>
                <w:color w:val="auto"/>
              </w:rPr>
              <w:t>Class A Series 1</w:t>
            </w:r>
          </w:p>
        </w:tc>
        <w:tc>
          <w:tcPr>
            <w:tcW w:w="88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
        </w:trPr>
        <w:tc>
          <w:tcPr>
            <w:tcW w:w="940" w:type="dxa"/>
            <w:vAlign w:val="bottom"/>
            <w:tcBorders>
              <w:left w:val="single" w:sz="8" w:color="auto"/>
              <w:right w:val="single" w:sz="8" w:color="auto"/>
            </w:tcBorders>
          </w:tcPr>
          <w:p>
            <w:pPr>
              <w:spacing w:after="0"/>
              <w:rPr>
                <w:sz w:val="2"/>
                <w:szCs w:val="2"/>
                <w:color w:val="auto"/>
              </w:rPr>
            </w:pPr>
          </w:p>
        </w:tc>
        <w:tc>
          <w:tcPr>
            <w:tcW w:w="920" w:type="dxa"/>
            <w:vAlign w:val="bottom"/>
            <w:tcBorders>
              <w:right w:val="single" w:sz="8" w:color="auto"/>
            </w:tcBorders>
          </w:tcPr>
          <w:p>
            <w:pPr>
              <w:spacing w:after="0"/>
              <w:rPr>
                <w:sz w:val="2"/>
                <w:szCs w:val="2"/>
                <w:color w:val="auto"/>
              </w:rPr>
            </w:pPr>
          </w:p>
        </w:tc>
        <w:tc>
          <w:tcPr>
            <w:tcW w:w="1320" w:type="dxa"/>
            <w:vAlign w:val="bottom"/>
            <w:tcBorders>
              <w:right w:val="single" w:sz="8" w:color="auto"/>
            </w:tcBorders>
            <w:vMerge w:val="continue"/>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1000" w:type="dxa"/>
            <w:vAlign w:val="bottom"/>
            <w:tcBorders>
              <w:right w:val="single" w:sz="8" w:color="auto"/>
            </w:tcBorders>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1000" w:type="dxa"/>
            <w:vAlign w:val="bottom"/>
            <w:tcBorders>
              <w:right w:val="single" w:sz="8" w:color="auto"/>
            </w:tcBorders>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840" w:type="dxa"/>
            <w:vAlign w:val="bottom"/>
            <w:tcBorders>
              <w:right w:val="single" w:sz="8" w:color="auto"/>
            </w:tcBorders>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8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7"/>
        </w:trPr>
        <w:tc>
          <w:tcPr>
            <w:tcW w:w="940" w:type="dxa"/>
            <w:vAlign w:val="bottom"/>
            <w:tcBorders>
              <w:left w:val="single" w:sz="8" w:color="auto"/>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color w:val="auto"/>
              </w:rPr>
              <w:t>Preferred Shares(1)</w:t>
            </w:r>
          </w:p>
        </w:tc>
        <w:tc>
          <w:tcPr>
            <w:tcW w:w="88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940" w:type="dxa"/>
            <w:vAlign w:val="bottom"/>
            <w:tcBorders>
              <w:left w:val="single" w:sz="8" w:color="auto"/>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8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94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940" w:type="dxa"/>
            <w:vAlign w:val="bottom"/>
            <w:tcBorders>
              <w:left w:val="single" w:sz="8" w:color="auto"/>
              <w:right w:val="single" w:sz="8" w:color="auto"/>
            </w:tcBorders>
          </w:tcPr>
          <w:p>
            <w:pPr>
              <w:jc w:val="center"/>
              <w:spacing w:after="0" w:line="157" w:lineRule="exact"/>
              <w:rPr>
                <w:sz w:val="20"/>
                <w:szCs w:val="20"/>
                <w:color w:val="auto"/>
              </w:rPr>
            </w:pPr>
            <w:r>
              <w:rPr>
                <w:rFonts w:ascii="Times New Roman" w:cs="Times New Roman" w:eastAsia="Times New Roman" w:hAnsi="Times New Roman"/>
                <w:sz w:val="14"/>
                <w:szCs w:val="14"/>
                <w:color w:val="auto"/>
              </w:rPr>
              <w:t>Fees</w:t>
            </w:r>
          </w:p>
        </w:tc>
        <w:tc>
          <w:tcPr>
            <w:tcW w:w="920" w:type="dxa"/>
            <w:vAlign w:val="bottom"/>
            <w:tcBorders>
              <w:right w:val="single" w:sz="8" w:color="auto"/>
            </w:tcBorders>
          </w:tcPr>
          <w:p>
            <w:pPr>
              <w:spacing w:after="0"/>
              <w:rPr>
                <w:sz w:val="13"/>
                <w:szCs w:val="13"/>
                <w:color w:val="auto"/>
              </w:rPr>
            </w:pPr>
          </w:p>
        </w:tc>
        <w:tc>
          <w:tcPr>
            <w:tcW w:w="1320" w:type="dxa"/>
            <w:vAlign w:val="bottom"/>
            <w:tcBorders>
              <w:right w:val="single" w:sz="8" w:color="auto"/>
            </w:tcBorders>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940" w:type="dxa"/>
            <w:vAlign w:val="bottom"/>
            <w:tcBorders>
              <w:left w:val="single" w:sz="8" w:color="auto"/>
              <w:right w:val="single" w:sz="8" w:color="auto"/>
            </w:tcBorders>
          </w:tcPr>
          <w:p>
            <w:pPr>
              <w:jc w:val="center"/>
              <w:spacing w:after="0" w:line="159" w:lineRule="exact"/>
              <w:rPr>
                <w:sz w:val="20"/>
                <w:szCs w:val="20"/>
                <w:color w:val="auto"/>
              </w:rPr>
            </w:pPr>
            <w:r>
              <w:rPr>
                <w:rFonts w:ascii="Times New Roman" w:cs="Times New Roman" w:eastAsia="Times New Roman" w:hAnsi="Times New Roman"/>
                <w:sz w:val="14"/>
                <w:szCs w:val="14"/>
                <w:color w:val="auto"/>
              </w:rPr>
              <w:t>Previously</w:t>
            </w:r>
          </w:p>
        </w:tc>
        <w:tc>
          <w:tcPr>
            <w:tcW w:w="920" w:type="dxa"/>
            <w:vAlign w:val="bottom"/>
            <w:tcBorders>
              <w:right w:val="single" w:sz="8" w:color="auto"/>
            </w:tcBorders>
          </w:tcPr>
          <w:p>
            <w:pPr>
              <w:spacing w:after="0"/>
              <w:rPr>
                <w:sz w:val="13"/>
                <w:szCs w:val="13"/>
                <w:color w:val="auto"/>
              </w:rPr>
            </w:pPr>
          </w:p>
        </w:tc>
        <w:tc>
          <w:tcPr>
            <w:tcW w:w="1320" w:type="dxa"/>
            <w:vAlign w:val="bottom"/>
            <w:tcBorders>
              <w:right w:val="single" w:sz="8" w:color="auto"/>
            </w:tcBorders>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Paid</w:t>
            </w:r>
          </w:p>
        </w:tc>
        <w:tc>
          <w:tcPr>
            <w:tcW w:w="92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94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940" w:type="dxa"/>
            <w:vAlign w:val="bottom"/>
            <w:tcBorders>
              <w:left w:val="single" w:sz="8" w:color="auto"/>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3"/>
          </w:tcPr>
          <w:p>
            <w:pPr>
              <w:jc w:val="center"/>
              <w:ind w:left="233"/>
              <w:spacing w:after="0"/>
              <w:rPr>
                <w:sz w:val="20"/>
                <w:szCs w:val="20"/>
                <w:color w:val="auto"/>
              </w:rPr>
            </w:pPr>
            <w:r>
              <w:rPr>
                <w:rFonts w:ascii="Times New Roman" w:cs="Times New Roman" w:eastAsia="Times New Roman" w:hAnsi="Times New Roman"/>
                <w:sz w:val="14"/>
                <w:szCs w:val="14"/>
                <w:b w:val="1"/>
                <w:bCs w:val="1"/>
                <w:color w:val="auto"/>
              </w:rPr>
              <w:t>Carry Forward Securities</w:t>
            </w:r>
          </w:p>
        </w:tc>
        <w:tc>
          <w:tcPr>
            <w:tcW w:w="6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Carry</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Equity</w:t>
            </w: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Common Shares, no</w:t>
            </w: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415(a)(6)</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(5)</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(6)</w:t>
            </w:r>
          </w:p>
        </w:tc>
        <w:tc>
          <w:tcPr>
            <w:tcW w:w="660" w:type="dxa"/>
            <w:vAlign w:val="bottom"/>
            <w:tcBorders>
              <w:right w:val="single" w:sz="8" w:color="auto"/>
            </w:tcBorders>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S-3</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333-</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September</w:t>
            </w:r>
          </w:p>
        </w:tc>
        <w:tc>
          <w:tcPr>
            <w:tcW w:w="8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6"/>
        </w:trPr>
        <w:tc>
          <w:tcPr>
            <w:tcW w:w="940" w:type="dxa"/>
            <w:vAlign w:val="bottom"/>
            <w:tcBorders>
              <w:left w:val="single" w:sz="8" w:color="auto"/>
              <w:right w:val="single" w:sz="8" w:color="auto"/>
            </w:tcBorders>
            <w:vMerge w:val="restart"/>
          </w:tcPr>
          <w:p>
            <w:pPr>
              <w:jc w:val="center"/>
              <w:spacing w:after="0" w:line="159" w:lineRule="exact"/>
              <w:rPr>
                <w:sz w:val="20"/>
                <w:szCs w:val="20"/>
                <w:color w:val="auto"/>
              </w:rPr>
            </w:pPr>
            <w:r>
              <w:rPr>
                <w:rFonts w:ascii="Times New Roman" w:cs="Times New Roman" w:eastAsia="Times New Roman" w:hAnsi="Times New Roman"/>
                <w:sz w:val="14"/>
                <w:szCs w:val="14"/>
                <w:color w:val="auto"/>
              </w:rPr>
              <w:t>Forward</w:t>
            </w:r>
          </w:p>
        </w:tc>
        <w:tc>
          <w:tcPr>
            <w:tcW w:w="920" w:type="dxa"/>
            <w:vAlign w:val="bottom"/>
            <w:tcBorders>
              <w:right w:val="single" w:sz="8" w:color="auto"/>
            </w:tcBorders>
            <w:vMerge w:val="continue"/>
          </w:tcPr>
          <w:p>
            <w:pPr>
              <w:spacing w:after="0"/>
              <w:rPr>
                <w:sz w:val="5"/>
                <w:szCs w:val="5"/>
                <w:color w:val="auto"/>
              </w:rPr>
            </w:pPr>
          </w:p>
        </w:tc>
        <w:tc>
          <w:tcPr>
            <w:tcW w:w="1320" w:type="dxa"/>
            <w:vAlign w:val="bottom"/>
            <w:tcBorders>
              <w:right w:val="single" w:sz="8" w:color="auto"/>
            </w:tcBorders>
            <w:vMerge w:val="continue"/>
          </w:tcPr>
          <w:p>
            <w:pPr>
              <w:spacing w:after="0"/>
              <w:rPr>
                <w:sz w:val="5"/>
                <w:szCs w:val="5"/>
                <w:color w:val="auto"/>
              </w:rPr>
            </w:pPr>
          </w:p>
        </w:tc>
        <w:tc>
          <w:tcPr>
            <w:tcW w:w="880" w:type="dxa"/>
            <w:vAlign w:val="bottom"/>
            <w:tcBorders>
              <w:right w:val="single" w:sz="8" w:color="auto"/>
            </w:tcBorders>
            <w:vMerge w:val="continue"/>
          </w:tcPr>
          <w:p>
            <w:pPr>
              <w:spacing w:after="0"/>
              <w:rPr>
                <w:sz w:val="5"/>
                <w:szCs w:val="5"/>
                <w:color w:val="auto"/>
              </w:rPr>
            </w:pPr>
          </w:p>
        </w:tc>
        <w:tc>
          <w:tcPr>
            <w:tcW w:w="1000" w:type="dxa"/>
            <w:vAlign w:val="bottom"/>
            <w:tcBorders>
              <w:right w:val="single" w:sz="8" w:color="auto"/>
            </w:tcBorders>
            <w:vMerge w:val="continue"/>
          </w:tcPr>
          <w:p>
            <w:pPr>
              <w:spacing w:after="0"/>
              <w:rPr>
                <w:sz w:val="5"/>
                <w:szCs w:val="5"/>
                <w:color w:val="auto"/>
              </w:rPr>
            </w:pPr>
          </w:p>
        </w:tc>
        <w:tc>
          <w:tcPr>
            <w:tcW w:w="740" w:type="dxa"/>
            <w:vAlign w:val="bottom"/>
            <w:tcBorders>
              <w:right w:val="single" w:sz="8" w:color="auto"/>
            </w:tcBorders>
            <w:vMerge w:val="continue"/>
          </w:tcPr>
          <w:p>
            <w:pPr>
              <w:spacing w:after="0"/>
              <w:rPr>
                <w:sz w:val="5"/>
                <w:szCs w:val="5"/>
                <w:color w:val="auto"/>
              </w:rPr>
            </w:pPr>
          </w:p>
        </w:tc>
        <w:tc>
          <w:tcPr>
            <w:tcW w:w="1000" w:type="dxa"/>
            <w:vAlign w:val="bottom"/>
            <w:tcBorders>
              <w:right w:val="single" w:sz="8" w:color="auto"/>
            </w:tcBorders>
            <w:vMerge w:val="continue"/>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660" w:type="dxa"/>
            <w:vAlign w:val="bottom"/>
            <w:tcBorders>
              <w:right w:val="single" w:sz="8" w:color="auto"/>
            </w:tcBorders>
            <w:vMerge w:val="continue"/>
          </w:tcPr>
          <w:p>
            <w:pPr>
              <w:spacing w:after="0"/>
              <w:rPr>
                <w:sz w:val="5"/>
                <w:szCs w:val="5"/>
                <w:color w:val="auto"/>
              </w:rPr>
            </w:pPr>
          </w:p>
        </w:tc>
        <w:tc>
          <w:tcPr>
            <w:tcW w:w="680" w:type="dxa"/>
            <w:vAlign w:val="bottom"/>
            <w:tcBorders>
              <w:right w:val="single" w:sz="8" w:color="auto"/>
            </w:tcBorders>
            <w:vMerge w:val="continue"/>
          </w:tcPr>
          <w:p>
            <w:pPr>
              <w:spacing w:after="0"/>
              <w:rPr>
                <w:sz w:val="5"/>
                <w:szCs w:val="5"/>
                <w:color w:val="auto"/>
              </w:rPr>
            </w:pPr>
          </w:p>
        </w:tc>
        <w:tc>
          <w:tcPr>
            <w:tcW w:w="680" w:type="dxa"/>
            <w:vAlign w:val="bottom"/>
            <w:tcBorders>
              <w:right w:val="single" w:sz="8" w:color="auto"/>
            </w:tcBorders>
            <w:vMerge w:val="continue"/>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940" w:type="dxa"/>
            <w:vAlign w:val="bottom"/>
            <w:tcBorders>
              <w:left w:val="single" w:sz="8" w:color="auto"/>
              <w:right w:val="single" w:sz="8" w:color="auto"/>
            </w:tcBorders>
            <w:vMerge w:val="continue"/>
          </w:tcPr>
          <w:p>
            <w:pPr>
              <w:spacing w:after="0"/>
              <w:rPr>
                <w:sz w:val="8"/>
                <w:szCs w:val="8"/>
                <w:color w:val="auto"/>
              </w:rPr>
            </w:pPr>
          </w:p>
        </w:tc>
        <w:tc>
          <w:tcPr>
            <w:tcW w:w="920" w:type="dxa"/>
            <w:vAlign w:val="bottom"/>
            <w:tcBorders>
              <w:right w:val="single" w:sz="8" w:color="auto"/>
            </w:tcBorders>
            <w:vMerge w:val="continue"/>
          </w:tcPr>
          <w:p>
            <w:pPr>
              <w:spacing w:after="0"/>
              <w:rPr>
                <w:sz w:val="8"/>
                <w:szCs w:val="8"/>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par value</w:t>
            </w:r>
          </w:p>
        </w:tc>
        <w:tc>
          <w:tcPr>
            <w:tcW w:w="880" w:type="dxa"/>
            <w:vAlign w:val="bottom"/>
            <w:tcBorders>
              <w:right w:val="single" w:sz="8" w:color="auto"/>
            </w:tcBorders>
            <w:vMerge w:val="continue"/>
          </w:tcPr>
          <w:p>
            <w:pPr>
              <w:spacing w:after="0"/>
              <w:rPr>
                <w:sz w:val="8"/>
                <w:szCs w:val="8"/>
                <w:color w:val="auto"/>
              </w:rPr>
            </w:pPr>
          </w:p>
        </w:tc>
        <w:tc>
          <w:tcPr>
            <w:tcW w:w="1000" w:type="dxa"/>
            <w:vAlign w:val="bottom"/>
            <w:tcBorders>
              <w:right w:val="single" w:sz="8" w:color="auto"/>
            </w:tcBorders>
            <w:vMerge w:val="continue"/>
          </w:tcPr>
          <w:p>
            <w:pPr>
              <w:spacing w:after="0"/>
              <w:rPr>
                <w:sz w:val="8"/>
                <w:szCs w:val="8"/>
                <w:color w:val="auto"/>
              </w:rPr>
            </w:pPr>
          </w:p>
        </w:tc>
        <w:tc>
          <w:tcPr>
            <w:tcW w:w="740" w:type="dxa"/>
            <w:vAlign w:val="bottom"/>
            <w:tcBorders>
              <w:right w:val="single" w:sz="8" w:color="auto"/>
            </w:tcBorders>
            <w:vMerge w:val="continue"/>
          </w:tcPr>
          <w:p>
            <w:pPr>
              <w:spacing w:after="0"/>
              <w:rPr>
                <w:sz w:val="8"/>
                <w:szCs w:val="8"/>
                <w:color w:val="auto"/>
              </w:rPr>
            </w:pPr>
          </w:p>
        </w:tc>
        <w:tc>
          <w:tcPr>
            <w:tcW w:w="1000" w:type="dxa"/>
            <w:vAlign w:val="bottom"/>
            <w:tcBorders>
              <w:right w:val="single" w:sz="8" w:color="auto"/>
            </w:tcBorders>
            <w:vMerge w:val="continue"/>
          </w:tcPr>
          <w:p>
            <w:pPr>
              <w:spacing w:after="0"/>
              <w:rPr>
                <w:sz w:val="8"/>
                <w:szCs w:val="8"/>
                <w:color w:val="auto"/>
              </w:rPr>
            </w:pPr>
          </w:p>
        </w:tc>
        <w:tc>
          <w:tcPr>
            <w:tcW w:w="660" w:type="dxa"/>
            <w:vAlign w:val="bottom"/>
            <w:tcBorders>
              <w:right w:val="single" w:sz="8" w:color="auto"/>
            </w:tcBorders>
          </w:tcPr>
          <w:p>
            <w:pPr>
              <w:spacing w:after="0"/>
              <w:rPr>
                <w:sz w:val="8"/>
                <w:szCs w:val="8"/>
                <w:color w:val="auto"/>
              </w:rPr>
            </w:pPr>
          </w:p>
        </w:tc>
        <w:tc>
          <w:tcPr>
            <w:tcW w:w="840" w:type="dxa"/>
            <w:vAlign w:val="bottom"/>
            <w:tcBorders>
              <w:right w:val="single" w:sz="8" w:color="auto"/>
            </w:tcBorders>
          </w:tcPr>
          <w:p>
            <w:pPr>
              <w:spacing w:after="0"/>
              <w:rPr>
                <w:sz w:val="8"/>
                <w:szCs w:val="8"/>
                <w:color w:val="auto"/>
              </w:rPr>
            </w:pPr>
          </w:p>
        </w:tc>
        <w:tc>
          <w:tcPr>
            <w:tcW w:w="660" w:type="dxa"/>
            <w:vAlign w:val="bottom"/>
            <w:tcBorders>
              <w:right w:val="single" w:sz="8" w:color="auto"/>
            </w:tcBorders>
            <w:vMerge w:val="continue"/>
          </w:tcPr>
          <w:p>
            <w:pPr>
              <w:spacing w:after="0"/>
              <w:rPr>
                <w:sz w:val="8"/>
                <w:szCs w:val="8"/>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233444</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5, 2019</w:t>
            </w:r>
          </w:p>
        </w:tc>
        <w:tc>
          <w:tcPr>
            <w:tcW w:w="8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Securities</w:t>
            </w:r>
          </w:p>
        </w:tc>
        <w:tc>
          <w:tcPr>
            <w:tcW w:w="920" w:type="dxa"/>
            <w:vAlign w:val="bottom"/>
            <w:tcBorders>
              <w:right w:val="single" w:sz="8" w:color="auto"/>
            </w:tcBorders>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88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74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840" w:type="dxa"/>
            <w:vAlign w:val="bottom"/>
            <w:tcBorders>
              <w:right w:val="single" w:sz="8" w:color="auto"/>
            </w:tcBorders>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680" w:type="dxa"/>
            <w:vAlign w:val="bottom"/>
            <w:tcBorders>
              <w:right w:val="single" w:sz="8" w:color="auto"/>
            </w:tcBorders>
            <w:vMerge w:val="continue"/>
          </w:tcPr>
          <w:p>
            <w:pPr>
              <w:spacing w:after="0"/>
              <w:rPr>
                <w:sz w:val="7"/>
                <w:szCs w:val="7"/>
                <w:color w:val="auto"/>
              </w:rPr>
            </w:pPr>
          </w:p>
        </w:tc>
        <w:tc>
          <w:tcPr>
            <w:tcW w:w="680" w:type="dxa"/>
            <w:vAlign w:val="bottom"/>
            <w:tcBorders>
              <w:right w:val="single" w:sz="8" w:color="auto"/>
            </w:tcBorders>
            <w:vMerge w:val="continue"/>
          </w:tcPr>
          <w:p>
            <w:pPr>
              <w:spacing w:after="0"/>
              <w:rPr>
                <w:sz w:val="7"/>
                <w:szCs w:val="7"/>
                <w:color w:val="auto"/>
              </w:rPr>
            </w:pPr>
          </w:p>
        </w:tc>
        <w:tc>
          <w:tcPr>
            <w:tcW w:w="8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940" w:type="dxa"/>
            <w:vAlign w:val="bottom"/>
            <w:tcBorders>
              <w:left w:val="single" w:sz="8" w:color="auto"/>
              <w:right w:val="single" w:sz="8" w:color="auto"/>
            </w:tcBorders>
            <w:vMerge w:val="continue"/>
          </w:tcPr>
          <w:p>
            <w:pPr>
              <w:spacing w:after="0"/>
              <w:rPr>
                <w:sz w:val="8"/>
                <w:szCs w:val="8"/>
                <w:color w:val="auto"/>
              </w:rPr>
            </w:pPr>
          </w:p>
        </w:tc>
        <w:tc>
          <w:tcPr>
            <w:tcW w:w="920" w:type="dxa"/>
            <w:vAlign w:val="bottom"/>
            <w:tcBorders>
              <w:right w:val="single" w:sz="8" w:color="auto"/>
            </w:tcBorders>
          </w:tcPr>
          <w:p>
            <w:pPr>
              <w:spacing w:after="0"/>
              <w:rPr>
                <w:sz w:val="8"/>
                <w:szCs w:val="8"/>
                <w:color w:val="auto"/>
              </w:rPr>
            </w:pPr>
          </w:p>
        </w:tc>
        <w:tc>
          <w:tcPr>
            <w:tcW w:w="1320" w:type="dxa"/>
            <w:vAlign w:val="bottom"/>
            <w:tcBorders>
              <w:right w:val="single" w:sz="8" w:color="auto"/>
            </w:tcBorders>
          </w:tcPr>
          <w:p>
            <w:pPr>
              <w:spacing w:after="0"/>
              <w:rPr>
                <w:sz w:val="8"/>
                <w:szCs w:val="8"/>
                <w:color w:val="auto"/>
              </w:rPr>
            </w:pPr>
          </w:p>
        </w:tc>
        <w:tc>
          <w:tcPr>
            <w:tcW w:w="8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660" w:type="dxa"/>
            <w:vAlign w:val="bottom"/>
            <w:tcBorders>
              <w:right w:val="single" w:sz="8" w:color="auto"/>
            </w:tcBorders>
          </w:tcPr>
          <w:p>
            <w:pPr>
              <w:spacing w:after="0"/>
              <w:rPr>
                <w:sz w:val="8"/>
                <w:szCs w:val="8"/>
                <w:color w:val="auto"/>
              </w:rPr>
            </w:pPr>
          </w:p>
        </w:tc>
        <w:tc>
          <w:tcPr>
            <w:tcW w:w="840" w:type="dxa"/>
            <w:vAlign w:val="bottom"/>
            <w:tcBorders>
              <w:right w:val="single" w:sz="8" w:color="auto"/>
            </w:tcBorders>
          </w:tcPr>
          <w:p>
            <w:pPr>
              <w:spacing w:after="0"/>
              <w:rPr>
                <w:sz w:val="8"/>
                <w:szCs w:val="8"/>
                <w:color w:val="auto"/>
              </w:rPr>
            </w:pPr>
          </w:p>
        </w:tc>
        <w:tc>
          <w:tcPr>
            <w:tcW w:w="660" w:type="dxa"/>
            <w:vAlign w:val="bottom"/>
            <w:tcBorders>
              <w:right w:val="single" w:sz="8" w:color="auto"/>
            </w:tcBorders>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8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
        </w:trPr>
        <w:tc>
          <w:tcPr>
            <w:tcW w:w="94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940" w:type="dxa"/>
            <w:vAlign w:val="bottom"/>
            <w:tcBorders>
              <w:left w:val="single" w:sz="8" w:color="auto"/>
              <w:right w:val="single" w:sz="8" w:color="auto"/>
            </w:tcBorders>
          </w:tcPr>
          <w:p>
            <w:pPr>
              <w:jc w:val="center"/>
              <w:spacing w:after="0" w:line="157" w:lineRule="exact"/>
              <w:rPr>
                <w:sz w:val="20"/>
                <w:szCs w:val="20"/>
                <w:color w:val="auto"/>
              </w:rPr>
            </w:pPr>
            <w:r>
              <w:rPr>
                <w:rFonts w:ascii="Times New Roman" w:cs="Times New Roman" w:eastAsia="Times New Roman" w:hAnsi="Times New Roman"/>
                <w:sz w:val="14"/>
                <w:szCs w:val="14"/>
                <w:color w:val="auto"/>
              </w:rPr>
              <w:t>Carry</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Equity</w:t>
            </w: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Preferred Shares, no</w:t>
            </w: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415(a)(6)</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(5)</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(6)</w:t>
            </w:r>
          </w:p>
        </w:tc>
        <w:tc>
          <w:tcPr>
            <w:tcW w:w="660" w:type="dxa"/>
            <w:vAlign w:val="bottom"/>
            <w:tcBorders>
              <w:right w:val="single" w:sz="8" w:color="auto"/>
            </w:tcBorders>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S-3</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333-</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September</w:t>
            </w:r>
          </w:p>
        </w:tc>
        <w:tc>
          <w:tcPr>
            <w:tcW w:w="8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940" w:type="dxa"/>
            <w:vAlign w:val="bottom"/>
            <w:tcBorders>
              <w:left w:val="single" w:sz="8" w:color="auto"/>
              <w:right w:val="single" w:sz="8" w:color="auto"/>
            </w:tcBorders>
            <w:vMerge w:val="restart"/>
          </w:tcPr>
          <w:p>
            <w:pPr>
              <w:jc w:val="center"/>
              <w:spacing w:after="0" w:line="159" w:lineRule="exact"/>
              <w:rPr>
                <w:sz w:val="20"/>
                <w:szCs w:val="20"/>
                <w:color w:val="auto"/>
              </w:rPr>
            </w:pPr>
            <w:r>
              <w:rPr>
                <w:rFonts w:ascii="Times New Roman" w:cs="Times New Roman" w:eastAsia="Times New Roman" w:hAnsi="Times New Roman"/>
                <w:sz w:val="14"/>
                <w:szCs w:val="14"/>
                <w:color w:val="auto"/>
              </w:rPr>
              <w:t>Forward</w:t>
            </w:r>
          </w:p>
        </w:tc>
        <w:tc>
          <w:tcPr>
            <w:tcW w:w="920" w:type="dxa"/>
            <w:vAlign w:val="bottom"/>
            <w:tcBorders>
              <w:right w:val="single" w:sz="8" w:color="auto"/>
            </w:tcBorders>
            <w:vMerge w:val="continue"/>
          </w:tcPr>
          <w:p>
            <w:pPr>
              <w:spacing w:after="0"/>
              <w:rPr>
                <w:sz w:val="5"/>
                <w:szCs w:val="5"/>
                <w:color w:val="auto"/>
              </w:rPr>
            </w:pPr>
          </w:p>
        </w:tc>
        <w:tc>
          <w:tcPr>
            <w:tcW w:w="1320" w:type="dxa"/>
            <w:vAlign w:val="bottom"/>
            <w:tcBorders>
              <w:right w:val="single" w:sz="8" w:color="auto"/>
            </w:tcBorders>
            <w:vMerge w:val="continue"/>
          </w:tcPr>
          <w:p>
            <w:pPr>
              <w:spacing w:after="0"/>
              <w:rPr>
                <w:sz w:val="5"/>
                <w:szCs w:val="5"/>
                <w:color w:val="auto"/>
              </w:rPr>
            </w:pPr>
          </w:p>
        </w:tc>
        <w:tc>
          <w:tcPr>
            <w:tcW w:w="880" w:type="dxa"/>
            <w:vAlign w:val="bottom"/>
            <w:tcBorders>
              <w:right w:val="single" w:sz="8" w:color="auto"/>
            </w:tcBorders>
            <w:vMerge w:val="continue"/>
          </w:tcPr>
          <w:p>
            <w:pPr>
              <w:spacing w:after="0"/>
              <w:rPr>
                <w:sz w:val="5"/>
                <w:szCs w:val="5"/>
                <w:color w:val="auto"/>
              </w:rPr>
            </w:pPr>
          </w:p>
        </w:tc>
        <w:tc>
          <w:tcPr>
            <w:tcW w:w="1000" w:type="dxa"/>
            <w:vAlign w:val="bottom"/>
            <w:tcBorders>
              <w:right w:val="single" w:sz="8" w:color="auto"/>
            </w:tcBorders>
            <w:vMerge w:val="continue"/>
          </w:tcPr>
          <w:p>
            <w:pPr>
              <w:spacing w:after="0"/>
              <w:rPr>
                <w:sz w:val="5"/>
                <w:szCs w:val="5"/>
                <w:color w:val="auto"/>
              </w:rPr>
            </w:pPr>
          </w:p>
        </w:tc>
        <w:tc>
          <w:tcPr>
            <w:tcW w:w="740" w:type="dxa"/>
            <w:vAlign w:val="bottom"/>
            <w:tcBorders>
              <w:right w:val="single" w:sz="8" w:color="auto"/>
            </w:tcBorders>
            <w:vMerge w:val="continue"/>
          </w:tcPr>
          <w:p>
            <w:pPr>
              <w:spacing w:after="0"/>
              <w:rPr>
                <w:sz w:val="5"/>
                <w:szCs w:val="5"/>
                <w:color w:val="auto"/>
              </w:rPr>
            </w:pPr>
          </w:p>
        </w:tc>
        <w:tc>
          <w:tcPr>
            <w:tcW w:w="1000" w:type="dxa"/>
            <w:vAlign w:val="bottom"/>
            <w:tcBorders>
              <w:right w:val="single" w:sz="8" w:color="auto"/>
            </w:tcBorders>
            <w:vMerge w:val="continue"/>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660" w:type="dxa"/>
            <w:vAlign w:val="bottom"/>
            <w:tcBorders>
              <w:right w:val="single" w:sz="8" w:color="auto"/>
            </w:tcBorders>
            <w:vMerge w:val="continue"/>
          </w:tcPr>
          <w:p>
            <w:pPr>
              <w:spacing w:after="0"/>
              <w:rPr>
                <w:sz w:val="5"/>
                <w:szCs w:val="5"/>
                <w:color w:val="auto"/>
              </w:rPr>
            </w:pPr>
          </w:p>
        </w:tc>
        <w:tc>
          <w:tcPr>
            <w:tcW w:w="680" w:type="dxa"/>
            <w:vAlign w:val="bottom"/>
            <w:tcBorders>
              <w:right w:val="single" w:sz="8" w:color="auto"/>
            </w:tcBorders>
            <w:vMerge w:val="continue"/>
          </w:tcPr>
          <w:p>
            <w:pPr>
              <w:spacing w:after="0"/>
              <w:rPr>
                <w:sz w:val="5"/>
                <w:szCs w:val="5"/>
                <w:color w:val="auto"/>
              </w:rPr>
            </w:pPr>
          </w:p>
        </w:tc>
        <w:tc>
          <w:tcPr>
            <w:tcW w:w="680" w:type="dxa"/>
            <w:vAlign w:val="bottom"/>
            <w:tcBorders>
              <w:right w:val="single" w:sz="8" w:color="auto"/>
            </w:tcBorders>
            <w:vMerge w:val="continue"/>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940" w:type="dxa"/>
            <w:vAlign w:val="bottom"/>
            <w:tcBorders>
              <w:left w:val="single" w:sz="8" w:color="auto"/>
              <w:right w:val="single" w:sz="8" w:color="auto"/>
            </w:tcBorders>
            <w:vMerge w:val="continue"/>
          </w:tcPr>
          <w:p>
            <w:pPr>
              <w:spacing w:after="0"/>
              <w:rPr>
                <w:sz w:val="8"/>
                <w:szCs w:val="8"/>
                <w:color w:val="auto"/>
              </w:rPr>
            </w:pPr>
          </w:p>
        </w:tc>
        <w:tc>
          <w:tcPr>
            <w:tcW w:w="920" w:type="dxa"/>
            <w:vAlign w:val="bottom"/>
            <w:tcBorders>
              <w:right w:val="single" w:sz="8" w:color="auto"/>
            </w:tcBorders>
            <w:vMerge w:val="continue"/>
          </w:tcPr>
          <w:p>
            <w:pPr>
              <w:spacing w:after="0"/>
              <w:rPr>
                <w:sz w:val="8"/>
                <w:szCs w:val="8"/>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par value</w:t>
            </w:r>
          </w:p>
        </w:tc>
        <w:tc>
          <w:tcPr>
            <w:tcW w:w="880" w:type="dxa"/>
            <w:vAlign w:val="bottom"/>
            <w:tcBorders>
              <w:right w:val="single" w:sz="8" w:color="auto"/>
            </w:tcBorders>
            <w:vMerge w:val="continue"/>
          </w:tcPr>
          <w:p>
            <w:pPr>
              <w:spacing w:after="0"/>
              <w:rPr>
                <w:sz w:val="8"/>
                <w:szCs w:val="8"/>
                <w:color w:val="auto"/>
              </w:rPr>
            </w:pPr>
          </w:p>
        </w:tc>
        <w:tc>
          <w:tcPr>
            <w:tcW w:w="1000" w:type="dxa"/>
            <w:vAlign w:val="bottom"/>
            <w:tcBorders>
              <w:right w:val="single" w:sz="8" w:color="auto"/>
            </w:tcBorders>
            <w:vMerge w:val="continue"/>
          </w:tcPr>
          <w:p>
            <w:pPr>
              <w:spacing w:after="0"/>
              <w:rPr>
                <w:sz w:val="8"/>
                <w:szCs w:val="8"/>
                <w:color w:val="auto"/>
              </w:rPr>
            </w:pPr>
          </w:p>
        </w:tc>
        <w:tc>
          <w:tcPr>
            <w:tcW w:w="740" w:type="dxa"/>
            <w:vAlign w:val="bottom"/>
            <w:tcBorders>
              <w:right w:val="single" w:sz="8" w:color="auto"/>
            </w:tcBorders>
            <w:vMerge w:val="continue"/>
          </w:tcPr>
          <w:p>
            <w:pPr>
              <w:spacing w:after="0"/>
              <w:rPr>
                <w:sz w:val="8"/>
                <w:szCs w:val="8"/>
                <w:color w:val="auto"/>
              </w:rPr>
            </w:pPr>
          </w:p>
        </w:tc>
        <w:tc>
          <w:tcPr>
            <w:tcW w:w="1000" w:type="dxa"/>
            <w:vAlign w:val="bottom"/>
            <w:tcBorders>
              <w:right w:val="single" w:sz="8" w:color="auto"/>
            </w:tcBorders>
            <w:vMerge w:val="continue"/>
          </w:tcPr>
          <w:p>
            <w:pPr>
              <w:spacing w:after="0"/>
              <w:rPr>
                <w:sz w:val="8"/>
                <w:szCs w:val="8"/>
                <w:color w:val="auto"/>
              </w:rPr>
            </w:pPr>
          </w:p>
        </w:tc>
        <w:tc>
          <w:tcPr>
            <w:tcW w:w="660" w:type="dxa"/>
            <w:vAlign w:val="bottom"/>
            <w:tcBorders>
              <w:right w:val="single" w:sz="8" w:color="auto"/>
            </w:tcBorders>
          </w:tcPr>
          <w:p>
            <w:pPr>
              <w:spacing w:after="0"/>
              <w:rPr>
                <w:sz w:val="8"/>
                <w:szCs w:val="8"/>
                <w:color w:val="auto"/>
              </w:rPr>
            </w:pPr>
          </w:p>
        </w:tc>
        <w:tc>
          <w:tcPr>
            <w:tcW w:w="840" w:type="dxa"/>
            <w:vAlign w:val="bottom"/>
            <w:tcBorders>
              <w:right w:val="single" w:sz="8" w:color="auto"/>
            </w:tcBorders>
          </w:tcPr>
          <w:p>
            <w:pPr>
              <w:spacing w:after="0"/>
              <w:rPr>
                <w:sz w:val="8"/>
                <w:szCs w:val="8"/>
                <w:color w:val="auto"/>
              </w:rPr>
            </w:pPr>
          </w:p>
        </w:tc>
        <w:tc>
          <w:tcPr>
            <w:tcW w:w="660" w:type="dxa"/>
            <w:vAlign w:val="bottom"/>
            <w:tcBorders>
              <w:right w:val="single" w:sz="8" w:color="auto"/>
            </w:tcBorders>
            <w:vMerge w:val="continue"/>
          </w:tcPr>
          <w:p>
            <w:pPr>
              <w:spacing w:after="0"/>
              <w:rPr>
                <w:sz w:val="8"/>
                <w:szCs w:val="8"/>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233444</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5, 2019</w:t>
            </w:r>
          </w:p>
        </w:tc>
        <w:tc>
          <w:tcPr>
            <w:tcW w:w="8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Securities</w:t>
            </w:r>
          </w:p>
        </w:tc>
        <w:tc>
          <w:tcPr>
            <w:tcW w:w="920" w:type="dxa"/>
            <w:vAlign w:val="bottom"/>
            <w:tcBorders>
              <w:right w:val="single" w:sz="8" w:color="auto"/>
            </w:tcBorders>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88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74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840" w:type="dxa"/>
            <w:vAlign w:val="bottom"/>
            <w:tcBorders>
              <w:right w:val="single" w:sz="8" w:color="auto"/>
            </w:tcBorders>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680" w:type="dxa"/>
            <w:vAlign w:val="bottom"/>
            <w:tcBorders>
              <w:right w:val="single" w:sz="8" w:color="auto"/>
            </w:tcBorders>
            <w:vMerge w:val="continue"/>
          </w:tcPr>
          <w:p>
            <w:pPr>
              <w:spacing w:after="0"/>
              <w:rPr>
                <w:sz w:val="7"/>
                <w:szCs w:val="7"/>
                <w:color w:val="auto"/>
              </w:rPr>
            </w:pPr>
          </w:p>
        </w:tc>
        <w:tc>
          <w:tcPr>
            <w:tcW w:w="680" w:type="dxa"/>
            <w:vAlign w:val="bottom"/>
            <w:tcBorders>
              <w:right w:val="single" w:sz="8" w:color="auto"/>
            </w:tcBorders>
            <w:vMerge w:val="continue"/>
          </w:tcPr>
          <w:p>
            <w:pPr>
              <w:spacing w:after="0"/>
              <w:rPr>
                <w:sz w:val="7"/>
                <w:szCs w:val="7"/>
                <w:color w:val="auto"/>
              </w:rPr>
            </w:pPr>
          </w:p>
        </w:tc>
        <w:tc>
          <w:tcPr>
            <w:tcW w:w="8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940" w:type="dxa"/>
            <w:vAlign w:val="bottom"/>
            <w:tcBorders>
              <w:left w:val="single" w:sz="8" w:color="auto"/>
              <w:right w:val="single" w:sz="8" w:color="auto"/>
            </w:tcBorders>
            <w:vMerge w:val="continue"/>
          </w:tcPr>
          <w:p>
            <w:pPr>
              <w:spacing w:after="0"/>
              <w:rPr>
                <w:sz w:val="8"/>
                <w:szCs w:val="8"/>
                <w:color w:val="auto"/>
              </w:rPr>
            </w:pPr>
          </w:p>
        </w:tc>
        <w:tc>
          <w:tcPr>
            <w:tcW w:w="920" w:type="dxa"/>
            <w:vAlign w:val="bottom"/>
            <w:tcBorders>
              <w:right w:val="single" w:sz="8" w:color="auto"/>
            </w:tcBorders>
          </w:tcPr>
          <w:p>
            <w:pPr>
              <w:spacing w:after="0"/>
              <w:rPr>
                <w:sz w:val="8"/>
                <w:szCs w:val="8"/>
                <w:color w:val="auto"/>
              </w:rPr>
            </w:pPr>
          </w:p>
        </w:tc>
        <w:tc>
          <w:tcPr>
            <w:tcW w:w="1320" w:type="dxa"/>
            <w:vAlign w:val="bottom"/>
            <w:tcBorders>
              <w:right w:val="single" w:sz="8" w:color="auto"/>
            </w:tcBorders>
          </w:tcPr>
          <w:p>
            <w:pPr>
              <w:spacing w:after="0"/>
              <w:rPr>
                <w:sz w:val="8"/>
                <w:szCs w:val="8"/>
                <w:color w:val="auto"/>
              </w:rPr>
            </w:pPr>
          </w:p>
        </w:tc>
        <w:tc>
          <w:tcPr>
            <w:tcW w:w="8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660" w:type="dxa"/>
            <w:vAlign w:val="bottom"/>
            <w:tcBorders>
              <w:right w:val="single" w:sz="8" w:color="auto"/>
            </w:tcBorders>
          </w:tcPr>
          <w:p>
            <w:pPr>
              <w:spacing w:after="0"/>
              <w:rPr>
                <w:sz w:val="8"/>
                <w:szCs w:val="8"/>
                <w:color w:val="auto"/>
              </w:rPr>
            </w:pPr>
          </w:p>
        </w:tc>
        <w:tc>
          <w:tcPr>
            <w:tcW w:w="840" w:type="dxa"/>
            <w:vAlign w:val="bottom"/>
            <w:tcBorders>
              <w:right w:val="single" w:sz="8" w:color="auto"/>
            </w:tcBorders>
          </w:tcPr>
          <w:p>
            <w:pPr>
              <w:spacing w:after="0"/>
              <w:rPr>
                <w:sz w:val="8"/>
                <w:szCs w:val="8"/>
                <w:color w:val="auto"/>
              </w:rPr>
            </w:pPr>
          </w:p>
        </w:tc>
        <w:tc>
          <w:tcPr>
            <w:tcW w:w="660" w:type="dxa"/>
            <w:vAlign w:val="bottom"/>
            <w:tcBorders>
              <w:right w:val="single" w:sz="8" w:color="auto"/>
            </w:tcBorders>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8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
        </w:trPr>
        <w:tc>
          <w:tcPr>
            <w:tcW w:w="94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940" w:type="dxa"/>
            <w:vAlign w:val="bottom"/>
            <w:tcBorders>
              <w:left w:val="single" w:sz="8" w:color="auto"/>
              <w:right w:val="single" w:sz="8" w:color="auto"/>
            </w:tcBorders>
          </w:tcPr>
          <w:p>
            <w:pPr>
              <w:jc w:val="center"/>
              <w:spacing w:after="0" w:line="157" w:lineRule="exact"/>
              <w:rPr>
                <w:sz w:val="20"/>
                <w:szCs w:val="20"/>
                <w:color w:val="auto"/>
              </w:rPr>
            </w:pPr>
            <w:r>
              <w:rPr>
                <w:rFonts w:ascii="Times New Roman" w:cs="Times New Roman" w:eastAsia="Times New Roman" w:hAnsi="Times New Roman"/>
                <w:sz w:val="14"/>
                <w:szCs w:val="14"/>
                <w:color w:val="auto"/>
              </w:rPr>
              <w:t>Carry</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5"/>
              </w:rPr>
              <w:t>Debt</w:t>
            </w: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Debt Securities</w:t>
            </w: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415(a)(6)</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(5)</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(6)</w:t>
            </w:r>
          </w:p>
        </w:tc>
        <w:tc>
          <w:tcPr>
            <w:tcW w:w="660" w:type="dxa"/>
            <w:vAlign w:val="bottom"/>
            <w:tcBorders>
              <w:right w:val="single" w:sz="8" w:color="auto"/>
            </w:tcBorders>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S-3</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333-</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September</w:t>
            </w:r>
          </w:p>
        </w:tc>
        <w:tc>
          <w:tcPr>
            <w:tcW w:w="8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940" w:type="dxa"/>
            <w:vAlign w:val="bottom"/>
            <w:tcBorders>
              <w:left w:val="single" w:sz="8" w:color="auto"/>
              <w:right w:val="single" w:sz="8" w:color="auto"/>
            </w:tcBorders>
            <w:vMerge w:val="restart"/>
          </w:tcPr>
          <w:p>
            <w:pPr>
              <w:jc w:val="center"/>
              <w:spacing w:after="0" w:line="159" w:lineRule="exact"/>
              <w:rPr>
                <w:sz w:val="20"/>
                <w:szCs w:val="20"/>
                <w:color w:val="auto"/>
              </w:rPr>
            </w:pPr>
            <w:r>
              <w:rPr>
                <w:rFonts w:ascii="Times New Roman" w:cs="Times New Roman" w:eastAsia="Times New Roman" w:hAnsi="Times New Roman"/>
                <w:sz w:val="14"/>
                <w:szCs w:val="14"/>
                <w:color w:val="auto"/>
              </w:rPr>
              <w:t>Forward</w:t>
            </w:r>
          </w:p>
        </w:tc>
        <w:tc>
          <w:tcPr>
            <w:tcW w:w="920" w:type="dxa"/>
            <w:vAlign w:val="bottom"/>
            <w:tcBorders>
              <w:right w:val="single" w:sz="8" w:color="auto"/>
            </w:tcBorders>
            <w:vMerge w:val="continue"/>
          </w:tcPr>
          <w:p>
            <w:pPr>
              <w:spacing w:after="0"/>
              <w:rPr>
                <w:sz w:val="5"/>
                <w:szCs w:val="5"/>
                <w:color w:val="auto"/>
              </w:rPr>
            </w:pPr>
          </w:p>
        </w:tc>
        <w:tc>
          <w:tcPr>
            <w:tcW w:w="1320" w:type="dxa"/>
            <w:vAlign w:val="bottom"/>
            <w:tcBorders>
              <w:right w:val="single" w:sz="8" w:color="auto"/>
            </w:tcBorders>
            <w:vMerge w:val="continue"/>
          </w:tcPr>
          <w:p>
            <w:pPr>
              <w:spacing w:after="0"/>
              <w:rPr>
                <w:sz w:val="5"/>
                <w:szCs w:val="5"/>
                <w:color w:val="auto"/>
              </w:rPr>
            </w:pPr>
          </w:p>
        </w:tc>
        <w:tc>
          <w:tcPr>
            <w:tcW w:w="880" w:type="dxa"/>
            <w:vAlign w:val="bottom"/>
            <w:tcBorders>
              <w:right w:val="single" w:sz="8" w:color="auto"/>
            </w:tcBorders>
            <w:vMerge w:val="continue"/>
          </w:tcPr>
          <w:p>
            <w:pPr>
              <w:spacing w:after="0"/>
              <w:rPr>
                <w:sz w:val="5"/>
                <w:szCs w:val="5"/>
                <w:color w:val="auto"/>
              </w:rPr>
            </w:pPr>
          </w:p>
        </w:tc>
        <w:tc>
          <w:tcPr>
            <w:tcW w:w="1000" w:type="dxa"/>
            <w:vAlign w:val="bottom"/>
            <w:tcBorders>
              <w:right w:val="single" w:sz="8" w:color="auto"/>
            </w:tcBorders>
            <w:vMerge w:val="continue"/>
          </w:tcPr>
          <w:p>
            <w:pPr>
              <w:spacing w:after="0"/>
              <w:rPr>
                <w:sz w:val="5"/>
                <w:szCs w:val="5"/>
                <w:color w:val="auto"/>
              </w:rPr>
            </w:pPr>
          </w:p>
        </w:tc>
        <w:tc>
          <w:tcPr>
            <w:tcW w:w="740" w:type="dxa"/>
            <w:vAlign w:val="bottom"/>
            <w:tcBorders>
              <w:right w:val="single" w:sz="8" w:color="auto"/>
            </w:tcBorders>
            <w:vMerge w:val="continue"/>
          </w:tcPr>
          <w:p>
            <w:pPr>
              <w:spacing w:after="0"/>
              <w:rPr>
                <w:sz w:val="5"/>
                <w:szCs w:val="5"/>
                <w:color w:val="auto"/>
              </w:rPr>
            </w:pPr>
          </w:p>
        </w:tc>
        <w:tc>
          <w:tcPr>
            <w:tcW w:w="1000" w:type="dxa"/>
            <w:vAlign w:val="bottom"/>
            <w:tcBorders>
              <w:right w:val="single" w:sz="8" w:color="auto"/>
            </w:tcBorders>
            <w:vMerge w:val="continue"/>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660" w:type="dxa"/>
            <w:vAlign w:val="bottom"/>
            <w:tcBorders>
              <w:right w:val="single" w:sz="8" w:color="auto"/>
            </w:tcBorders>
            <w:vMerge w:val="continue"/>
          </w:tcPr>
          <w:p>
            <w:pPr>
              <w:spacing w:after="0"/>
              <w:rPr>
                <w:sz w:val="5"/>
                <w:szCs w:val="5"/>
                <w:color w:val="auto"/>
              </w:rPr>
            </w:pPr>
          </w:p>
        </w:tc>
        <w:tc>
          <w:tcPr>
            <w:tcW w:w="680" w:type="dxa"/>
            <w:vAlign w:val="bottom"/>
            <w:tcBorders>
              <w:right w:val="single" w:sz="8" w:color="auto"/>
            </w:tcBorders>
            <w:vMerge w:val="continue"/>
          </w:tcPr>
          <w:p>
            <w:pPr>
              <w:spacing w:after="0"/>
              <w:rPr>
                <w:sz w:val="5"/>
                <w:szCs w:val="5"/>
                <w:color w:val="auto"/>
              </w:rPr>
            </w:pPr>
          </w:p>
        </w:tc>
        <w:tc>
          <w:tcPr>
            <w:tcW w:w="680" w:type="dxa"/>
            <w:vAlign w:val="bottom"/>
            <w:tcBorders>
              <w:right w:val="single" w:sz="8" w:color="auto"/>
            </w:tcBorders>
            <w:vMerge w:val="continue"/>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940" w:type="dxa"/>
            <w:vAlign w:val="bottom"/>
            <w:tcBorders>
              <w:left w:val="single" w:sz="8" w:color="auto"/>
              <w:right w:val="single" w:sz="8" w:color="auto"/>
            </w:tcBorders>
            <w:vMerge w:val="continue"/>
          </w:tcPr>
          <w:p>
            <w:pPr>
              <w:spacing w:after="0"/>
              <w:rPr>
                <w:sz w:val="8"/>
                <w:szCs w:val="8"/>
                <w:color w:val="auto"/>
              </w:rPr>
            </w:pPr>
          </w:p>
        </w:tc>
        <w:tc>
          <w:tcPr>
            <w:tcW w:w="920" w:type="dxa"/>
            <w:vAlign w:val="bottom"/>
            <w:tcBorders>
              <w:right w:val="single" w:sz="8" w:color="auto"/>
            </w:tcBorders>
            <w:vMerge w:val="continue"/>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880" w:type="dxa"/>
            <w:vAlign w:val="bottom"/>
            <w:tcBorders>
              <w:right w:val="single" w:sz="8" w:color="auto"/>
            </w:tcBorders>
            <w:vMerge w:val="continue"/>
          </w:tcPr>
          <w:p>
            <w:pPr>
              <w:spacing w:after="0"/>
              <w:rPr>
                <w:sz w:val="8"/>
                <w:szCs w:val="8"/>
                <w:color w:val="auto"/>
              </w:rPr>
            </w:pPr>
          </w:p>
        </w:tc>
        <w:tc>
          <w:tcPr>
            <w:tcW w:w="1000" w:type="dxa"/>
            <w:vAlign w:val="bottom"/>
            <w:tcBorders>
              <w:right w:val="single" w:sz="8" w:color="auto"/>
            </w:tcBorders>
            <w:vMerge w:val="continue"/>
          </w:tcPr>
          <w:p>
            <w:pPr>
              <w:spacing w:after="0"/>
              <w:rPr>
                <w:sz w:val="8"/>
                <w:szCs w:val="8"/>
                <w:color w:val="auto"/>
              </w:rPr>
            </w:pPr>
          </w:p>
        </w:tc>
        <w:tc>
          <w:tcPr>
            <w:tcW w:w="740" w:type="dxa"/>
            <w:vAlign w:val="bottom"/>
            <w:tcBorders>
              <w:right w:val="single" w:sz="8" w:color="auto"/>
            </w:tcBorders>
            <w:vMerge w:val="continue"/>
          </w:tcPr>
          <w:p>
            <w:pPr>
              <w:spacing w:after="0"/>
              <w:rPr>
                <w:sz w:val="8"/>
                <w:szCs w:val="8"/>
                <w:color w:val="auto"/>
              </w:rPr>
            </w:pPr>
          </w:p>
        </w:tc>
        <w:tc>
          <w:tcPr>
            <w:tcW w:w="1000" w:type="dxa"/>
            <w:vAlign w:val="bottom"/>
            <w:tcBorders>
              <w:right w:val="single" w:sz="8" w:color="auto"/>
            </w:tcBorders>
            <w:vMerge w:val="continue"/>
          </w:tcPr>
          <w:p>
            <w:pPr>
              <w:spacing w:after="0"/>
              <w:rPr>
                <w:sz w:val="8"/>
                <w:szCs w:val="8"/>
                <w:color w:val="auto"/>
              </w:rPr>
            </w:pPr>
          </w:p>
        </w:tc>
        <w:tc>
          <w:tcPr>
            <w:tcW w:w="660" w:type="dxa"/>
            <w:vAlign w:val="bottom"/>
            <w:tcBorders>
              <w:right w:val="single" w:sz="8" w:color="auto"/>
            </w:tcBorders>
          </w:tcPr>
          <w:p>
            <w:pPr>
              <w:spacing w:after="0"/>
              <w:rPr>
                <w:sz w:val="8"/>
                <w:szCs w:val="8"/>
                <w:color w:val="auto"/>
              </w:rPr>
            </w:pPr>
          </w:p>
        </w:tc>
        <w:tc>
          <w:tcPr>
            <w:tcW w:w="840" w:type="dxa"/>
            <w:vAlign w:val="bottom"/>
            <w:tcBorders>
              <w:right w:val="single" w:sz="8" w:color="auto"/>
            </w:tcBorders>
          </w:tcPr>
          <w:p>
            <w:pPr>
              <w:spacing w:after="0"/>
              <w:rPr>
                <w:sz w:val="8"/>
                <w:szCs w:val="8"/>
                <w:color w:val="auto"/>
              </w:rPr>
            </w:pPr>
          </w:p>
        </w:tc>
        <w:tc>
          <w:tcPr>
            <w:tcW w:w="660" w:type="dxa"/>
            <w:vAlign w:val="bottom"/>
            <w:tcBorders>
              <w:right w:val="single" w:sz="8" w:color="auto"/>
            </w:tcBorders>
            <w:vMerge w:val="continue"/>
          </w:tcPr>
          <w:p>
            <w:pPr>
              <w:spacing w:after="0"/>
              <w:rPr>
                <w:sz w:val="8"/>
                <w:szCs w:val="8"/>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233444</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5, 2019</w:t>
            </w:r>
          </w:p>
        </w:tc>
        <w:tc>
          <w:tcPr>
            <w:tcW w:w="8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Securities</w:t>
            </w:r>
          </w:p>
        </w:tc>
        <w:tc>
          <w:tcPr>
            <w:tcW w:w="920" w:type="dxa"/>
            <w:vAlign w:val="bottom"/>
            <w:tcBorders>
              <w:right w:val="single" w:sz="8" w:color="auto"/>
            </w:tcBorders>
          </w:tcPr>
          <w:p>
            <w:pPr>
              <w:spacing w:after="0"/>
              <w:rPr>
                <w:sz w:val="7"/>
                <w:szCs w:val="7"/>
                <w:color w:val="auto"/>
              </w:rPr>
            </w:pPr>
          </w:p>
        </w:tc>
        <w:tc>
          <w:tcPr>
            <w:tcW w:w="1320" w:type="dxa"/>
            <w:vAlign w:val="bottom"/>
            <w:tcBorders>
              <w:right w:val="single" w:sz="8" w:color="auto"/>
            </w:tcBorders>
          </w:tcPr>
          <w:p>
            <w:pPr>
              <w:spacing w:after="0"/>
              <w:rPr>
                <w:sz w:val="7"/>
                <w:szCs w:val="7"/>
                <w:color w:val="auto"/>
              </w:rPr>
            </w:pPr>
          </w:p>
        </w:tc>
        <w:tc>
          <w:tcPr>
            <w:tcW w:w="88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74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840" w:type="dxa"/>
            <w:vAlign w:val="bottom"/>
            <w:tcBorders>
              <w:right w:val="single" w:sz="8" w:color="auto"/>
            </w:tcBorders>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680" w:type="dxa"/>
            <w:vAlign w:val="bottom"/>
            <w:tcBorders>
              <w:right w:val="single" w:sz="8" w:color="auto"/>
            </w:tcBorders>
            <w:vMerge w:val="continue"/>
          </w:tcPr>
          <w:p>
            <w:pPr>
              <w:spacing w:after="0"/>
              <w:rPr>
                <w:sz w:val="7"/>
                <w:szCs w:val="7"/>
                <w:color w:val="auto"/>
              </w:rPr>
            </w:pPr>
          </w:p>
        </w:tc>
        <w:tc>
          <w:tcPr>
            <w:tcW w:w="680" w:type="dxa"/>
            <w:vAlign w:val="bottom"/>
            <w:tcBorders>
              <w:right w:val="single" w:sz="8" w:color="auto"/>
            </w:tcBorders>
            <w:vMerge w:val="continue"/>
          </w:tcPr>
          <w:p>
            <w:pPr>
              <w:spacing w:after="0"/>
              <w:rPr>
                <w:sz w:val="7"/>
                <w:szCs w:val="7"/>
                <w:color w:val="auto"/>
              </w:rPr>
            </w:pPr>
          </w:p>
        </w:tc>
        <w:tc>
          <w:tcPr>
            <w:tcW w:w="8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940" w:type="dxa"/>
            <w:vAlign w:val="bottom"/>
            <w:tcBorders>
              <w:left w:val="single" w:sz="8" w:color="auto"/>
              <w:right w:val="single" w:sz="8" w:color="auto"/>
            </w:tcBorders>
            <w:vMerge w:val="continue"/>
          </w:tcPr>
          <w:p>
            <w:pPr>
              <w:spacing w:after="0"/>
              <w:rPr>
                <w:sz w:val="8"/>
                <w:szCs w:val="8"/>
                <w:color w:val="auto"/>
              </w:rPr>
            </w:pPr>
          </w:p>
        </w:tc>
        <w:tc>
          <w:tcPr>
            <w:tcW w:w="920" w:type="dxa"/>
            <w:vAlign w:val="bottom"/>
            <w:tcBorders>
              <w:right w:val="single" w:sz="8" w:color="auto"/>
            </w:tcBorders>
          </w:tcPr>
          <w:p>
            <w:pPr>
              <w:spacing w:after="0"/>
              <w:rPr>
                <w:sz w:val="8"/>
                <w:szCs w:val="8"/>
                <w:color w:val="auto"/>
              </w:rPr>
            </w:pPr>
          </w:p>
        </w:tc>
        <w:tc>
          <w:tcPr>
            <w:tcW w:w="1320" w:type="dxa"/>
            <w:vAlign w:val="bottom"/>
            <w:tcBorders>
              <w:right w:val="single" w:sz="8" w:color="auto"/>
            </w:tcBorders>
          </w:tcPr>
          <w:p>
            <w:pPr>
              <w:spacing w:after="0"/>
              <w:rPr>
                <w:sz w:val="8"/>
                <w:szCs w:val="8"/>
                <w:color w:val="auto"/>
              </w:rPr>
            </w:pPr>
          </w:p>
        </w:tc>
        <w:tc>
          <w:tcPr>
            <w:tcW w:w="8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660" w:type="dxa"/>
            <w:vAlign w:val="bottom"/>
            <w:tcBorders>
              <w:right w:val="single" w:sz="8" w:color="auto"/>
            </w:tcBorders>
          </w:tcPr>
          <w:p>
            <w:pPr>
              <w:spacing w:after="0"/>
              <w:rPr>
                <w:sz w:val="8"/>
                <w:szCs w:val="8"/>
                <w:color w:val="auto"/>
              </w:rPr>
            </w:pPr>
          </w:p>
        </w:tc>
        <w:tc>
          <w:tcPr>
            <w:tcW w:w="840" w:type="dxa"/>
            <w:vAlign w:val="bottom"/>
            <w:tcBorders>
              <w:right w:val="single" w:sz="8" w:color="auto"/>
            </w:tcBorders>
          </w:tcPr>
          <w:p>
            <w:pPr>
              <w:spacing w:after="0"/>
              <w:rPr>
                <w:sz w:val="8"/>
                <w:szCs w:val="8"/>
                <w:color w:val="auto"/>
              </w:rPr>
            </w:pPr>
          </w:p>
        </w:tc>
        <w:tc>
          <w:tcPr>
            <w:tcW w:w="660" w:type="dxa"/>
            <w:vAlign w:val="bottom"/>
            <w:tcBorders>
              <w:right w:val="single" w:sz="8" w:color="auto"/>
            </w:tcBorders>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8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
        </w:trPr>
        <w:tc>
          <w:tcPr>
            <w:tcW w:w="94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940" w:type="dxa"/>
            <w:vAlign w:val="bottom"/>
            <w:tcBorders>
              <w:left w:val="single" w:sz="8" w:color="auto"/>
              <w:right w:val="single" w:sz="8" w:color="auto"/>
            </w:tcBorders>
          </w:tcPr>
          <w:p>
            <w:pPr>
              <w:jc w:val="center"/>
              <w:spacing w:after="0" w:line="157" w:lineRule="exact"/>
              <w:rPr>
                <w:sz w:val="20"/>
                <w:szCs w:val="20"/>
                <w:color w:val="auto"/>
              </w:rPr>
            </w:pPr>
            <w:r>
              <w:rPr>
                <w:rFonts w:ascii="Times New Roman" w:cs="Times New Roman" w:eastAsia="Times New Roman" w:hAnsi="Times New Roman"/>
                <w:sz w:val="14"/>
                <w:szCs w:val="14"/>
                <w:color w:val="auto"/>
              </w:rPr>
              <w:t>Carry</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Other</w:t>
            </w: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Warrants</w:t>
            </w: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415(a)(6)</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(5)</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(6)</w:t>
            </w:r>
          </w:p>
        </w:tc>
        <w:tc>
          <w:tcPr>
            <w:tcW w:w="660" w:type="dxa"/>
            <w:vAlign w:val="bottom"/>
            <w:tcBorders>
              <w:right w:val="single" w:sz="8" w:color="auto"/>
            </w:tcBorders>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S-3</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333-</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September</w:t>
            </w:r>
          </w:p>
        </w:tc>
        <w:tc>
          <w:tcPr>
            <w:tcW w:w="8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940" w:type="dxa"/>
            <w:vAlign w:val="bottom"/>
            <w:tcBorders>
              <w:left w:val="single" w:sz="8" w:color="auto"/>
              <w:right w:val="single" w:sz="8" w:color="auto"/>
            </w:tcBorders>
            <w:vMerge w:val="restart"/>
          </w:tcPr>
          <w:p>
            <w:pPr>
              <w:jc w:val="center"/>
              <w:spacing w:after="0" w:line="159" w:lineRule="exact"/>
              <w:rPr>
                <w:sz w:val="20"/>
                <w:szCs w:val="20"/>
                <w:color w:val="auto"/>
              </w:rPr>
            </w:pPr>
            <w:r>
              <w:rPr>
                <w:rFonts w:ascii="Times New Roman" w:cs="Times New Roman" w:eastAsia="Times New Roman" w:hAnsi="Times New Roman"/>
                <w:sz w:val="14"/>
                <w:szCs w:val="14"/>
                <w:color w:val="auto"/>
              </w:rPr>
              <w:t>Forward</w:t>
            </w:r>
          </w:p>
        </w:tc>
        <w:tc>
          <w:tcPr>
            <w:tcW w:w="920" w:type="dxa"/>
            <w:vAlign w:val="bottom"/>
            <w:tcBorders>
              <w:right w:val="single" w:sz="8" w:color="auto"/>
            </w:tcBorders>
            <w:vMerge w:val="continue"/>
          </w:tcPr>
          <w:p>
            <w:pPr>
              <w:spacing w:after="0"/>
              <w:rPr>
                <w:sz w:val="5"/>
                <w:szCs w:val="5"/>
                <w:color w:val="auto"/>
              </w:rPr>
            </w:pPr>
          </w:p>
        </w:tc>
        <w:tc>
          <w:tcPr>
            <w:tcW w:w="1320" w:type="dxa"/>
            <w:vAlign w:val="bottom"/>
            <w:tcBorders>
              <w:right w:val="single" w:sz="8" w:color="auto"/>
            </w:tcBorders>
            <w:vMerge w:val="continue"/>
          </w:tcPr>
          <w:p>
            <w:pPr>
              <w:spacing w:after="0"/>
              <w:rPr>
                <w:sz w:val="5"/>
                <w:szCs w:val="5"/>
                <w:color w:val="auto"/>
              </w:rPr>
            </w:pPr>
          </w:p>
        </w:tc>
        <w:tc>
          <w:tcPr>
            <w:tcW w:w="880" w:type="dxa"/>
            <w:vAlign w:val="bottom"/>
            <w:tcBorders>
              <w:right w:val="single" w:sz="8" w:color="auto"/>
            </w:tcBorders>
            <w:vMerge w:val="continue"/>
          </w:tcPr>
          <w:p>
            <w:pPr>
              <w:spacing w:after="0"/>
              <w:rPr>
                <w:sz w:val="5"/>
                <w:szCs w:val="5"/>
                <w:color w:val="auto"/>
              </w:rPr>
            </w:pPr>
          </w:p>
        </w:tc>
        <w:tc>
          <w:tcPr>
            <w:tcW w:w="1000" w:type="dxa"/>
            <w:vAlign w:val="bottom"/>
            <w:tcBorders>
              <w:right w:val="single" w:sz="8" w:color="auto"/>
            </w:tcBorders>
            <w:vMerge w:val="continue"/>
          </w:tcPr>
          <w:p>
            <w:pPr>
              <w:spacing w:after="0"/>
              <w:rPr>
                <w:sz w:val="5"/>
                <w:szCs w:val="5"/>
                <w:color w:val="auto"/>
              </w:rPr>
            </w:pPr>
          </w:p>
        </w:tc>
        <w:tc>
          <w:tcPr>
            <w:tcW w:w="740" w:type="dxa"/>
            <w:vAlign w:val="bottom"/>
            <w:tcBorders>
              <w:right w:val="single" w:sz="8" w:color="auto"/>
            </w:tcBorders>
            <w:vMerge w:val="continue"/>
          </w:tcPr>
          <w:p>
            <w:pPr>
              <w:spacing w:after="0"/>
              <w:rPr>
                <w:sz w:val="5"/>
                <w:szCs w:val="5"/>
                <w:color w:val="auto"/>
              </w:rPr>
            </w:pPr>
          </w:p>
        </w:tc>
        <w:tc>
          <w:tcPr>
            <w:tcW w:w="1000" w:type="dxa"/>
            <w:vAlign w:val="bottom"/>
            <w:tcBorders>
              <w:right w:val="single" w:sz="8" w:color="auto"/>
            </w:tcBorders>
            <w:vMerge w:val="continue"/>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660" w:type="dxa"/>
            <w:vAlign w:val="bottom"/>
            <w:tcBorders>
              <w:right w:val="single" w:sz="8" w:color="auto"/>
            </w:tcBorders>
            <w:vMerge w:val="continue"/>
          </w:tcPr>
          <w:p>
            <w:pPr>
              <w:spacing w:after="0"/>
              <w:rPr>
                <w:sz w:val="5"/>
                <w:szCs w:val="5"/>
                <w:color w:val="auto"/>
              </w:rPr>
            </w:pPr>
          </w:p>
        </w:tc>
        <w:tc>
          <w:tcPr>
            <w:tcW w:w="680" w:type="dxa"/>
            <w:vAlign w:val="bottom"/>
            <w:tcBorders>
              <w:right w:val="single" w:sz="8" w:color="auto"/>
            </w:tcBorders>
            <w:vMerge w:val="continue"/>
          </w:tcPr>
          <w:p>
            <w:pPr>
              <w:spacing w:after="0"/>
              <w:rPr>
                <w:sz w:val="5"/>
                <w:szCs w:val="5"/>
                <w:color w:val="auto"/>
              </w:rPr>
            </w:pPr>
          </w:p>
        </w:tc>
        <w:tc>
          <w:tcPr>
            <w:tcW w:w="680" w:type="dxa"/>
            <w:vAlign w:val="bottom"/>
            <w:tcBorders>
              <w:right w:val="single" w:sz="8" w:color="auto"/>
            </w:tcBorders>
            <w:vMerge w:val="continue"/>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940" w:type="dxa"/>
            <w:vAlign w:val="bottom"/>
            <w:tcBorders>
              <w:left w:val="single" w:sz="8" w:color="auto"/>
              <w:right w:val="single" w:sz="8" w:color="auto"/>
            </w:tcBorders>
            <w:vMerge w:val="continue"/>
          </w:tcPr>
          <w:p>
            <w:pPr>
              <w:spacing w:after="0"/>
              <w:rPr>
                <w:sz w:val="8"/>
                <w:szCs w:val="8"/>
                <w:color w:val="auto"/>
              </w:rPr>
            </w:pPr>
          </w:p>
        </w:tc>
        <w:tc>
          <w:tcPr>
            <w:tcW w:w="920" w:type="dxa"/>
            <w:vAlign w:val="bottom"/>
            <w:tcBorders>
              <w:right w:val="single" w:sz="8" w:color="auto"/>
            </w:tcBorders>
            <w:vMerge w:val="continue"/>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880" w:type="dxa"/>
            <w:vAlign w:val="bottom"/>
            <w:tcBorders>
              <w:right w:val="single" w:sz="8" w:color="auto"/>
            </w:tcBorders>
            <w:vMerge w:val="continue"/>
          </w:tcPr>
          <w:p>
            <w:pPr>
              <w:spacing w:after="0"/>
              <w:rPr>
                <w:sz w:val="8"/>
                <w:szCs w:val="8"/>
                <w:color w:val="auto"/>
              </w:rPr>
            </w:pPr>
          </w:p>
        </w:tc>
        <w:tc>
          <w:tcPr>
            <w:tcW w:w="1000" w:type="dxa"/>
            <w:vAlign w:val="bottom"/>
            <w:tcBorders>
              <w:right w:val="single" w:sz="8" w:color="auto"/>
            </w:tcBorders>
            <w:vMerge w:val="continue"/>
          </w:tcPr>
          <w:p>
            <w:pPr>
              <w:spacing w:after="0"/>
              <w:rPr>
                <w:sz w:val="8"/>
                <w:szCs w:val="8"/>
                <w:color w:val="auto"/>
              </w:rPr>
            </w:pPr>
          </w:p>
        </w:tc>
        <w:tc>
          <w:tcPr>
            <w:tcW w:w="740" w:type="dxa"/>
            <w:vAlign w:val="bottom"/>
            <w:tcBorders>
              <w:right w:val="single" w:sz="8" w:color="auto"/>
            </w:tcBorders>
            <w:vMerge w:val="continue"/>
          </w:tcPr>
          <w:p>
            <w:pPr>
              <w:spacing w:after="0"/>
              <w:rPr>
                <w:sz w:val="8"/>
                <w:szCs w:val="8"/>
                <w:color w:val="auto"/>
              </w:rPr>
            </w:pPr>
          </w:p>
        </w:tc>
        <w:tc>
          <w:tcPr>
            <w:tcW w:w="1000" w:type="dxa"/>
            <w:vAlign w:val="bottom"/>
            <w:tcBorders>
              <w:right w:val="single" w:sz="8" w:color="auto"/>
            </w:tcBorders>
            <w:vMerge w:val="continue"/>
          </w:tcPr>
          <w:p>
            <w:pPr>
              <w:spacing w:after="0"/>
              <w:rPr>
                <w:sz w:val="8"/>
                <w:szCs w:val="8"/>
                <w:color w:val="auto"/>
              </w:rPr>
            </w:pPr>
          </w:p>
        </w:tc>
        <w:tc>
          <w:tcPr>
            <w:tcW w:w="660" w:type="dxa"/>
            <w:vAlign w:val="bottom"/>
            <w:tcBorders>
              <w:right w:val="single" w:sz="8" w:color="auto"/>
            </w:tcBorders>
          </w:tcPr>
          <w:p>
            <w:pPr>
              <w:spacing w:after="0"/>
              <w:rPr>
                <w:sz w:val="8"/>
                <w:szCs w:val="8"/>
                <w:color w:val="auto"/>
              </w:rPr>
            </w:pPr>
          </w:p>
        </w:tc>
        <w:tc>
          <w:tcPr>
            <w:tcW w:w="840" w:type="dxa"/>
            <w:vAlign w:val="bottom"/>
            <w:tcBorders>
              <w:right w:val="single" w:sz="8" w:color="auto"/>
            </w:tcBorders>
          </w:tcPr>
          <w:p>
            <w:pPr>
              <w:spacing w:after="0"/>
              <w:rPr>
                <w:sz w:val="8"/>
                <w:szCs w:val="8"/>
                <w:color w:val="auto"/>
              </w:rPr>
            </w:pPr>
          </w:p>
        </w:tc>
        <w:tc>
          <w:tcPr>
            <w:tcW w:w="660" w:type="dxa"/>
            <w:vAlign w:val="bottom"/>
            <w:tcBorders>
              <w:right w:val="single" w:sz="8" w:color="auto"/>
            </w:tcBorders>
            <w:vMerge w:val="continue"/>
          </w:tcPr>
          <w:p>
            <w:pPr>
              <w:spacing w:after="0"/>
              <w:rPr>
                <w:sz w:val="8"/>
                <w:szCs w:val="8"/>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233444</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5, 2019</w:t>
            </w:r>
          </w:p>
        </w:tc>
        <w:tc>
          <w:tcPr>
            <w:tcW w:w="8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Securities</w:t>
            </w:r>
          </w:p>
        </w:tc>
        <w:tc>
          <w:tcPr>
            <w:tcW w:w="920" w:type="dxa"/>
            <w:vAlign w:val="bottom"/>
            <w:tcBorders>
              <w:right w:val="single" w:sz="8" w:color="auto"/>
            </w:tcBorders>
          </w:tcPr>
          <w:p>
            <w:pPr>
              <w:spacing w:after="0"/>
              <w:rPr>
                <w:sz w:val="7"/>
                <w:szCs w:val="7"/>
                <w:color w:val="auto"/>
              </w:rPr>
            </w:pPr>
          </w:p>
        </w:tc>
        <w:tc>
          <w:tcPr>
            <w:tcW w:w="1320" w:type="dxa"/>
            <w:vAlign w:val="bottom"/>
            <w:tcBorders>
              <w:right w:val="single" w:sz="8" w:color="auto"/>
            </w:tcBorders>
          </w:tcPr>
          <w:p>
            <w:pPr>
              <w:spacing w:after="0"/>
              <w:rPr>
                <w:sz w:val="7"/>
                <w:szCs w:val="7"/>
                <w:color w:val="auto"/>
              </w:rPr>
            </w:pPr>
          </w:p>
        </w:tc>
        <w:tc>
          <w:tcPr>
            <w:tcW w:w="88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74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840" w:type="dxa"/>
            <w:vAlign w:val="bottom"/>
            <w:tcBorders>
              <w:right w:val="single" w:sz="8" w:color="auto"/>
            </w:tcBorders>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680" w:type="dxa"/>
            <w:vAlign w:val="bottom"/>
            <w:tcBorders>
              <w:right w:val="single" w:sz="8" w:color="auto"/>
            </w:tcBorders>
            <w:vMerge w:val="continue"/>
          </w:tcPr>
          <w:p>
            <w:pPr>
              <w:spacing w:after="0"/>
              <w:rPr>
                <w:sz w:val="7"/>
                <w:szCs w:val="7"/>
                <w:color w:val="auto"/>
              </w:rPr>
            </w:pPr>
          </w:p>
        </w:tc>
        <w:tc>
          <w:tcPr>
            <w:tcW w:w="680" w:type="dxa"/>
            <w:vAlign w:val="bottom"/>
            <w:tcBorders>
              <w:right w:val="single" w:sz="8" w:color="auto"/>
            </w:tcBorders>
            <w:vMerge w:val="continue"/>
          </w:tcPr>
          <w:p>
            <w:pPr>
              <w:spacing w:after="0"/>
              <w:rPr>
                <w:sz w:val="7"/>
                <w:szCs w:val="7"/>
                <w:color w:val="auto"/>
              </w:rPr>
            </w:pPr>
          </w:p>
        </w:tc>
        <w:tc>
          <w:tcPr>
            <w:tcW w:w="8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940" w:type="dxa"/>
            <w:vAlign w:val="bottom"/>
            <w:tcBorders>
              <w:left w:val="single" w:sz="8" w:color="auto"/>
              <w:right w:val="single" w:sz="8" w:color="auto"/>
            </w:tcBorders>
            <w:vMerge w:val="continue"/>
          </w:tcPr>
          <w:p>
            <w:pPr>
              <w:spacing w:after="0"/>
              <w:rPr>
                <w:sz w:val="8"/>
                <w:szCs w:val="8"/>
                <w:color w:val="auto"/>
              </w:rPr>
            </w:pPr>
          </w:p>
        </w:tc>
        <w:tc>
          <w:tcPr>
            <w:tcW w:w="920" w:type="dxa"/>
            <w:vAlign w:val="bottom"/>
            <w:tcBorders>
              <w:right w:val="single" w:sz="8" w:color="auto"/>
            </w:tcBorders>
          </w:tcPr>
          <w:p>
            <w:pPr>
              <w:spacing w:after="0"/>
              <w:rPr>
                <w:sz w:val="8"/>
                <w:szCs w:val="8"/>
                <w:color w:val="auto"/>
              </w:rPr>
            </w:pPr>
          </w:p>
        </w:tc>
        <w:tc>
          <w:tcPr>
            <w:tcW w:w="1320" w:type="dxa"/>
            <w:vAlign w:val="bottom"/>
            <w:tcBorders>
              <w:right w:val="single" w:sz="8" w:color="auto"/>
            </w:tcBorders>
          </w:tcPr>
          <w:p>
            <w:pPr>
              <w:spacing w:after="0"/>
              <w:rPr>
                <w:sz w:val="8"/>
                <w:szCs w:val="8"/>
                <w:color w:val="auto"/>
              </w:rPr>
            </w:pPr>
          </w:p>
        </w:tc>
        <w:tc>
          <w:tcPr>
            <w:tcW w:w="88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660" w:type="dxa"/>
            <w:vAlign w:val="bottom"/>
            <w:tcBorders>
              <w:right w:val="single" w:sz="8" w:color="auto"/>
            </w:tcBorders>
          </w:tcPr>
          <w:p>
            <w:pPr>
              <w:spacing w:after="0"/>
              <w:rPr>
                <w:sz w:val="8"/>
                <w:szCs w:val="8"/>
                <w:color w:val="auto"/>
              </w:rPr>
            </w:pPr>
          </w:p>
        </w:tc>
        <w:tc>
          <w:tcPr>
            <w:tcW w:w="840" w:type="dxa"/>
            <w:vAlign w:val="bottom"/>
            <w:tcBorders>
              <w:right w:val="single" w:sz="8" w:color="auto"/>
            </w:tcBorders>
          </w:tcPr>
          <w:p>
            <w:pPr>
              <w:spacing w:after="0"/>
              <w:rPr>
                <w:sz w:val="8"/>
                <w:szCs w:val="8"/>
                <w:color w:val="auto"/>
              </w:rPr>
            </w:pPr>
          </w:p>
        </w:tc>
        <w:tc>
          <w:tcPr>
            <w:tcW w:w="660" w:type="dxa"/>
            <w:vAlign w:val="bottom"/>
            <w:tcBorders>
              <w:right w:val="single" w:sz="8" w:color="auto"/>
            </w:tcBorders>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8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
        </w:trPr>
        <w:tc>
          <w:tcPr>
            <w:tcW w:w="94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940" w:type="dxa"/>
            <w:vAlign w:val="bottom"/>
            <w:tcBorders>
              <w:left w:val="single" w:sz="8" w:color="auto"/>
              <w:right w:val="single" w:sz="8" w:color="auto"/>
            </w:tcBorders>
          </w:tcPr>
          <w:p>
            <w:pPr>
              <w:jc w:val="center"/>
              <w:spacing w:after="0" w:line="157" w:lineRule="exact"/>
              <w:rPr>
                <w:sz w:val="20"/>
                <w:szCs w:val="20"/>
                <w:color w:val="auto"/>
              </w:rPr>
            </w:pPr>
            <w:r>
              <w:rPr>
                <w:rFonts w:ascii="Times New Roman" w:cs="Times New Roman" w:eastAsia="Times New Roman" w:hAnsi="Times New Roman"/>
                <w:sz w:val="14"/>
                <w:szCs w:val="14"/>
                <w:color w:val="auto"/>
              </w:rPr>
              <w:t>Carry</w:t>
            </w:r>
          </w:p>
        </w:tc>
        <w:tc>
          <w:tcPr>
            <w:tcW w:w="920" w:type="dxa"/>
            <w:vAlign w:val="bottom"/>
            <w:tcBorders>
              <w:right w:val="single" w:sz="8" w:color="auto"/>
            </w:tcBorders>
          </w:tcPr>
          <w:p>
            <w:pPr>
              <w:jc w:val="center"/>
              <w:spacing w:after="0" w:line="157" w:lineRule="exact"/>
              <w:rPr>
                <w:sz w:val="20"/>
                <w:szCs w:val="20"/>
                <w:color w:val="auto"/>
              </w:rPr>
            </w:pPr>
            <w:r>
              <w:rPr>
                <w:rFonts w:ascii="Times New Roman" w:cs="Times New Roman" w:eastAsia="Times New Roman" w:hAnsi="Times New Roman"/>
                <w:sz w:val="14"/>
                <w:szCs w:val="14"/>
                <w:color w:val="auto"/>
              </w:rPr>
              <w:t>Unallocated</w:t>
            </w: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(4)</w:t>
            </w: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415(a)(6)</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$300,000,000(4)</w:t>
            </w: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(5)</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$300,000,000(6)</w:t>
            </w:r>
          </w:p>
        </w:tc>
        <w:tc>
          <w:tcPr>
            <w:tcW w:w="660" w:type="dxa"/>
            <w:vAlign w:val="bottom"/>
            <w:tcBorders>
              <w:right w:val="single" w:sz="8" w:color="auto"/>
            </w:tcBorders>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S-3</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333-</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September</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$36,360(7)</w:t>
            </w:r>
          </w:p>
        </w:tc>
        <w:tc>
          <w:tcPr>
            <w:tcW w:w="0" w:type="dxa"/>
            <w:vAlign w:val="bottom"/>
          </w:tcPr>
          <w:p>
            <w:pPr>
              <w:spacing w:after="0"/>
              <w:rPr>
                <w:sz w:val="1"/>
                <w:szCs w:val="1"/>
                <w:color w:val="auto"/>
              </w:rPr>
            </w:pPr>
          </w:p>
        </w:tc>
      </w:tr>
      <w:tr>
        <w:trPr>
          <w:trHeight w:val="142"/>
        </w:trPr>
        <w:tc>
          <w:tcPr>
            <w:tcW w:w="940" w:type="dxa"/>
            <w:vAlign w:val="bottom"/>
            <w:tcBorders>
              <w:left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Forward</w:t>
            </w:r>
          </w:p>
        </w:tc>
        <w:tc>
          <w:tcPr>
            <w:tcW w:w="92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(Universal)</w:t>
            </w:r>
          </w:p>
        </w:tc>
        <w:tc>
          <w:tcPr>
            <w:tcW w:w="1320" w:type="dxa"/>
            <w:vAlign w:val="bottom"/>
            <w:tcBorders>
              <w:right w:val="single" w:sz="8" w:color="auto"/>
            </w:tcBorders>
            <w:vMerge w:val="continue"/>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1000" w:type="dxa"/>
            <w:vAlign w:val="bottom"/>
            <w:tcBorders>
              <w:right w:val="single" w:sz="8" w:color="auto"/>
            </w:tcBorders>
            <w:vMerge w:val="continue"/>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1000" w:type="dxa"/>
            <w:vAlign w:val="bottom"/>
            <w:tcBorders>
              <w:right w:val="single" w:sz="8" w:color="auto"/>
            </w:tcBorders>
            <w:vMerge w:val="continue"/>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vMerge w:val="continue"/>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8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Securities</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Shelf</w:t>
            </w:r>
          </w:p>
        </w:tc>
        <w:tc>
          <w:tcPr>
            <w:tcW w:w="1320" w:type="dxa"/>
            <w:vAlign w:val="bottom"/>
            <w:tcBorders>
              <w:right w:val="single" w:sz="8" w:color="auto"/>
            </w:tcBorders>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233444</w:t>
            </w:r>
          </w:p>
        </w:tc>
        <w:tc>
          <w:tcPr>
            <w:tcW w:w="680" w:type="dxa"/>
            <w:vAlign w:val="bottom"/>
            <w:tcBorders>
              <w:right w:val="single" w:sz="8" w:color="auto"/>
            </w:tcBorders>
          </w:tcPr>
          <w:p>
            <w:pPr>
              <w:jc w:val="center"/>
              <w:spacing w:after="0" w:line="159" w:lineRule="exact"/>
              <w:rPr>
                <w:sz w:val="20"/>
                <w:szCs w:val="20"/>
                <w:color w:val="auto"/>
              </w:rPr>
            </w:pPr>
            <w:r>
              <w:rPr>
                <w:rFonts w:ascii="Times New Roman" w:cs="Times New Roman" w:eastAsia="Times New Roman" w:hAnsi="Times New Roman"/>
                <w:sz w:val="14"/>
                <w:szCs w:val="14"/>
                <w:color w:val="auto"/>
              </w:rPr>
              <w:t>5, 2019</w:t>
            </w:r>
          </w:p>
        </w:tc>
        <w:tc>
          <w:tcPr>
            <w:tcW w:w="8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940" w:type="dxa"/>
            <w:vAlign w:val="bottom"/>
            <w:tcBorders>
              <w:left w:val="single" w:sz="8" w:color="auto"/>
              <w:right w:val="single" w:sz="8" w:color="auto"/>
            </w:tcBorders>
            <w:vMerge w:val="continue"/>
          </w:tcPr>
          <w:p>
            <w:pPr>
              <w:spacing w:after="0"/>
              <w:rPr>
                <w:sz w:val="3"/>
                <w:szCs w:val="3"/>
                <w:color w:val="auto"/>
              </w:rPr>
            </w:pPr>
          </w:p>
        </w:tc>
        <w:tc>
          <w:tcPr>
            <w:tcW w:w="920" w:type="dxa"/>
            <w:vAlign w:val="bottom"/>
            <w:tcBorders>
              <w:right w:val="single" w:sz="8" w:color="auto"/>
            </w:tcBorders>
            <w:vMerge w:val="continue"/>
          </w:tcPr>
          <w:p>
            <w:pPr>
              <w:spacing w:after="0"/>
              <w:rPr>
                <w:sz w:val="3"/>
                <w:szCs w:val="3"/>
                <w:color w:val="auto"/>
              </w:rPr>
            </w:pPr>
          </w:p>
        </w:tc>
        <w:tc>
          <w:tcPr>
            <w:tcW w:w="1320" w:type="dxa"/>
            <w:vAlign w:val="bottom"/>
            <w:tcBorders>
              <w:right w:val="single" w:sz="8" w:color="auto"/>
            </w:tcBorders>
          </w:tcPr>
          <w:p>
            <w:pPr>
              <w:spacing w:after="0"/>
              <w:rPr>
                <w:sz w:val="3"/>
                <w:szCs w:val="3"/>
                <w:color w:val="auto"/>
              </w:rPr>
            </w:pPr>
          </w:p>
        </w:tc>
        <w:tc>
          <w:tcPr>
            <w:tcW w:w="880" w:type="dxa"/>
            <w:vAlign w:val="bottom"/>
            <w:tcBorders>
              <w:right w:val="single" w:sz="8" w:color="auto"/>
            </w:tcBorders>
          </w:tcPr>
          <w:p>
            <w:pPr>
              <w:spacing w:after="0"/>
              <w:rPr>
                <w:sz w:val="3"/>
                <w:szCs w:val="3"/>
                <w:color w:val="auto"/>
              </w:rPr>
            </w:pPr>
          </w:p>
        </w:tc>
        <w:tc>
          <w:tcPr>
            <w:tcW w:w="1000" w:type="dxa"/>
            <w:vAlign w:val="bottom"/>
            <w:tcBorders>
              <w:right w:val="single" w:sz="8" w:color="auto"/>
            </w:tcBorders>
          </w:tcPr>
          <w:p>
            <w:pPr>
              <w:spacing w:after="0"/>
              <w:rPr>
                <w:sz w:val="3"/>
                <w:szCs w:val="3"/>
                <w:color w:val="auto"/>
              </w:rPr>
            </w:pPr>
          </w:p>
        </w:tc>
        <w:tc>
          <w:tcPr>
            <w:tcW w:w="740" w:type="dxa"/>
            <w:vAlign w:val="bottom"/>
            <w:tcBorders>
              <w:right w:val="single" w:sz="8" w:color="auto"/>
            </w:tcBorders>
          </w:tcPr>
          <w:p>
            <w:pPr>
              <w:spacing w:after="0"/>
              <w:rPr>
                <w:sz w:val="3"/>
                <w:szCs w:val="3"/>
                <w:color w:val="auto"/>
              </w:rPr>
            </w:pPr>
          </w:p>
        </w:tc>
        <w:tc>
          <w:tcPr>
            <w:tcW w:w="1000" w:type="dxa"/>
            <w:vAlign w:val="bottom"/>
            <w:tcBorders>
              <w:right w:val="single" w:sz="8" w:color="auto"/>
            </w:tcBorders>
          </w:tcPr>
          <w:p>
            <w:pPr>
              <w:spacing w:after="0"/>
              <w:rPr>
                <w:sz w:val="3"/>
                <w:szCs w:val="3"/>
                <w:color w:val="auto"/>
              </w:rPr>
            </w:pPr>
          </w:p>
        </w:tc>
        <w:tc>
          <w:tcPr>
            <w:tcW w:w="660" w:type="dxa"/>
            <w:vAlign w:val="bottom"/>
            <w:tcBorders>
              <w:right w:val="single" w:sz="8" w:color="auto"/>
            </w:tcBorders>
          </w:tcPr>
          <w:p>
            <w:pPr>
              <w:spacing w:after="0"/>
              <w:rPr>
                <w:sz w:val="3"/>
                <w:szCs w:val="3"/>
                <w:color w:val="auto"/>
              </w:rPr>
            </w:pPr>
          </w:p>
        </w:tc>
        <w:tc>
          <w:tcPr>
            <w:tcW w:w="840" w:type="dxa"/>
            <w:vAlign w:val="bottom"/>
            <w:tcBorders>
              <w:right w:val="single" w:sz="8" w:color="auto"/>
            </w:tcBorders>
          </w:tcPr>
          <w:p>
            <w:pPr>
              <w:spacing w:after="0"/>
              <w:rPr>
                <w:sz w:val="3"/>
                <w:szCs w:val="3"/>
                <w:color w:val="auto"/>
              </w:rPr>
            </w:pPr>
          </w:p>
        </w:tc>
        <w:tc>
          <w:tcPr>
            <w:tcW w:w="660" w:type="dxa"/>
            <w:vAlign w:val="bottom"/>
            <w:tcBorders>
              <w:right w:val="single" w:sz="8" w:color="auto"/>
            </w:tcBorders>
          </w:tcPr>
          <w:p>
            <w:pPr>
              <w:spacing w:after="0"/>
              <w:rPr>
                <w:sz w:val="3"/>
                <w:szCs w:val="3"/>
                <w:color w:val="auto"/>
              </w:rPr>
            </w:pPr>
          </w:p>
        </w:tc>
        <w:tc>
          <w:tcPr>
            <w:tcW w:w="680" w:type="dxa"/>
            <w:vAlign w:val="bottom"/>
            <w:tcBorders>
              <w:right w:val="single" w:sz="8" w:color="auto"/>
            </w:tcBorders>
          </w:tcPr>
          <w:p>
            <w:pPr>
              <w:spacing w:after="0"/>
              <w:rPr>
                <w:sz w:val="3"/>
                <w:szCs w:val="3"/>
                <w:color w:val="auto"/>
              </w:rPr>
            </w:pPr>
          </w:p>
        </w:tc>
        <w:tc>
          <w:tcPr>
            <w:tcW w:w="680" w:type="dxa"/>
            <w:vAlign w:val="bottom"/>
            <w:tcBorders>
              <w:right w:val="single" w:sz="8" w:color="auto"/>
            </w:tcBorders>
          </w:tcPr>
          <w:p>
            <w:pPr>
              <w:spacing w:after="0"/>
              <w:rPr>
                <w:sz w:val="3"/>
                <w:szCs w:val="3"/>
                <w:color w:val="auto"/>
              </w:rPr>
            </w:pPr>
          </w:p>
        </w:tc>
        <w:tc>
          <w:tcPr>
            <w:tcW w:w="84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
        </w:trPr>
        <w:tc>
          <w:tcPr>
            <w:tcW w:w="94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940" w:type="dxa"/>
            <w:vAlign w:val="bottom"/>
            <w:tcBorders>
              <w:left w:val="single" w:sz="8" w:color="auto"/>
              <w:righ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22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Total Offering Amounts</w:t>
            </w:r>
          </w:p>
        </w:tc>
        <w:tc>
          <w:tcPr>
            <w:tcW w:w="100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$384,634,748</w:t>
            </w:r>
          </w:p>
        </w:tc>
        <w:tc>
          <w:tcPr>
            <w:tcW w:w="66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$7,845.54</w:t>
            </w:r>
          </w:p>
        </w:tc>
        <w:tc>
          <w:tcPr>
            <w:tcW w:w="66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940" w:type="dxa"/>
            <w:vAlign w:val="bottom"/>
            <w:tcBorders>
              <w:left w:val="single" w:sz="8" w:color="auto"/>
              <w:bottom w:val="single" w:sz="8" w:color="auto"/>
              <w:right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940" w:type="dxa"/>
            <w:vAlign w:val="bottom"/>
            <w:tcBorders>
              <w:left w:val="single" w:sz="8" w:color="auto"/>
              <w:righ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22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Total Fees Previously Paid</w:t>
            </w:r>
          </w:p>
        </w:tc>
        <w:tc>
          <w:tcPr>
            <w:tcW w:w="100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940" w:type="dxa"/>
            <w:vAlign w:val="bottom"/>
            <w:tcBorders>
              <w:left w:val="single" w:sz="8" w:color="auto"/>
              <w:bottom w:val="single" w:sz="8" w:color="auto"/>
              <w:right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940" w:type="dxa"/>
            <w:vAlign w:val="bottom"/>
            <w:tcBorders>
              <w:left w:val="single" w:sz="8" w:color="auto"/>
              <w:righ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22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Total Fee Offsets</w:t>
            </w:r>
          </w:p>
        </w:tc>
        <w:tc>
          <w:tcPr>
            <w:tcW w:w="100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940" w:type="dxa"/>
            <w:vAlign w:val="bottom"/>
            <w:tcBorders>
              <w:left w:val="single" w:sz="8" w:color="auto"/>
              <w:bottom w:val="single" w:sz="8" w:color="auto"/>
              <w:right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940" w:type="dxa"/>
            <w:vAlign w:val="bottom"/>
            <w:tcBorders>
              <w:left w:val="single" w:sz="8" w:color="auto"/>
              <w:righ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22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8"/>
              </w:rPr>
              <w:t>Net Fee Due</w:t>
            </w:r>
          </w:p>
        </w:tc>
        <w:tc>
          <w:tcPr>
            <w:tcW w:w="100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$7,845.54</w:t>
            </w:r>
          </w:p>
        </w:tc>
        <w:tc>
          <w:tcPr>
            <w:tcW w:w="66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940" w:type="dxa"/>
            <w:vAlign w:val="bottom"/>
            <w:tcBorders>
              <w:left w:val="single" w:sz="8" w:color="auto"/>
              <w:bottom w:val="single" w:sz="8" w:color="auto"/>
              <w:right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940" w:type="dxa"/>
            <w:vAlign w:val="bottom"/>
            <w:tcBorders>
              <w:left w:val="single" w:sz="8" w:color="auto"/>
              <w:bottom w:val="single" w:sz="8" w:color="auto"/>
              <w:right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0" w:type="dxa"/>
            <w:vAlign w:val="bottom"/>
            <w:tcBorders>
              <w:bottom w:val="single" w:sz="8" w:color="auto"/>
              <w:right w:val="single" w:sz="8" w:color="auto"/>
            </w:tcBorders>
          </w:tcPr>
          <w:p>
            <w:pPr>
              <w:spacing w:after="0"/>
              <w:rPr>
                <w:sz w:val="21"/>
                <w:szCs w:val="21"/>
                <w:color w:val="auto"/>
              </w:rPr>
            </w:pPr>
          </w:p>
        </w:tc>
        <w:tc>
          <w:tcPr>
            <w:tcW w:w="740" w:type="dxa"/>
            <w:vAlign w:val="bottom"/>
            <w:tcBorders>
              <w:bottom w:val="single" w:sz="8" w:color="auto"/>
              <w:right w:val="single" w:sz="8" w:color="auto"/>
            </w:tcBorders>
          </w:tcPr>
          <w:p>
            <w:pPr>
              <w:spacing w:after="0"/>
              <w:rPr>
                <w:sz w:val="21"/>
                <w:szCs w:val="21"/>
                <w:color w:val="auto"/>
              </w:rPr>
            </w:pPr>
          </w:p>
        </w:tc>
        <w:tc>
          <w:tcPr>
            <w:tcW w:w="100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right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right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420" w:top="108" w:right="239" w:bottom="1440" w:gutter="0" w:footer="0" w:header="0"/>
        </w:sectPr>
      </w:pPr>
    </w:p>
    <w:bookmarkStart w:id="48" w:name="page49"/>
    <w:bookmarkEnd w:id="48"/>
    <w:p>
      <w:pPr>
        <w:ind w:left="10516"/>
        <w:spacing w:after="0"/>
        <w:rPr>
          <w:sz w:val="20"/>
          <w:szCs w:val="20"/>
          <w:color w:val="auto"/>
        </w:rPr>
      </w:pPr>
      <w:r>
        <w:rPr>
          <w:rFonts w:ascii="Times New Roman" w:cs="Times New Roman" w:eastAsia="Times New Roman" w:hAnsi="Times New Roman"/>
          <w:sz w:val="15"/>
          <w:szCs w:val="15"/>
          <w:color w:val="auto"/>
        </w:rPr>
        <w:t>Exhibit</w:t>
      </w:r>
    </w:p>
    <w:p>
      <w:pPr>
        <w:spacing w:after="0" w:line="20" w:lineRule="exact"/>
        <w:rPr>
          <w:sz w:val="20"/>
          <w:szCs w:val="20"/>
          <w:color w:val="auto"/>
        </w:rPr>
      </w:pPr>
    </w:p>
    <w:p>
      <w:pPr>
        <w:ind w:left="10516"/>
        <w:spacing w:after="0"/>
        <w:rPr>
          <w:sz w:val="20"/>
          <w:szCs w:val="20"/>
          <w:color w:val="auto"/>
        </w:rPr>
      </w:pPr>
      <w:r>
        <w:rPr>
          <w:rFonts w:ascii="Times New Roman" w:cs="Times New Roman" w:eastAsia="Times New Roman" w:hAnsi="Times New Roman"/>
          <w:sz w:val="18"/>
          <w:szCs w:val="18"/>
          <w:color w:val="auto"/>
        </w:rPr>
        <w:t>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36" w:right="100" w:hanging="636"/>
        <w:spacing w:after="0" w:line="219" w:lineRule="auto"/>
        <w:tabs>
          <w:tab w:leader="none" w:pos="628"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Rule 416 under the Securities Act of 1933, as amended (the “Securities Act”), the common shares being registered hereunder include an indeterminate number of common shares that may be issued in connection with shares splits, share dividends, recapitalizations or similar events.</w:t>
      </w:r>
    </w:p>
    <w:p>
      <w:pPr>
        <w:ind w:left="636" w:right="100" w:hanging="636"/>
        <w:spacing w:after="0" w:line="217" w:lineRule="auto"/>
        <w:tabs>
          <w:tab w:leader="none" w:pos="628"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solely for the purpose of calculating the registration fee pursuant to Rule 457(c) under the Securities Act based on the average high and low sale price for the common shares on August 22, 2022, as reported on the New York Stock Exchange.</w:t>
      </w:r>
    </w:p>
    <w:p>
      <w:pPr>
        <w:jc w:val="both"/>
        <w:ind w:left="636" w:right="100" w:hanging="636"/>
        <w:spacing w:after="0" w:line="210" w:lineRule="auto"/>
        <w:tabs>
          <w:tab w:leader="none" w:pos="628"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common shares that may be offered by the selling shareholders named in this registration statement issuable upon the conversion of the Class A Series 1 Preferred Shares held by the selling shareholders based on the liquidation preference of such Class A Series 1 Preferred Shares as of March 31, 2023 assuming all dividends thereon are paid in kind through an increase in the liquidation preference.</w:t>
      </w:r>
    </w:p>
    <w:p>
      <w:pPr>
        <w:spacing w:after="0" w:line="1" w:lineRule="exact"/>
        <w:rPr>
          <w:rFonts w:ascii="Times New Roman" w:cs="Times New Roman" w:eastAsia="Times New Roman" w:hAnsi="Times New Roman"/>
          <w:sz w:val="14"/>
          <w:szCs w:val="14"/>
          <w:color w:val="auto"/>
        </w:rPr>
      </w:pPr>
    </w:p>
    <w:p>
      <w:pPr>
        <w:jc w:val="both"/>
        <w:ind w:left="636" w:right="100" w:hanging="636"/>
        <w:spacing w:after="0" w:line="209" w:lineRule="auto"/>
        <w:tabs>
          <w:tab w:leader="none" w:pos="628"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to be registered consists of up to $300,000,000 of an indeterminate amount of common stock, preferred stock, debt securities and/or warrants (the “Carry-Forward Securities”). There is also being registered hereunder such currently indeterminate number of (i) shares of common stock or other securities of the registrant as may be issued upon conversion of, or in exchange for, convertible or exchangeable debt securities and/or preferred stock registered hereby, or (ii) shares of preferred stock, common stock or debt securities as may be issued upon exercise of warrants registered hereby, as the case may be. Any securities registered hereunder may be sold separately or as units with the other securities registered hereunder.</w:t>
      </w:r>
    </w:p>
    <w:p>
      <w:pPr>
        <w:spacing w:after="0" w:line="2" w:lineRule="exact"/>
        <w:rPr>
          <w:rFonts w:ascii="Times New Roman" w:cs="Times New Roman" w:eastAsia="Times New Roman" w:hAnsi="Times New Roman"/>
          <w:sz w:val="14"/>
          <w:szCs w:val="14"/>
          <w:color w:val="auto"/>
        </w:rPr>
      </w:pPr>
    </w:p>
    <w:p>
      <w:pPr>
        <w:ind w:left="636" w:right="100" w:hanging="636"/>
        <w:spacing w:after="0" w:line="207" w:lineRule="auto"/>
        <w:tabs>
          <w:tab w:leader="none" w:pos="628"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proposed maximum aggregate offering price per unit will be determined from time to time by the registrant in connection with the issuance by the registrant of the securities registered hereunder and is not specified as to each class of security pursuant to Instruction 2.B(iii) of Item 16(b) of Form S-3 under the Securities Act.</w:t>
      </w:r>
    </w:p>
    <w:p>
      <w:pPr>
        <w:jc w:val="both"/>
        <w:ind w:left="636" w:right="100" w:hanging="636"/>
        <w:spacing w:after="0" w:line="212" w:lineRule="auto"/>
        <w:tabs>
          <w:tab w:leader="none" w:pos="628"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pursuant to Rule 457(o) under the Securities Act. In no event will the aggregate offering price of all securities sold by the registrant from time to time pursuant to this registration statement exceed $300,000,000. No separate consideration will be received for (i) common stock or other securities of the registrant that may be issued upon conversion of, or in exchange for, convertible or exchangeable debt securities and/or preferred stock registered hereby, or (ii) preferred stock, common stock or debt securities that may be issued upon exercise of warrants registered hereby, as the case may be.</w:t>
      </w:r>
    </w:p>
    <w:p>
      <w:pPr>
        <w:spacing w:after="0" w:line="1" w:lineRule="exact"/>
        <w:rPr>
          <w:rFonts w:ascii="Times New Roman" w:cs="Times New Roman" w:eastAsia="Times New Roman" w:hAnsi="Times New Roman"/>
          <w:sz w:val="14"/>
          <w:szCs w:val="14"/>
          <w:color w:val="auto"/>
        </w:rPr>
      </w:pPr>
    </w:p>
    <w:p>
      <w:pPr>
        <w:jc w:val="both"/>
        <w:ind w:left="636" w:right="100" w:hanging="636"/>
        <w:spacing w:after="0" w:line="213" w:lineRule="auto"/>
        <w:tabs>
          <w:tab w:leader="none" w:pos="628"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Carry-Forward Securities consist of securities previously registered under the Registration Statement on Form S-3 (File No. 333-233444), initially filed with the Securities and Exchange Commission on August 23, 2019, and declared effective on September 5, 2019 (the “2019 Registration Statement”), which securities remain unsold as of the date of this registration statement. Pursuant to Rule 415(a)(6) under the Securities Act, the registration fees relating to the Carry-Forward Securities under the 2019 Registration Statement will continue to be applied to such securities hereunder. The registrant paid a filing fee of $36,360 (calculated at the filing fee rate in effect at the time of the filing of the 2019 Registration Statement) relating to the Carry-Forward Securities, and no additional filing fee is due with respect to the Carry-Forward Securities in connection with the filing of this registration statement. During the grace period afforded by Rule 415(a)(5) under the Securities Act, the registrant may continue to offer and sell under the 2019 Registration Statement the Carry-Forward Securities being registered hereunder. To the extent that, after the filing date hereof and prior to the effectiveness of this registration statement, the registrant sells any Carry-Forward Securities under the 2019 Registration Statement, the registrant will identify in a pre-effective amendment to this registration statement the updated amount of Carry-Forward Securities from the 2019 Registration Statement to be included in this registration statement pursuant to Rule 415(a)(6) under the Securities Act and the updated amount of new securities to be registered on this registration statement. Pursuant to Rule 415(a)(6) under the Securities Act, the offering of Carry-Forward Securities under the 2019 Registration Statement will be deemed terminated as of the date of effectiveness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wp:posOffset>
            </wp:positionH>
            <wp:positionV relativeFrom="paragraph">
              <wp:posOffset>100965</wp:posOffset>
            </wp:positionV>
            <wp:extent cx="2257425" cy="3454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2257425" cy="345440"/>
                    </a:xfrm>
                    <a:prstGeom prst="rect">
                      <a:avLst/>
                    </a:prstGeom>
                    <a:noFill/>
                  </pic:spPr>
                </pic:pic>
              </a:graphicData>
            </a:graphic>
          </wp:anchor>
        </w:drawing>
      </w:r>
    </w:p>
    <w:p>
      <w:pPr>
        <w:sectPr>
          <w:pgSz w:w="11900" w:h="16838" w:orient="portrait"/>
          <w:cols w:equalWidth="0" w:num="1">
            <w:col w:w="11016"/>
          </w:cols>
          <w:pgMar w:left="644" w:top="108" w:right="239" w:bottom="1440" w:gutter="0" w:footer="0" w:header="0"/>
        </w:sectPr>
      </w:pPr>
    </w:p>
    <w:bookmarkStart w:id="49" w:name="page50"/>
    <w:bookmarkEnd w:id="49"/>
    <w:p>
      <w:pPr>
        <w:jc w:val="right"/>
        <w:ind w:right="2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215265</wp:posOffset>
            </wp:positionH>
            <wp:positionV relativeFrom="page">
              <wp:posOffset>198120</wp:posOffset>
            </wp:positionV>
            <wp:extent cx="1289050" cy="2444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289050" cy="244475"/>
                    </a:xfrm>
                    <a:prstGeom prst="rect">
                      <a:avLst/>
                    </a:prstGeom>
                    <a:noFill/>
                  </pic:spPr>
                </pic:pic>
              </a:graphicData>
            </a:graphic>
          </wp:anchor>
        </w:drawing>
        <w:t>Dentons Canada LLP</w:t>
      </w:r>
    </w:p>
    <w:p>
      <w:pPr>
        <w:spacing w:after="0" w:line="101" w:lineRule="exact"/>
        <w:rPr>
          <w:sz w:val="20"/>
          <w:szCs w:val="20"/>
          <w:color w:val="auto"/>
        </w:rPr>
      </w:pPr>
    </w:p>
    <w:p>
      <w:pPr>
        <w:jc w:val="right"/>
        <w:ind w:right="20"/>
        <w:spacing w:after="0"/>
        <w:rPr>
          <w:sz w:val="20"/>
          <w:szCs w:val="20"/>
          <w:color w:val="auto"/>
        </w:rPr>
      </w:pPr>
      <w:r>
        <w:rPr>
          <w:rFonts w:ascii="Arial" w:cs="Arial" w:eastAsia="Arial" w:hAnsi="Arial"/>
          <w:sz w:val="12"/>
          <w:szCs w:val="12"/>
          <w:color w:val="auto"/>
        </w:rPr>
        <w:t>15th Floor, Bankers Court</w:t>
      </w:r>
    </w:p>
    <w:p>
      <w:pPr>
        <w:spacing w:after="0" w:line="34" w:lineRule="exact"/>
        <w:rPr>
          <w:sz w:val="20"/>
          <w:szCs w:val="20"/>
          <w:color w:val="auto"/>
        </w:rPr>
      </w:pPr>
    </w:p>
    <w:p>
      <w:pPr>
        <w:jc w:val="right"/>
        <w:ind w:right="20"/>
        <w:spacing w:after="0"/>
        <w:rPr>
          <w:sz w:val="20"/>
          <w:szCs w:val="20"/>
          <w:color w:val="auto"/>
        </w:rPr>
      </w:pPr>
      <w:r>
        <w:rPr>
          <w:rFonts w:ascii="Arial" w:cs="Arial" w:eastAsia="Arial" w:hAnsi="Arial"/>
          <w:sz w:val="12"/>
          <w:szCs w:val="12"/>
          <w:color w:val="auto"/>
        </w:rPr>
        <w:t>850-2nd Street SW</w:t>
      </w:r>
    </w:p>
    <w:p>
      <w:pPr>
        <w:spacing w:after="0" w:line="26" w:lineRule="exact"/>
        <w:rPr>
          <w:sz w:val="20"/>
          <w:szCs w:val="20"/>
          <w:color w:val="auto"/>
        </w:rPr>
      </w:pPr>
    </w:p>
    <w:p>
      <w:pPr>
        <w:jc w:val="right"/>
        <w:ind w:right="20"/>
        <w:spacing w:after="0"/>
        <w:rPr>
          <w:sz w:val="20"/>
          <w:szCs w:val="20"/>
          <w:color w:val="auto"/>
        </w:rPr>
      </w:pPr>
      <w:r>
        <w:rPr>
          <w:rFonts w:ascii="Arial" w:cs="Arial" w:eastAsia="Arial" w:hAnsi="Arial"/>
          <w:sz w:val="12"/>
          <w:szCs w:val="12"/>
          <w:color w:val="auto"/>
        </w:rPr>
        <w:t>Calgary, AB, Canada T2P 0R8</w:t>
      </w:r>
    </w:p>
    <w:p>
      <w:pPr>
        <w:spacing w:after="0" w:line="30" w:lineRule="exact"/>
        <w:rPr>
          <w:sz w:val="20"/>
          <w:szCs w:val="20"/>
          <w:color w:val="auto"/>
        </w:rPr>
      </w:pPr>
    </w:p>
    <w:p>
      <w:pPr>
        <w:jc w:val="right"/>
        <w:ind w:right="20"/>
        <w:spacing w:after="0"/>
        <w:rPr>
          <w:sz w:val="20"/>
          <w:szCs w:val="20"/>
          <w:color w:val="auto"/>
        </w:rPr>
      </w:pPr>
      <w:r>
        <w:rPr>
          <w:rFonts w:ascii="Arial" w:cs="Arial" w:eastAsia="Arial" w:hAnsi="Arial"/>
          <w:sz w:val="12"/>
          <w:szCs w:val="12"/>
          <w:color w:val="auto"/>
        </w:rPr>
        <w:t>dentons.com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80"/>
        <w:spacing w:after="0"/>
        <w:tabs>
          <w:tab w:leader="none" w:pos="8460" w:val="left"/>
        </w:tabs>
        <w:rPr>
          <w:sz w:val="20"/>
          <w:szCs w:val="20"/>
          <w:color w:val="auto"/>
        </w:rPr>
      </w:pPr>
      <w:r>
        <w:rPr>
          <w:rFonts w:ascii="Arial" w:cs="Arial" w:eastAsia="Arial" w:hAnsi="Arial"/>
          <w:sz w:val="35"/>
          <w:szCs w:val="35"/>
          <w:color w:val="auto"/>
          <w:vertAlign w:val="superscript"/>
        </w:rPr>
        <w:t>August 29, 2022</w:t>
      </w:r>
      <w:r>
        <w:rPr>
          <w:sz w:val="20"/>
          <w:szCs w:val="20"/>
          <w:color w:val="auto"/>
        </w:rPr>
        <w:tab/>
      </w:r>
      <w:r>
        <w:rPr>
          <w:rFonts w:ascii="Arial" w:cs="Arial" w:eastAsia="Arial" w:hAnsi="Arial"/>
          <w:sz w:val="14"/>
          <w:szCs w:val="14"/>
          <w:color w:val="auto"/>
        </w:rPr>
        <w:t>File No.: 573537-10</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80"/>
        <w:spacing w:after="0"/>
        <w:rPr>
          <w:sz w:val="20"/>
          <w:szCs w:val="20"/>
          <w:color w:val="auto"/>
        </w:rPr>
      </w:pPr>
      <w:r>
        <w:rPr>
          <w:rFonts w:ascii="Arial" w:cs="Arial" w:eastAsia="Arial" w:hAnsi="Arial"/>
          <w:sz w:val="18"/>
          <w:szCs w:val="18"/>
          <w:color w:val="auto"/>
        </w:rPr>
        <w:t>Civeo Corporation</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8"/>
          <w:szCs w:val="18"/>
          <w:color w:val="auto"/>
        </w:rPr>
        <w:t>Three Allen Center</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8"/>
          <w:szCs w:val="18"/>
          <w:color w:val="auto"/>
        </w:rPr>
        <w:t>333 Clay Street, Suite 4980</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8"/>
          <w:szCs w:val="18"/>
          <w:color w:val="auto"/>
        </w:rPr>
        <w:t>Houston, Texas</w:t>
      </w:r>
    </w:p>
    <w:p>
      <w:pPr>
        <w:spacing w:after="0" w:line="25" w:lineRule="exact"/>
        <w:rPr>
          <w:sz w:val="20"/>
          <w:szCs w:val="20"/>
          <w:color w:val="auto"/>
        </w:rPr>
      </w:pPr>
    </w:p>
    <w:p>
      <w:pPr>
        <w:ind w:left="80"/>
        <w:spacing w:after="0"/>
        <w:rPr>
          <w:sz w:val="20"/>
          <w:szCs w:val="20"/>
          <w:color w:val="auto"/>
        </w:rPr>
      </w:pPr>
      <w:r>
        <w:rPr>
          <w:rFonts w:ascii="Arial" w:cs="Arial" w:eastAsia="Arial" w:hAnsi="Arial"/>
          <w:sz w:val="18"/>
          <w:szCs w:val="18"/>
          <w:color w:val="auto"/>
        </w:rPr>
        <w:t>77002</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95" w:lineRule="exact"/>
        <w:rPr>
          <w:sz w:val="20"/>
          <w:szCs w:val="20"/>
          <w:color w:val="auto"/>
        </w:rPr>
      </w:pPr>
    </w:p>
    <w:p>
      <w:pPr>
        <w:ind w:left="80"/>
        <w:spacing w:after="0"/>
        <w:tabs>
          <w:tab w:leader="none" w:pos="126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Civeo Corporation - Registration Statement on Form S-3</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9"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As set forth in the Registration Statement on Form S-3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filed by Civeo Corporation, a company existing under the laws of the Province of British Columbia (the “</w:t>
      </w:r>
      <w:r>
        <w:rPr>
          <w:rFonts w:ascii="Arial" w:cs="Arial" w:eastAsia="Arial" w:hAnsi="Arial"/>
          <w:sz w:val="18"/>
          <w:szCs w:val="18"/>
          <w:b w:val="1"/>
          <w:bCs w:val="1"/>
          <w:color w:val="auto"/>
        </w:rPr>
        <w:t>Company</w:t>
      </w:r>
      <w:r>
        <w:rPr>
          <w:rFonts w:ascii="Arial" w:cs="Arial" w:eastAsia="Arial" w:hAnsi="Arial"/>
          <w:sz w:val="18"/>
          <w:szCs w:val="18"/>
          <w:color w:val="auto"/>
        </w:rPr>
        <w:t>”), with the United States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under the Securities Act of 1933, as amended (the “</w:t>
      </w:r>
      <w:r>
        <w:rPr>
          <w:rFonts w:ascii="Arial" w:cs="Arial" w:eastAsia="Arial" w:hAnsi="Arial"/>
          <w:sz w:val="18"/>
          <w:szCs w:val="18"/>
          <w:b w:val="1"/>
          <w:bCs w:val="1"/>
          <w:color w:val="auto"/>
        </w:rPr>
        <w:t>Act</w:t>
      </w:r>
      <w:r>
        <w:rPr>
          <w:rFonts w:ascii="Arial" w:cs="Arial" w:eastAsia="Arial" w:hAnsi="Arial"/>
          <w:sz w:val="18"/>
          <w:szCs w:val="18"/>
          <w:color w:val="auto"/>
        </w:rPr>
        <w:t>”), relating to the offering of securities that may be issued and sold by the Company from time to time pursuant to Rule 415 under the Act, certain legal matters in connection with such securities are being passed upon for you by us. Such securities include Common Shares without par value of the Company (“</w:t>
      </w:r>
      <w:r>
        <w:rPr>
          <w:rFonts w:ascii="Arial" w:cs="Arial" w:eastAsia="Arial" w:hAnsi="Arial"/>
          <w:sz w:val="18"/>
          <w:szCs w:val="18"/>
          <w:b w:val="1"/>
          <w:bCs w:val="1"/>
          <w:color w:val="auto"/>
        </w:rPr>
        <w:t>Common Shares</w:t>
      </w:r>
      <w:r>
        <w:rPr>
          <w:rFonts w:ascii="Arial" w:cs="Arial" w:eastAsia="Arial" w:hAnsi="Arial"/>
          <w:sz w:val="18"/>
          <w:szCs w:val="18"/>
          <w:color w:val="auto"/>
        </w:rPr>
        <w:t>”), Class A Preferred Shares without par value of the Company (“</w:t>
      </w:r>
      <w:r>
        <w:rPr>
          <w:rFonts w:ascii="Arial" w:cs="Arial" w:eastAsia="Arial" w:hAnsi="Arial"/>
          <w:sz w:val="18"/>
          <w:szCs w:val="18"/>
          <w:b w:val="1"/>
          <w:bCs w:val="1"/>
          <w:color w:val="auto"/>
        </w:rPr>
        <w:t>Class A Preferred Shares</w:t>
      </w:r>
      <w:r>
        <w:rPr>
          <w:rFonts w:ascii="Arial" w:cs="Arial" w:eastAsia="Arial" w:hAnsi="Arial"/>
          <w:sz w:val="18"/>
          <w:szCs w:val="18"/>
          <w:color w:val="auto"/>
        </w:rPr>
        <w:t>”) and Class B Preferred Shares without par value of the Company (“</w:t>
      </w:r>
      <w:r>
        <w:rPr>
          <w:rFonts w:ascii="Arial" w:cs="Arial" w:eastAsia="Arial" w:hAnsi="Arial"/>
          <w:sz w:val="18"/>
          <w:szCs w:val="18"/>
          <w:b w:val="1"/>
          <w:bCs w:val="1"/>
          <w:color w:val="auto"/>
        </w:rPr>
        <w:t>Class B</w:t>
      </w:r>
      <w:r>
        <w:rPr>
          <w:rFonts w:ascii="Arial" w:cs="Arial" w:eastAsia="Arial" w:hAnsi="Arial"/>
          <w:sz w:val="18"/>
          <w:szCs w:val="18"/>
          <w:color w:val="auto"/>
        </w:rPr>
        <w:t xml:space="preserve"> </w:t>
      </w:r>
      <w:r>
        <w:rPr>
          <w:rFonts w:ascii="Arial" w:cs="Arial" w:eastAsia="Arial" w:hAnsi="Arial"/>
          <w:sz w:val="18"/>
          <w:szCs w:val="18"/>
          <w:b w:val="1"/>
          <w:bCs w:val="1"/>
          <w:color w:val="auto"/>
        </w:rPr>
        <w:t>Preferred Shares</w:t>
      </w:r>
      <w:r>
        <w:rPr>
          <w:rFonts w:ascii="Arial" w:cs="Arial" w:eastAsia="Arial" w:hAnsi="Arial"/>
          <w:sz w:val="18"/>
          <w:szCs w:val="18"/>
          <w:color w:val="auto"/>
        </w:rPr>
        <w:t>” and together with the Class A Preferred Shares, the “</w:t>
      </w:r>
      <w:r>
        <w:rPr>
          <w:rFonts w:ascii="Arial" w:cs="Arial" w:eastAsia="Arial" w:hAnsi="Arial"/>
          <w:sz w:val="18"/>
          <w:szCs w:val="18"/>
          <w:b w:val="1"/>
          <w:bCs w:val="1"/>
          <w:color w:val="auto"/>
        </w:rPr>
        <w:t>Preferred Shares</w:t>
      </w:r>
      <w:r>
        <w:rPr>
          <w:rFonts w:ascii="Arial" w:cs="Arial" w:eastAsia="Arial" w:hAnsi="Arial"/>
          <w:sz w:val="18"/>
          <w:szCs w:val="18"/>
          <w:color w:val="auto"/>
        </w:rPr>
        <w:t>”). Such Common Shares and Preferred Shares are</w:t>
      </w:r>
      <w:r>
        <w:rPr>
          <w:rFonts w:ascii="Arial" w:cs="Arial" w:eastAsia="Arial" w:hAnsi="Arial"/>
          <w:sz w:val="18"/>
          <w:szCs w:val="18"/>
          <w:b w:val="1"/>
          <w:bCs w:val="1"/>
          <w:color w:val="auto"/>
        </w:rPr>
        <w:t xml:space="preserve"> </w:t>
      </w:r>
      <w:r>
        <w:rPr>
          <w:rFonts w:ascii="Arial" w:cs="Arial" w:eastAsia="Arial" w:hAnsi="Arial"/>
          <w:sz w:val="18"/>
          <w:szCs w:val="18"/>
          <w:color w:val="auto"/>
        </w:rPr>
        <w:t>collectively referred to herein as the “</w:t>
      </w:r>
      <w:r>
        <w:rPr>
          <w:rFonts w:ascii="Arial" w:cs="Arial" w:eastAsia="Arial" w:hAnsi="Arial"/>
          <w:sz w:val="18"/>
          <w:szCs w:val="18"/>
          <w:b w:val="1"/>
          <w:bCs w:val="1"/>
          <w:color w:val="auto"/>
        </w:rPr>
        <w:t>Primary Shares</w:t>
      </w:r>
      <w:r>
        <w:rPr>
          <w:rFonts w:ascii="Arial" w:cs="Arial" w:eastAsia="Arial" w:hAnsi="Arial"/>
          <w:sz w:val="18"/>
          <w:szCs w:val="18"/>
          <w:color w:val="auto"/>
        </w:rPr>
        <w:t>”.</w:t>
      </w:r>
    </w:p>
    <w:p>
      <w:pPr>
        <w:spacing w:after="0" w:line="180"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In addition, the Registration Statement relates to the offering and sale from time to time by the selling shareholders identified in the Registration Statement (the “</w:t>
      </w:r>
      <w:r>
        <w:rPr>
          <w:rFonts w:ascii="Arial" w:cs="Arial" w:eastAsia="Arial" w:hAnsi="Arial"/>
          <w:sz w:val="17"/>
          <w:szCs w:val="17"/>
          <w:b w:val="1"/>
          <w:bCs w:val="1"/>
          <w:color w:val="auto"/>
        </w:rPr>
        <w:t>Selling Shareholders</w:t>
      </w:r>
      <w:r>
        <w:rPr>
          <w:rFonts w:ascii="Arial" w:cs="Arial" w:eastAsia="Arial" w:hAnsi="Arial"/>
          <w:sz w:val="17"/>
          <w:szCs w:val="17"/>
          <w:color w:val="auto"/>
        </w:rPr>
        <w:t>”) of an aggregate of 2,897,458 Common Shares pursuant to Rule 415 under the Act, consisting of (i) 2,522,705 Common Shares (the “</w:t>
      </w:r>
      <w:r>
        <w:rPr>
          <w:rFonts w:ascii="Arial" w:cs="Arial" w:eastAsia="Arial" w:hAnsi="Arial"/>
          <w:sz w:val="17"/>
          <w:szCs w:val="17"/>
          <w:b w:val="1"/>
          <w:bCs w:val="1"/>
          <w:color w:val="auto"/>
        </w:rPr>
        <w:t>New Secondary Shares</w:t>
      </w:r>
      <w:r>
        <w:rPr>
          <w:rFonts w:ascii="Arial" w:cs="Arial" w:eastAsia="Arial" w:hAnsi="Arial"/>
          <w:sz w:val="17"/>
          <w:szCs w:val="17"/>
          <w:color w:val="auto"/>
        </w:rPr>
        <w:t>”) issuable to the Selling Shareholders upon conversion of 9,042 Class A Series 1 Preferred Shares of the Company (the “</w:t>
      </w:r>
      <w:r>
        <w:rPr>
          <w:rFonts w:ascii="Arial" w:cs="Arial" w:eastAsia="Arial" w:hAnsi="Arial"/>
          <w:sz w:val="17"/>
          <w:szCs w:val="17"/>
          <w:b w:val="1"/>
          <w:bCs w:val="1"/>
          <w:color w:val="auto"/>
        </w:rPr>
        <w:t>Class A Series 1 Preferred Shares</w:t>
      </w:r>
      <w:r>
        <w:rPr>
          <w:rFonts w:ascii="Arial" w:cs="Arial" w:eastAsia="Arial" w:hAnsi="Arial"/>
          <w:sz w:val="17"/>
          <w:szCs w:val="17"/>
          <w:color w:val="auto"/>
        </w:rPr>
        <w:t>”), based on the liquidation preference of such Class A Series 1 Preferred Shares as of March 31, 2023 assuming all dividends thereon are paid in kind through an increase in the liquidation preference, and</w:t>
      </w:r>
    </w:p>
    <w:p>
      <w:pPr>
        <w:spacing w:after="0" w:line="2" w:lineRule="exact"/>
        <w:rPr>
          <w:sz w:val="20"/>
          <w:szCs w:val="20"/>
          <w:color w:val="auto"/>
        </w:rPr>
      </w:pPr>
    </w:p>
    <w:p>
      <w:pPr>
        <w:jc w:val="both"/>
        <w:ind w:firstLine="6"/>
        <w:spacing w:after="0" w:line="290" w:lineRule="auto"/>
        <w:tabs>
          <w:tab w:leader="none" w:pos="264"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 additional 374,753 Common Shares held by the Selling Shareholders (the “</w:t>
      </w:r>
      <w:r>
        <w:rPr>
          <w:rFonts w:ascii="Arial" w:cs="Arial" w:eastAsia="Arial" w:hAnsi="Arial"/>
          <w:sz w:val="18"/>
          <w:szCs w:val="18"/>
          <w:b w:val="1"/>
          <w:bCs w:val="1"/>
          <w:color w:val="auto"/>
        </w:rPr>
        <w:t>Existing Secondary Shares</w:t>
      </w:r>
      <w:r>
        <w:rPr>
          <w:rFonts w:ascii="Arial" w:cs="Arial" w:eastAsia="Arial" w:hAnsi="Arial"/>
          <w:sz w:val="18"/>
          <w:szCs w:val="18"/>
          <w:color w:val="auto"/>
        </w:rPr>
        <w:t>”, and together with the New Secondary Shares, the “</w:t>
      </w:r>
      <w:r>
        <w:rPr>
          <w:rFonts w:ascii="Arial" w:cs="Arial" w:eastAsia="Arial" w:hAnsi="Arial"/>
          <w:sz w:val="18"/>
          <w:szCs w:val="18"/>
          <w:b w:val="1"/>
          <w:bCs w:val="1"/>
          <w:color w:val="auto"/>
        </w:rPr>
        <w:t>Secondary Shares</w:t>
      </w:r>
      <w:r>
        <w:rPr>
          <w:rFonts w:ascii="Arial" w:cs="Arial" w:eastAsia="Arial" w:hAnsi="Arial"/>
          <w:sz w:val="18"/>
          <w:szCs w:val="18"/>
          <w:color w:val="auto"/>
        </w:rPr>
        <w:t>”). The Primary Shares and the Secondary Shares are collectively referred to herein as the “</w:t>
      </w:r>
      <w:r>
        <w:rPr>
          <w:rFonts w:ascii="Arial" w:cs="Arial" w:eastAsia="Arial" w:hAnsi="Arial"/>
          <w:sz w:val="18"/>
          <w:szCs w:val="18"/>
          <w:b w:val="1"/>
          <w:bCs w:val="1"/>
          <w:color w:val="auto"/>
        </w:rPr>
        <w:t>Securities</w:t>
      </w:r>
      <w:r>
        <w:rPr>
          <w:rFonts w:ascii="Arial" w:cs="Arial" w:eastAsia="Arial" w:hAnsi="Arial"/>
          <w:sz w:val="18"/>
          <w:szCs w:val="18"/>
          <w:color w:val="auto"/>
        </w:rPr>
        <w:t>”.</w:t>
      </w:r>
    </w:p>
    <w:p>
      <w:pPr>
        <w:spacing w:after="0" w:line="167" w:lineRule="exact"/>
        <w:rPr>
          <w:sz w:val="20"/>
          <w:szCs w:val="20"/>
          <w:color w:val="auto"/>
        </w:rPr>
      </w:pPr>
    </w:p>
    <w:p>
      <w:pPr>
        <w:jc w:val="both"/>
        <w:spacing w:after="0" w:line="289" w:lineRule="auto"/>
        <w:rPr>
          <w:sz w:val="20"/>
          <w:szCs w:val="20"/>
          <w:color w:val="auto"/>
        </w:rPr>
      </w:pPr>
      <w:r>
        <w:rPr>
          <w:rFonts w:ascii="Arial" w:cs="Arial" w:eastAsia="Arial" w:hAnsi="Arial"/>
          <w:sz w:val="18"/>
          <w:szCs w:val="18"/>
          <w:color w:val="auto"/>
        </w:rPr>
        <w:t>In our capacity as your Canadian counsel in connection with the offering referred to above, we have examined originals, or copies certified or otherwise identified, of the Company’s Certificate of Incorporation, Notice of Articles and Articles, each as amended to date (the “</w:t>
      </w:r>
      <w:r>
        <w:rPr>
          <w:rFonts w:ascii="Arial" w:cs="Arial" w:eastAsia="Arial" w:hAnsi="Arial"/>
          <w:sz w:val="18"/>
          <w:szCs w:val="18"/>
          <w:b w:val="1"/>
          <w:bCs w:val="1"/>
          <w:color w:val="auto"/>
        </w:rPr>
        <w:t>Charter</w:t>
      </w:r>
      <w:r>
        <w:rPr>
          <w:rFonts w:ascii="Arial" w:cs="Arial" w:eastAsia="Arial" w:hAnsi="Arial"/>
          <w:sz w:val="18"/>
          <w:szCs w:val="18"/>
          <w:color w:val="auto"/>
        </w:rPr>
        <w:t xml:space="preserve"> </w:t>
      </w:r>
      <w:r>
        <w:rPr>
          <w:rFonts w:ascii="Arial" w:cs="Arial" w:eastAsia="Arial" w:hAnsi="Arial"/>
          <w:sz w:val="18"/>
          <w:szCs w:val="18"/>
          <w:b w:val="1"/>
          <w:bCs w:val="1"/>
          <w:color w:val="auto"/>
        </w:rPr>
        <w:t>Documents</w:t>
      </w:r>
      <w:r>
        <w:rPr>
          <w:rFonts w:ascii="Arial" w:cs="Arial" w:eastAsia="Arial" w:hAnsi="Arial"/>
          <w:sz w:val="18"/>
          <w:szCs w:val="18"/>
          <w:color w:val="auto"/>
        </w:rPr>
        <w: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right="560"/>
        <w:spacing w:after="0" w:line="293" w:lineRule="auto"/>
        <w:rPr>
          <w:sz w:val="20"/>
          <w:szCs w:val="20"/>
          <w:color w:val="auto"/>
        </w:rPr>
      </w:pPr>
      <w:r>
        <w:rPr>
          <w:rFonts w:ascii="Arial" w:cs="Arial" w:eastAsia="Arial" w:hAnsi="Arial"/>
          <w:sz w:val="12"/>
          <w:szCs w:val="12"/>
          <w:b w:val="1"/>
          <w:bCs w:val="1"/>
          <w:color w:val="6E2D91"/>
        </w:rPr>
        <w:t xml:space="preserve">LuatViet </w:t>
      </w:r>
      <w:r>
        <w:rPr>
          <w:rFonts w:ascii="Arial" w:cs="Arial" w:eastAsia="Arial" w:hAnsi="Arial"/>
          <w:sz w:val="10"/>
          <w:szCs w:val="10"/>
          <w:b w:val="1"/>
          <w:bCs w:val="1"/>
          <w:color w:val="6E2D91"/>
        </w:rPr>
        <w:t>►</w:t>
      </w:r>
      <w:r>
        <w:rPr>
          <w:rFonts w:ascii="Arial" w:cs="Arial" w:eastAsia="Arial" w:hAnsi="Arial"/>
          <w:sz w:val="12"/>
          <w:szCs w:val="12"/>
          <w:b w:val="1"/>
          <w:bCs w:val="1"/>
          <w:color w:val="6E2D91"/>
        </w:rPr>
        <w:t xml:space="preserve"> Fernanda Lopes &amp; Associados </w:t>
      </w:r>
      <w:r>
        <w:rPr>
          <w:rFonts w:ascii="Arial" w:cs="Arial" w:eastAsia="Arial" w:hAnsi="Arial"/>
          <w:sz w:val="10"/>
          <w:szCs w:val="10"/>
          <w:b w:val="1"/>
          <w:bCs w:val="1"/>
          <w:color w:val="6E2D91"/>
        </w:rPr>
        <w:t>►</w:t>
      </w:r>
      <w:r>
        <w:rPr>
          <w:rFonts w:ascii="Arial" w:cs="Arial" w:eastAsia="Arial" w:hAnsi="Arial"/>
          <w:sz w:val="12"/>
          <w:szCs w:val="12"/>
          <w:b w:val="1"/>
          <w:bCs w:val="1"/>
          <w:color w:val="6E2D91"/>
        </w:rPr>
        <w:t xml:space="preserve"> Guevara &amp; Gutierrez </w:t>
      </w:r>
      <w:r>
        <w:rPr>
          <w:rFonts w:ascii="Arial" w:cs="Arial" w:eastAsia="Arial" w:hAnsi="Arial"/>
          <w:sz w:val="10"/>
          <w:szCs w:val="10"/>
          <w:b w:val="1"/>
          <w:bCs w:val="1"/>
          <w:color w:val="6E2D91"/>
        </w:rPr>
        <w:t>►</w:t>
      </w:r>
      <w:r>
        <w:rPr>
          <w:rFonts w:ascii="Arial" w:cs="Arial" w:eastAsia="Arial" w:hAnsi="Arial"/>
          <w:sz w:val="12"/>
          <w:szCs w:val="12"/>
          <w:b w:val="1"/>
          <w:bCs w:val="1"/>
          <w:color w:val="6E2D91"/>
        </w:rPr>
        <w:t xml:space="preserve"> Paz Horowitz Abogados </w:t>
      </w:r>
      <w:r>
        <w:rPr>
          <w:rFonts w:ascii="Arial" w:cs="Arial" w:eastAsia="Arial" w:hAnsi="Arial"/>
          <w:sz w:val="10"/>
          <w:szCs w:val="10"/>
          <w:b w:val="1"/>
          <w:bCs w:val="1"/>
          <w:color w:val="6E2D91"/>
        </w:rPr>
        <w:t>►</w:t>
      </w:r>
      <w:r>
        <w:rPr>
          <w:rFonts w:ascii="Arial" w:cs="Arial" w:eastAsia="Arial" w:hAnsi="Arial"/>
          <w:sz w:val="12"/>
          <w:szCs w:val="12"/>
          <w:b w:val="1"/>
          <w:bCs w:val="1"/>
          <w:color w:val="6E2D91"/>
        </w:rPr>
        <w:t xml:space="preserve"> Sirote </w:t>
      </w:r>
      <w:r>
        <w:rPr>
          <w:rFonts w:ascii="Arial" w:cs="Arial" w:eastAsia="Arial" w:hAnsi="Arial"/>
          <w:sz w:val="10"/>
          <w:szCs w:val="10"/>
          <w:b w:val="1"/>
          <w:bCs w:val="1"/>
          <w:color w:val="6E2D91"/>
        </w:rPr>
        <w:t>►</w:t>
      </w:r>
      <w:r>
        <w:rPr>
          <w:rFonts w:ascii="Arial" w:cs="Arial" w:eastAsia="Arial" w:hAnsi="Arial"/>
          <w:sz w:val="12"/>
          <w:szCs w:val="12"/>
          <w:b w:val="1"/>
          <w:bCs w:val="1"/>
          <w:color w:val="6E2D91"/>
        </w:rPr>
        <w:t xml:space="preserve"> Adepetun Caxton-Martins Agbor &amp; Segun </w:t>
      </w:r>
      <w:r>
        <w:rPr>
          <w:rFonts w:ascii="Arial" w:cs="Arial" w:eastAsia="Arial" w:hAnsi="Arial"/>
          <w:sz w:val="10"/>
          <w:szCs w:val="10"/>
          <w:b w:val="1"/>
          <w:bCs w:val="1"/>
          <w:color w:val="6E2D91"/>
        </w:rPr>
        <w:t>►</w:t>
      </w:r>
      <w:r>
        <w:rPr>
          <w:rFonts w:ascii="Arial" w:cs="Arial" w:eastAsia="Arial" w:hAnsi="Arial"/>
          <w:sz w:val="12"/>
          <w:szCs w:val="12"/>
          <w:b w:val="1"/>
          <w:bCs w:val="1"/>
          <w:color w:val="6E2D91"/>
        </w:rPr>
        <w:t xml:space="preserve"> Davis Brown </w:t>
      </w:r>
      <w:r>
        <w:rPr>
          <w:rFonts w:ascii="Arial" w:cs="Arial" w:eastAsia="Arial" w:hAnsi="Arial"/>
          <w:sz w:val="10"/>
          <w:szCs w:val="10"/>
          <w:b w:val="1"/>
          <w:bCs w:val="1"/>
          <w:color w:val="6E2D91"/>
        </w:rPr>
        <w:t>►</w:t>
      </w:r>
      <w:r>
        <w:rPr>
          <w:rFonts w:ascii="Arial" w:cs="Arial" w:eastAsia="Arial" w:hAnsi="Arial"/>
          <w:sz w:val="12"/>
          <w:szCs w:val="12"/>
          <w:b w:val="1"/>
          <w:bCs w:val="1"/>
          <w:color w:val="6E2D91"/>
        </w:rPr>
        <w:t xml:space="preserve"> East African Law Chambers </w:t>
      </w:r>
      <w:r>
        <w:rPr>
          <w:rFonts w:ascii="Arial" w:cs="Arial" w:eastAsia="Arial" w:hAnsi="Arial"/>
          <w:sz w:val="10"/>
          <w:szCs w:val="10"/>
          <w:b w:val="1"/>
          <w:bCs w:val="1"/>
          <w:color w:val="6E2D91"/>
        </w:rPr>
        <w:t>►</w:t>
      </w:r>
      <w:r>
        <w:rPr>
          <w:rFonts w:ascii="Arial" w:cs="Arial" w:eastAsia="Arial" w:hAnsi="Arial"/>
          <w:sz w:val="12"/>
          <w:szCs w:val="12"/>
          <w:b w:val="1"/>
          <w:bCs w:val="1"/>
          <w:color w:val="6E2D91"/>
        </w:rPr>
        <w:t xml:space="preserve"> Eric Silwamba, Jalasi and Linyama </w:t>
      </w:r>
      <w:r>
        <w:rPr>
          <w:rFonts w:ascii="Arial" w:cs="Arial" w:eastAsia="Arial" w:hAnsi="Arial"/>
          <w:sz w:val="10"/>
          <w:szCs w:val="10"/>
          <w:b w:val="1"/>
          <w:bCs w:val="1"/>
          <w:color w:val="6E2D91"/>
        </w:rPr>
        <w:t>►</w:t>
      </w:r>
      <w:r>
        <w:rPr>
          <w:rFonts w:ascii="Arial" w:cs="Arial" w:eastAsia="Arial" w:hAnsi="Arial"/>
          <w:sz w:val="12"/>
          <w:szCs w:val="12"/>
          <w:b w:val="1"/>
          <w:bCs w:val="1"/>
          <w:color w:val="6E2D91"/>
        </w:rPr>
        <w:t xml:space="preserve"> Durham Jones &amp; Pinegar </w:t>
      </w:r>
      <w:r>
        <w:rPr>
          <w:rFonts w:ascii="Arial" w:cs="Arial" w:eastAsia="Arial" w:hAnsi="Arial"/>
          <w:sz w:val="10"/>
          <w:szCs w:val="10"/>
          <w:b w:val="1"/>
          <w:bCs w:val="1"/>
          <w:color w:val="6E2D91"/>
        </w:rPr>
        <w:t>►</w:t>
      </w:r>
      <w:r>
        <w:rPr>
          <w:rFonts w:ascii="Arial" w:cs="Arial" w:eastAsia="Arial" w:hAnsi="Arial"/>
          <w:sz w:val="12"/>
          <w:szCs w:val="12"/>
          <w:b w:val="1"/>
          <w:bCs w:val="1"/>
          <w:color w:val="6E2D91"/>
        </w:rPr>
        <w:t xml:space="preserve"> LEAD Advogados </w:t>
      </w:r>
      <w:r>
        <w:rPr>
          <w:rFonts w:ascii="Arial" w:cs="Arial" w:eastAsia="Arial" w:hAnsi="Arial"/>
          <w:sz w:val="10"/>
          <w:szCs w:val="10"/>
          <w:b w:val="1"/>
          <w:bCs w:val="1"/>
          <w:color w:val="6E2D91"/>
        </w:rPr>
        <w:t>►</w:t>
      </w:r>
      <w:r>
        <w:rPr>
          <w:rFonts w:ascii="Arial" w:cs="Arial" w:eastAsia="Arial" w:hAnsi="Arial"/>
          <w:sz w:val="12"/>
          <w:szCs w:val="12"/>
          <w:b w:val="1"/>
          <w:bCs w:val="1"/>
          <w:color w:val="6E2D91"/>
        </w:rPr>
        <w:t xml:space="preserve"> For more information on the firms that have come together to form Dentons, go to dentons.com/legacyfirms</w:t>
      </w:r>
    </w:p>
    <w:p>
      <w:pPr>
        <w:sectPr>
          <w:pgSz w:w="11900" w:h="16838" w:orient="portrait"/>
          <w:cols w:equalWidth="0" w:num="1">
            <w:col w:w="11240"/>
          </w:cols>
          <w:pgMar w:left="320" w:top="533" w:right="339" w:bottom="1440" w:gutter="0" w:footer="0" w:header="0"/>
        </w:sectPr>
      </w:pPr>
    </w:p>
    <w:bookmarkStart w:id="50" w:name="page51"/>
    <w:bookmarkEnd w:id="50"/>
    <w:p>
      <w:pPr>
        <w:ind w:left="1052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215265</wp:posOffset>
            </wp:positionH>
            <wp:positionV relativeFrom="page">
              <wp:posOffset>130810</wp:posOffset>
            </wp:positionV>
            <wp:extent cx="1289050" cy="2444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289050" cy="244475"/>
                    </a:xfrm>
                    <a:prstGeom prst="rect">
                      <a:avLst/>
                    </a:prstGeom>
                    <a:noFill/>
                  </pic:spPr>
                </pic:pic>
              </a:graphicData>
            </a:graphic>
          </wp:anchor>
        </w:drawing>
        <w:t>dentons.com</w:t>
      </w:r>
    </w:p>
    <w:p>
      <w:pPr>
        <w:spacing w:after="0" w:line="26" w:lineRule="exact"/>
        <w:rPr>
          <w:sz w:val="20"/>
          <w:szCs w:val="20"/>
          <w:color w:val="auto"/>
        </w:rPr>
      </w:pPr>
    </w:p>
    <w:p>
      <w:pPr>
        <w:ind w:left="3440"/>
        <w:spacing w:after="0"/>
        <w:rPr>
          <w:sz w:val="20"/>
          <w:szCs w:val="20"/>
          <w:color w:val="auto"/>
        </w:rPr>
      </w:pPr>
      <w:r>
        <w:rPr>
          <w:rFonts w:ascii="Arial" w:cs="Arial" w:eastAsia="Arial" w:hAnsi="Arial"/>
          <w:sz w:val="12"/>
          <w:szCs w:val="12"/>
          <w:color w:val="auto"/>
        </w:rPr>
        <w:t>August 29, 2022</w:t>
      </w:r>
    </w:p>
    <w:p>
      <w:pPr>
        <w:spacing w:after="0" w:line="30" w:lineRule="exact"/>
        <w:rPr>
          <w:sz w:val="20"/>
          <w:szCs w:val="20"/>
          <w:color w:val="auto"/>
        </w:rPr>
      </w:pPr>
    </w:p>
    <w:p>
      <w:pPr>
        <w:ind w:left="3440"/>
        <w:spacing w:after="0"/>
        <w:rPr>
          <w:sz w:val="20"/>
          <w:szCs w:val="20"/>
          <w:color w:val="auto"/>
        </w:rPr>
      </w:pPr>
      <w:r>
        <w:rPr>
          <w:rFonts w:ascii="Arial" w:cs="Arial" w:eastAsia="Arial" w:hAnsi="Arial"/>
          <w:sz w:val="12"/>
          <w:szCs w:val="12"/>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corporate records of the Company, including minute books of the Company, as furnished to us by the Company, certificates of public officials and of representatives of the Company, statutes and other instruments and documents as a basis for the opinions hereinafter expressed. In giving such opinions, we have relied upon certificates of officers of the Company and of public officials with respect to the accuracy of the material factual matters contained in such certificates. In giving the opinions below, we have assumed, without independent investigation, that the signatures on all documents examined by us are genuine, that all documents submitted to us as originals are accurate and complete, that all documents submitted to us as copies are true and correct copies of the originals thereof and that all information submitted to us was accurate and complete. In connection with this opinion, we also have assumed that:</w:t>
      </w:r>
    </w:p>
    <w:p>
      <w:pPr>
        <w:spacing w:after="0" w:line="191" w:lineRule="exact"/>
        <w:rPr>
          <w:sz w:val="20"/>
          <w:szCs w:val="20"/>
          <w:color w:val="auto"/>
        </w:rPr>
      </w:pPr>
    </w:p>
    <w:p>
      <w:pPr>
        <w:ind w:left="960" w:hanging="636"/>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Registration Statement and any amendments thereto will have become effective under the Act;</w:t>
      </w:r>
    </w:p>
    <w:p>
      <w:pPr>
        <w:spacing w:after="0" w:line="244" w:lineRule="exact"/>
        <w:rPr>
          <w:rFonts w:ascii="Arial" w:cs="Arial" w:eastAsia="Arial" w:hAnsi="Arial"/>
          <w:sz w:val="18"/>
          <w:szCs w:val="18"/>
          <w:color w:val="auto"/>
        </w:rPr>
      </w:pPr>
    </w:p>
    <w:p>
      <w:pPr>
        <w:ind w:left="960" w:hanging="636"/>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prospectus supplement will have been prepared and filed with the Commission describing the Securities offered thereby;</w:t>
      </w:r>
    </w:p>
    <w:p>
      <w:pPr>
        <w:spacing w:after="0" w:line="230" w:lineRule="exact"/>
        <w:rPr>
          <w:rFonts w:ascii="Arial" w:cs="Arial" w:eastAsia="Arial" w:hAnsi="Arial"/>
          <w:sz w:val="18"/>
          <w:szCs w:val="18"/>
          <w:color w:val="auto"/>
        </w:rPr>
      </w:pPr>
    </w:p>
    <w:p>
      <w:pPr>
        <w:jc w:val="both"/>
        <w:ind w:left="960" w:hanging="636"/>
        <w:spacing w:after="0" w:line="291" w:lineRule="auto"/>
        <w:tabs>
          <w:tab w:leader="none" w:pos="954"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Primary Shares and the New Secondary Shares will be offered, issued and sold, and the Existing Secondary Shares will be offered and sold, in compliance with applicable securities laws and in the manner stated in the Registration Statement and the applicable prospectus supplement;</w:t>
      </w:r>
    </w:p>
    <w:p>
      <w:pPr>
        <w:spacing w:after="0" w:line="160" w:lineRule="exact"/>
        <w:rPr>
          <w:rFonts w:ascii="Arial" w:cs="Arial" w:eastAsia="Arial" w:hAnsi="Arial"/>
          <w:sz w:val="18"/>
          <w:szCs w:val="18"/>
          <w:color w:val="auto"/>
        </w:rPr>
      </w:pPr>
    </w:p>
    <w:p>
      <w:pPr>
        <w:jc w:val="both"/>
        <w:ind w:left="960" w:hanging="636"/>
        <w:spacing w:after="0" w:line="280" w:lineRule="auto"/>
        <w:tabs>
          <w:tab w:leader="none" w:pos="950"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the Board of Directors of the Company or, to the extent permitted by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(British Columbia) (the “</w:t>
      </w:r>
      <w:r>
        <w:rPr>
          <w:rFonts w:ascii="Arial" w:cs="Arial" w:eastAsia="Arial" w:hAnsi="Arial"/>
          <w:sz w:val="18"/>
          <w:szCs w:val="18"/>
          <w:b w:val="1"/>
          <w:bCs w:val="1"/>
          <w:color w:val="auto"/>
        </w:rPr>
        <w:t>BCA</w:t>
      </w:r>
      <w:r>
        <w:rPr>
          <w:rFonts w:ascii="Arial" w:cs="Arial" w:eastAsia="Arial" w:hAnsi="Arial"/>
          <w:sz w:val="18"/>
          <w:szCs w:val="18"/>
          <w:color w:val="auto"/>
        </w:rPr>
        <w:t>”) and the Charter Documents, a duly constituted and acting committee thereof (such Board of Directors or committee thereof being hereinafter referred to as the “</w:t>
      </w:r>
      <w:r>
        <w:rPr>
          <w:rFonts w:ascii="Arial" w:cs="Arial" w:eastAsia="Arial" w:hAnsi="Arial"/>
          <w:sz w:val="18"/>
          <w:szCs w:val="18"/>
          <w:b w:val="1"/>
          <w:bCs w:val="1"/>
          <w:color w:val="auto"/>
        </w:rPr>
        <w:t>Board</w:t>
      </w:r>
      <w:r>
        <w:rPr>
          <w:rFonts w:ascii="Arial" w:cs="Arial" w:eastAsia="Arial" w:hAnsi="Arial"/>
          <w:sz w:val="18"/>
          <w:szCs w:val="18"/>
          <w:color w:val="auto"/>
        </w:rPr>
        <w:t>”) will have taken all necessary corporate action to authorize the issuance of the Primary Shares and any other securities issuable on the conversion, exchange, redemption or exercise thereof, and to authorize the terms of the offering and sale of such securities and related matters;</w:t>
      </w:r>
    </w:p>
    <w:p>
      <w:pPr>
        <w:spacing w:after="0" w:line="187" w:lineRule="exact"/>
        <w:rPr>
          <w:rFonts w:ascii="Arial" w:cs="Arial" w:eastAsia="Arial" w:hAnsi="Arial"/>
          <w:sz w:val="18"/>
          <w:szCs w:val="18"/>
          <w:color w:val="auto"/>
        </w:rPr>
      </w:pPr>
    </w:p>
    <w:p>
      <w:pPr>
        <w:jc w:val="both"/>
        <w:ind w:left="960" w:hanging="636"/>
        <w:spacing w:after="0" w:line="289" w:lineRule="auto"/>
        <w:tabs>
          <w:tab w:leader="none" w:pos="95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definitive purchase, underwriting or similar agreement with respect to any Securities being offered will have been duly authorized and validly executed and delivered by the Company, the Selling Shareholders (if applicable), and the other parties thereto (the “</w:t>
      </w:r>
      <w:r>
        <w:rPr>
          <w:rFonts w:ascii="Arial" w:cs="Arial" w:eastAsia="Arial" w:hAnsi="Arial"/>
          <w:sz w:val="18"/>
          <w:szCs w:val="18"/>
          <w:b w:val="1"/>
          <w:bCs w:val="1"/>
          <w:color w:val="auto"/>
        </w:rPr>
        <w:t>Purchase Agreement</w:t>
      </w:r>
      <w:r>
        <w:rPr>
          <w:rFonts w:ascii="Arial" w:cs="Arial" w:eastAsia="Arial" w:hAnsi="Arial"/>
          <w:sz w:val="18"/>
          <w:szCs w:val="18"/>
          <w:color w:val="auto"/>
        </w:rPr>
        <w:t>”);</w:t>
      </w:r>
    </w:p>
    <w:p>
      <w:pPr>
        <w:spacing w:after="0" w:line="167" w:lineRule="exact"/>
        <w:rPr>
          <w:rFonts w:ascii="Arial" w:cs="Arial" w:eastAsia="Arial" w:hAnsi="Arial"/>
          <w:sz w:val="18"/>
          <w:szCs w:val="18"/>
          <w:color w:val="auto"/>
        </w:rPr>
      </w:pPr>
    </w:p>
    <w:p>
      <w:pPr>
        <w:ind w:left="960" w:hanging="636"/>
        <w:spacing w:after="0" w:line="305" w:lineRule="auto"/>
        <w:tabs>
          <w:tab w:leader="none" w:pos="954"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securities issuable upon conversion, exchange, redemption or exercise of any Primary Shares being offered will have been duly authorized, created and, if appropriate, reserved for issuance upon such conversion, exchange, redemption or exercise;</w:t>
      </w:r>
    </w:p>
    <w:p>
      <w:pPr>
        <w:spacing w:after="0" w:line="163" w:lineRule="exact"/>
        <w:rPr>
          <w:rFonts w:ascii="Arial" w:cs="Arial" w:eastAsia="Arial" w:hAnsi="Arial"/>
          <w:sz w:val="18"/>
          <w:szCs w:val="18"/>
          <w:color w:val="auto"/>
        </w:rPr>
      </w:pPr>
    </w:p>
    <w:p>
      <w:pPr>
        <w:jc w:val="both"/>
        <w:ind w:left="960" w:hanging="636"/>
        <w:spacing w:after="0" w:line="283" w:lineRule="auto"/>
        <w:tabs>
          <w:tab w:leader="none" w:pos="95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Securities, and any certificates in respect thereof, will be delivered either (i) in accordance with the provisions of the applicable Purchase Agreement approved by the Board upon payment of the consideration therefor provided for therein, or (ii) upon conversion, exchange, redemption or exercise of any other security, in accordance with the terms of such security or</w:t>
      </w:r>
    </w:p>
    <w:p>
      <w:pPr>
        <w:sectPr>
          <w:pgSz w:w="11900" w:h="16838" w:orient="portrait"/>
          <w:cols w:equalWidth="0" w:num="1">
            <w:col w:w="11240"/>
          </w:cols>
          <w:pgMar w:left="320" w:top="506" w:right="339" w:bottom="1440" w:gutter="0" w:footer="0" w:header="0"/>
        </w:sectPr>
      </w:pPr>
    </w:p>
    <w:bookmarkStart w:id="51" w:name="page52"/>
    <w:bookmarkEnd w:id="51"/>
    <w:p>
      <w:pPr>
        <w:ind w:left="1052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215265</wp:posOffset>
            </wp:positionH>
            <wp:positionV relativeFrom="page">
              <wp:posOffset>130810</wp:posOffset>
            </wp:positionV>
            <wp:extent cx="1289050" cy="2444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289050" cy="244475"/>
                    </a:xfrm>
                    <a:prstGeom prst="rect">
                      <a:avLst/>
                    </a:prstGeom>
                    <a:noFill/>
                  </pic:spPr>
                </pic:pic>
              </a:graphicData>
            </a:graphic>
          </wp:anchor>
        </w:drawing>
        <w:t>dentons.com</w:t>
      </w:r>
    </w:p>
    <w:p>
      <w:pPr>
        <w:spacing w:after="0" w:line="26" w:lineRule="exact"/>
        <w:rPr>
          <w:sz w:val="20"/>
          <w:szCs w:val="20"/>
          <w:color w:val="auto"/>
        </w:rPr>
      </w:pPr>
    </w:p>
    <w:p>
      <w:pPr>
        <w:ind w:left="3440"/>
        <w:spacing w:after="0"/>
        <w:rPr>
          <w:sz w:val="20"/>
          <w:szCs w:val="20"/>
          <w:color w:val="auto"/>
        </w:rPr>
      </w:pPr>
      <w:r>
        <w:rPr>
          <w:rFonts w:ascii="Arial" w:cs="Arial" w:eastAsia="Arial" w:hAnsi="Arial"/>
          <w:sz w:val="12"/>
          <w:szCs w:val="12"/>
          <w:color w:val="auto"/>
        </w:rPr>
        <w:t>August 29, 2022</w:t>
      </w:r>
    </w:p>
    <w:p>
      <w:pPr>
        <w:spacing w:after="0" w:line="30" w:lineRule="exact"/>
        <w:rPr>
          <w:sz w:val="20"/>
          <w:szCs w:val="20"/>
          <w:color w:val="auto"/>
        </w:rPr>
      </w:pPr>
    </w:p>
    <w:p>
      <w:pPr>
        <w:ind w:left="3440"/>
        <w:spacing w:after="0"/>
        <w:rPr>
          <w:sz w:val="20"/>
          <w:szCs w:val="20"/>
          <w:color w:val="auto"/>
        </w:rPr>
      </w:pPr>
      <w:r>
        <w:rPr>
          <w:rFonts w:ascii="Arial" w:cs="Arial" w:eastAsia="Arial" w:hAnsi="Arial"/>
          <w:sz w:val="12"/>
          <w:szCs w:val="12"/>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960"/>
        <w:spacing w:after="0" w:line="305" w:lineRule="auto"/>
        <w:rPr>
          <w:sz w:val="20"/>
          <w:szCs w:val="20"/>
          <w:color w:val="auto"/>
        </w:rPr>
      </w:pPr>
      <w:r>
        <w:rPr>
          <w:rFonts w:ascii="Arial" w:cs="Arial" w:eastAsia="Arial" w:hAnsi="Arial"/>
          <w:sz w:val="18"/>
          <w:szCs w:val="18"/>
          <w:color w:val="auto"/>
        </w:rPr>
        <w:t>the instrument governing such security providing for such conversion, exchange, redemption or exercise as approved by the Board, for the consideration approved by the Board;</w:t>
      </w:r>
    </w:p>
    <w:p>
      <w:pPr>
        <w:spacing w:after="0" w:line="150" w:lineRule="exact"/>
        <w:rPr>
          <w:sz w:val="20"/>
          <w:szCs w:val="20"/>
          <w:color w:val="auto"/>
        </w:rPr>
      </w:pPr>
    </w:p>
    <w:p>
      <w:pPr>
        <w:jc w:val="both"/>
        <w:ind w:left="960" w:hanging="636"/>
        <w:spacing w:after="0" w:line="279" w:lineRule="auto"/>
        <w:tabs>
          <w:tab w:leader="none" w:pos="95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the case of Primary Shares and New Secondary Shares, (i) certificates representing such shares will have been duly executed, countersigned, registered and delivered, or if uncertificated, valid book-entry notations will have been made in the share register of the Company, in each case in accordance with the provisions of the Charter Documents, (ii) there will be sufficient Common Shares or Preferred Shares authorized under the Charter Documents and not otherwise issued or reserved for issuance, and (iii) the purchase price therefor payable to the Company or, if such shares are issuable on the conversion, exchange, redemption or exercise of another security, the consideration payable to the Company for such conversion, exchange, redemption or exercise will not be less than the issue price as approved by the Board with respect to such issuance; and</w:t>
      </w:r>
    </w:p>
    <w:p>
      <w:pPr>
        <w:spacing w:after="0" w:line="172" w:lineRule="exact"/>
        <w:rPr>
          <w:rFonts w:ascii="Arial" w:cs="Arial" w:eastAsia="Arial" w:hAnsi="Arial"/>
          <w:sz w:val="18"/>
          <w:szCs w:val="18"/>
          <w:color w:val="auto"/>
        </w:rPr>
      </w:pPr>
    </w:p>
    <w:p>
      <w:pPr>
        <w:ind w:left="960" w:hanging="636"/>
        <w:spacing w:after="0" w:line="305" w:lineRule="auto"/>
        <w:tabs>
          <w:tab w:leader="none" w:pos="958"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the case of Preferred Shares of any series, the Board will have taken all necessary corporate action to designate and establish the terms of such series.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On the basis of the foregoing, and subject to the assumptions, limitations and qualifications set forth herein, we are of the opinion that:</w:t>
      </w:r>
    </w:p>
    <w:p>
      <w:pPr>
        <w:spacing w:after="0" w:line="231" w:lineRule="exact"/>
        <w:rPr>
          <w:sz w:val="20"/>
          <w:szCs w:val="20"/>
          <w:color w:val="auto"/>
        </w:rPr>
      </w:pPr>
    </w:p>
    <w:p>
      <w:pPr>
        <w:ind w:left="960" w:hanging="636"/>
        <w:spacing w:after="0" w:line="305" w:lineRule="auto"/>
        <w:tabs>
          <w:tab w:leader="none" w:pos="948"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Common Shares and the Preferred Shares included in the Securities, when issued, will have been duly authorized by all necessary corporate action on the part of the Company and validly issued and will be fully paid and non-assessable.</w:t>
      </w:r>
    </w:p>
    <w:p>
      <w:pPr>
        <w:spacing w:after="0" w:line="163" w:lineRule="exact"/>
        <w:rPr>
          <w:rFonts w:ascii="Arial" w:cs="Arial" w:eastAsia="Arial" w:hAnsi="Arial"/>
          <w:sz w:val="18"/>
          <w:szCs w:val="18"/>
          <w:color w:val="auto"/>
        </w:rPr>
      </w:pPr>
    </w:p>
    <w:p>
      <w:pPr>
        <w:ind w:left="960" w:hanging="636"/>
        <w:spacing w:after="0" w:line="305" w:lineRule="auto"/>
        <w:tabs>
          <w:tab w:leader="none" w:pos="948"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New Secondary Shares, when issued, will have been duly authorized by all necessary corporate action on the part of the Company and validly issued and will be fully paid and non-assessable.</w:t>
      </w:r>
    </w:p>
    <w:p>
      <w:pPr>
        <w:spacing w:after="0" w:line="150" w:lineRule="exact"/>
        <w:rPr>
          <w:rFonts w:ascii="Arial" w:cs="Arial" w:eastAsia="Arial" w:hAnsi="Arial"/>
          <w:sz w:val="18"/>
          <w:szCs w:val="18"/>
          <w:color w:val="auto"/>
        </w:rPr>
      </w:pPr>
    </w:p>
    <w:p>
      <w:pPr>
        <w:ind w:left="960" w:hanging="636"/>
        <w:spacing w:after="0" w:line="305" w:lineRule="auto"/>
        <w:tabs>
          <w:tab w:leader="none" w:pos="948"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Existing Secondary Shares have been duly authorized by all necessary corporate action on the part of the Company and validly issued and are fully paid and non-assessable.</w:t>
      </w:r>
    </w:p>
    <w:p>
      <w:pPr>
        <w:spacing w:after="0" w:line="164"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The opinions set forth above are limited in all respects to matters of the laws of the Province of British Columbia and the federal laws of Canada applicable therein. We hereby consent to the filing of this opinion of counsel as Exhibit 5.1 to the Registration Statement. We also consent to the reference to our Firm under the heading “Legal Matters” in the prospectus forming a part of the Registration Statement. In giving this consent, we do not hereby admit that we are in the category of persons whose consent is required under Section 7 of the Act or the rules and regulations of the Commission thereunder.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Yours truly,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Dentons Canada LLP</w:t>
      </w:r>
    </w:p>
    <w:p>
      <w:pPr>
        <w:sectPr>
          <w:pgSz w:w="11900" w:h="16838" w:orient="portrait"/>
          <w:cols w:equalWidth="0" w:num="1">
            <w:col w:w="11240"/>
          </w:cols>
          <w:pgMar w:left="320" w:top="506" w:right="339" w:bottom="1440" w:gutter="0" w:footer="0" w:header="0"/>
        </w:sectPr>
      </w:pPr>
    </w:p>
    <w:bookmarkStart w:id="52" w:name="page53"/>
    <w:bookmarkEnd w:id="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240665</wp:posOffset>
            </wp:positionV>
            <wp:extent cx="5517515" cy="5562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5517515" cy="556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August 29, 2022</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Civeo Corporation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Three Allen Center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333 Clay Street, Suite 4980</w:t>
      </w:r>
    </w:p>
    <w:p>
      <w:pPr>
        <w:spacing w:after="0"/>
        <w:rPr>
          <w:sz w:val="20"/>
          <w:szCs w:val="20"/>
          <w:color w:val="auto"/>
        </w:rPr>
      </w:pPr>
      <w:r>
        <w:rPr>
          <w:rFonts w:ascii="Times New Roman" w:cs="Times New Roman" w:eastAsia="Times New Roman" w:hAnsi="Times New Roman"/>
          <w:sz w:val="21"/>
          <w:szCs w:val="21"/>
          <w:color w:val="auto"/>
        </w:rPr>
        <w:t>Houston, Texas 77002</w:t>
      </w:r>
    </w:p>
    <w:p>
      <w:pPr>
        <w:spacing w:after="0" w:line="167"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1"/>
          <w:szCs w:val="21"/>
          <w:color w:val="auto"/>
        </w:rPr>
        <w:t>Re:</w:t>
        <w:tab/>
        <w:t>Civeo Corporation</w:t>
      </w:r>
    </w:p>
    <w:p>
      <w:pPr>
        <w:ind w:left="640"/>
        <w:spacing w:after="0"/>
        <w:rPr>
          <w:sz w:val="20"/>
          <w:szCs w:val="20"/>
          <w:color w:val="auto"/>
        </w:rPr>
      </w:pPr>
      <w:r>
        <w:rPr>
          <w:rFonts w:ascii="Times New Roman" w:cs="Times New Roman" w:eastAsia="Times New Roman" w:hAnsi="Times New Roman"/>
          <w:sz w:val="21"/>
          <w:szCs w:val="21"/>
          <w:color w:val="auto"/>
        </w:rPr>
        <w:t>Registration Statement on Form S-3</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Ladies and Gentlemen:</w:t>
      </w:r>
    </w:p>
    <w:p>
      <w:pPr>
        <w:spacing w:after="0" w:line="183" w:lineRule="exact"/>
        <w:rPr>
          <w:sz w:val="20"/>
          <w:szCs w:val="20"/>
          <w:color w:val="auto"/>
        </w:rPr>
      </w:pPr>
    </w:p>
    <w:p>
      <w:pPr>
        <w:ind w:right="40"/>
        <w:spacing w:after="0" w:line="223" w:lineRule="auto"/>
        <w:rPr>
          <w:sz w:val="20"/>
          <w:szCs w:val="20"/>
          <w:color w:val="auto"/>
        </w:rPr>
      </w:pPr>
      <w:r>
        <w:rPr>
          <w:rFonts w:ascii="Times New Roman" w:cs="Times New Roman" w:eastAsia="Times New Roman" w:hAnsi="Times New Roman"/>
          <w:sz w:val="21"/>
          <w:szCs w:val="21"/>
          <w:color w:val="auto"/>
        </w:rPr>
        <w:t>We have acted as counsel to Civeo Corporation, a British Columbia, Canada limited company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in connection with the preparation and filing with the Securities and Exchange Commission (the “</w:t>
      </w:r>
      <w:r>
        <w:rPr>
          <w:rFonts w:ascii="Times New Roman" w:cs="Times New Roman" w:eastAsia="Times New Roman" w:hAnsi="Times New Roman"/>
          <w:sz w:val="21"/>
          <w:szCs w:val="21"/>
          <w:u w:val="single" w:color="auto"/>
          <w:color w:val="auto"/>
        </w:rPr>
        <w:t>Commission</w:t>
      </w:r>
      <w:r>
        <w:rPr>
          <w:rFonts w:ascii="Times New Roman" w:cs="Times New Roman" w:eastAsia="Times New Roman" w:hAnsi="Times New Roman"/>
          <w:sz w:val="21"/>
          <w:szCs w:val="21"/>
          <w:color w:val="auto"/>
        </w:rPr>
        <w:t>”) of a Registration Statement on Form S-3 (the “</w:t>
      </w:r>
      <w:r>
        <w:rPr>
          <w:rFonts w:ascii="Times New Roman" w:cs="Times New Roman" w:eastAsia="Times New Roman" w:hAnsi="Times New Roman"/>
          <w:sz w:val="21"/>
          <w:szCs w:val="21"/>
          <w:u w:val="single" w:color="auto"/>
          <w:color w:val="auto"/>
        </w:rPr>
        <w:t>Registration Statement</w:t>
      </w:r>
      <w:r>
        <w:rPr>
          <w:rFonts w:ascii="Times New Roman" w:cs="Times New Roman" w:eastAsia="Times New Roman" w:hAnsi="Times New Roman"/>
          <w:sz w:val="21"/>
          <w:szCs w:val="21"/>
          <w:color w:val="auto"/>
        </w:rPr>
        <w:t>”) under the Securities Act of 1933, as amended (the “</w:t>
      </w:r>
      <w:r>
        <w:rPr>
          <w:rFonts w:ascii="Times New Roman" w:cs="Times New Roman" w:eastAsia="Times New Roman" w:hAnsi="Times New Roman"/>
          <w:sz w:val="21"/>
          <w:szCs w:val="21"/>
          <w:u w:val="single" w:color="auto"/>
          <w:color w:val="auto"/>
        </w:rPr>
        <w:t>Securities Act</w:t>
      </w:r>
      <w:r>
        <w:rPr>
          <w:rFonts w:ascii="Times New Roman" w:cs="Times New Roman" w:eastAsia="Times New Roman" w:hAnsi="Times New Roman"/>
          <w:sz w:val="21"/>
          <w:szCs w:val="21"/>
          <w:color w:val="auto"/>
        </w:rPr>
        <w:t>”), relating to the registration under the Securities Act and the proposed issuance and sale by the Company from time to time pursuant to Rule 415 under the Securities Act, together or separately and in one or more series (if applicable) of:</w:t>
      </w:r>
    </w:p>
    <w:p>
      <w:pPr>
        <w:spacing w:after="0" w:line="152" w:lineRule="exact"/>
        <w:rPr>
          <w:sz w:val="20"/>
          <w:szCs w:val="20"/>
          <w:color w:val="auto"/>
        </w:rPr>
      </w:pPr>
    </w:p>
    <w:p>
      <w:pPr>
        <w:ind w:right="100" w:firstLine="1280"/>
        <w:spacing w:after="0" w:line="232" w:lineRule="auto"/>
        <w:tabs>
          <w:tab w:leader="none" w:pos="1686"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Company’s unsecured debt securities, which may either be senior debt securities (“</w:t>
      </w:r>
      <w:r>
        <w:rPr>
          <w:rFonts w:ascii="Times New Roman" w:cs="Times New Roman" w:eastAsia="Times New Roman" w:hAnsi="Times New Roman"/>
          <w:sz w:val="21"/>
          <w:szCs w:val="21"/>
          <w:u w:val="single" w:color="auto"/>
          <w:color w:val="auto"/>
        </w:rPr>
        <w:t>Senior Debt Securities</w:t>
      </w:r>
      <w:r>
        <w:rPr>
          <w:rFonts w:ascii="Times New Roman" w:cs="Times New Roman" w:eastAsia="Times New Roman" w:hAnsi="Times New Roman"/>
          <w:sz w:val="21"/>
          <w:szCs w:val="21"/>
          <w:color w:val="auto"/>
        </w:rPr>
        <w:t>”) or subordinated debt securities (the “</w:t>
      </w:r>
      <w:r>
        <w:rPr>
          <w:rFonts w:ascii="Times New Roman" w:cs="Times New Roman" w:eastAsia="Times New Roman" w:hAnsi="Times New Roman"/>
          <w:sz w:val="21"/>
          <w:szCs w:val="21"/>
          <w:u w:val="single" w:color="auto"/>
          <w:color w:val="auto"/>
        </w:rPr>
        <w:t>Subordinated Debt Securities</w:t>
      </w:r>
      <w:r>
        <w:rPr>
          <w:rFonts w:ascii="Times New Roman" w:cs="Times New Roman" w:eastAsia="Times New Roman" w:hAnsi="Times New Roman"/>
          <w:sz w:val="21"/>
          <w:szCs w:val="21"/>
          <w:color w:val="auto"/>
        </w:rPr>
        <w:t>” and, together with the Senior Debt Securities, the “</w:t>
      </w:r>
      <w:r>
        <w:rPr>
          <w:rFonts w:ascii="Times New Roman" w:cs="Times New Roman" w:eastAsia="Times New Roman" w:hAnsi="Times New Roman"/>
          <w:sz w:val="21"/>
          <w:szCs w:val="21"/>
          <w:u w:val="single" w:color="auto"/>
          <w:color w:val="auto"/>
        </w:rPr>
        <w:t>Debt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Securities</w:t>
      </w:r>
      <w:r>
        <w:rPr>
          <w:rFonts w:ascii="Times New Roman" w:cs="Times New Roman" w:eastAsia="Times New Roman" w:hAnsi="Times New Roman"/>
          <w:sz w:val="21"/>
          <w:szCs w:val="21"/>
          <w:color w:val="auto"/>
        </w:rPr>
        <w:t>”);</w:t>
      </w:r>
    </w:p>
    <w:p>
      <w:pPr>
        <w:spacing w:after="0" w:line="148" w:lineRule="exact"/>
        <w:rPr>
          <w:rFonts w:ascii="Times New Roman" w:cs="Times New Roman" w:eastAsia="Times New Roman" w:hAnsi="Times New Roman"/>
          <w:sz w:val="21"/>
          <w:szCs w:val="21"/>
          <w:color w:val="auto"/>
        </w:rPr>
      </w:pPr>
    </w:p>
    <w:p>
      <w:pPr>
        <w:ind w:left="1760" w:hanging="480"/>
        <w:spacing w:after="0"/>
        <w:tabs>
          <w:tab w:leader="none" w:pos="1760"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Company’s common shares, no par value (the “</w:t>
      </w:r>
      <w:r>
        <w:rPr>
          <w:rFonts w:ascii="Times New Roman" w:cs="Times New Roman" w:eastAsia="Times New Roman" w:hAnsi="Times New Roman"/>
          <w:sz w:val="21"/>
          <w:szCs w:val="21"/>
          <w:u w:val="single" w:color="auto"/>
          <w:color w:val="auto"/>
        </w:rPr>
        <w:t>Common Shares</w:t>
      </w:r>
      <w:r>
        <w:rPr>
          <w:rFonts w:ascii="Times New Roman" w:cs="Times New Roman" w:eastAsia="Times New Roman" w:hAnsi="Times New Roman"/>
          <w:sz w:val="21"/>
          <w:szCs w:val="21"/>
          <w:color w:val="auto"/>
        </w:rPr>
        <w:t>”);</w:t>
      </w:r>
    </w:p>
    <w:p>
      <w:pPr>
        <w:spacing w:after="0" w:line="183" w:lineRule="exact"/>
        <w:rPr>
          <w:rFonts w:ascii="Times New Roman" w:cs="Times New Roman" w:eastAsia="Times New Roman" w:hAnsi="Times New Roman"/>
          <w:sz w:val="21"/>
          <w:szCs w:val="21"/>
          <w:color w:val="auto"/>
        </w:rPr>
      </w:pPr>
    </w:p>
    <w:p>
      <w:pPr>
        <w:ind w:left="1820" w:hanging="540"/>
        <w:spacing w:after="0"/>
        <w:tabs>
          <w:tab w:leader="none" w:pos="1820"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Company’s preferred shares, no par value (the “</w:t>
      </w:r>
      <w:r>
        <w:rPr>
          <w:rFonts w:ascii="Times New Roman" w:cs="Times New Roman" w:eastAsia="Times New Roman" w:hAnsi="Times New Roman"/>
          <w:sz w:val="21"/>
          <w:szCs w:val="21"/>
          <w:u w:val="single" w:color="auto"/>
          <w:color w:val="auto"/>
        </w:rPr>
        <w:t>Preferred Shares</w:t>
      </w:r>
      <w:r>
        <w:rPr>
          <w:rFonts w:ascii="Times New Roman" w:cs="Times New Roman" w:eastAsia="Times New Roman" w:hAnsi="Times New Roman"/>
          <w:sz w:val="21"/>
          <w:szCs w:val="21"/>
          <w:color w:val="auto"/>
        </w:rPr>
        <w:t>”); and</w:t>
      </w:r>
    </w:p>
    <w:p>
      <w:pPr>
        <w:spacing w:after="0" w:line="183" w:lineRule="exact"/>
        <w:rPr>
          <w:rFonts w:ascii="Times New Roman" w:cs="Times New Roman" w:eastAsia="Times New Roman" w:hAnsi="Times New Roman"/>
          <w:sz w:val="21"/>
          <w:szCs w:val="21"/>
          <w:color w:val="auto"/>
        </w:rPr>
      </w:pPr>
    </w:p>
    <w:p>
      <w:pPr>
        <w:ind w:right="500" w:firstLine="1280"/>
        <w:spacing w:after="0" w:line="246" w:lineRule="auto"/>
        <w:tabs>
          <w:tab w:leader="none" w:pos="1792"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warrants for the purchase of Common Shares, Preferred Shares, Debt Securities or securities of any other person (the “</w:t>
      </w:r>
      <w:r>
        <w:rPr>
          <w:rFonts w:ascii="Times New Roman" w:cs="Times New Roman" w:eastAsia="Times New Roman" w:hAnsi="Times New Roman"/>
          <w:sz w:val="21"/>
          <w:szCs w:val="21"/>
          <w:u w:val="single" w:color="auto"/>
          <w:color w:val="auto"/>
        </w:rPr>
        <w:t>Warrants</w:t>
      </w:r>
      <w:r>
        <w:rPr>
          <w:rFonts w:ascii="Times New Roman" w:cs="Times New Roman" w:eastAsia="Times New Roman" w:hAnsi="Times New Roman"/>
          <w:sz w:val="21"/>
          <w:szCs w:val="21"/>
          <w:color w:val="auto"/>
        </w:rPr>
        <w:t>”).</w:t>
      </w:r>
    </w:p>
    <w:p>
      <w:pPr>
        <w:spacing w:after="0" w:line="1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The Debt Securities, Common Shares, Preferred Shares and Warrants are collectively referred to herein as the “</w:t>
      </w:r>
      <w:r>
        <w:rPr>
          <w:rFonts w:ascii="Times New Roman" w:cs="Times New Roman" w:eastAsia="Times New Roman" w:hAnsi="Times New Roman"/>
          <w:sz w:val="21"/>
          <w:szCs w:val="21"/>
          <w:u w:val="single" w:color="auto"/>
          <w:color w:val="auto"/>
        </w:rPr>
        <w:t>Securities</w:t>
      </w:r>
      <w:r>
        <w:rPr>
          <w:rFonts w:ascii="Times New Roman" w:cs="Times New Roman" w:eastAsia="Times New Roman" w:hAnsi="Times New Roman"/>
          <w:sz w:val="21"/>
          <w:szCs w:val="21"/>
          <w:color w:val="auto"/>
        </w:rPr>
        <w:t>.”</w:t>
      </w:r>
    </w:p>
    <w:p>
      <w:pPr>
        <w:spacing w:after="0" w:line="210" w:lineRule="auto"/>
        <w:rPr>
          <w:sz w:val="20"/>
          <w:szCs w:val="20"/>
          <w:color w:val="auto"/>
        </w:rPr>
      </w:pPr>
      <w:r>
        <w:rPr>
          <w:rFonts w:ascii="Times New Roman" w:cs="Times New Roman" w:eastAsia="Times New Roman" w:hAnsi="Times New Roman"/>
          <w:sz w:val="21"/>
          <w:szCs w:val="21"/>
          <w:color w:val="auto"/>
        </w:rPr>
        <w:t>The Senior Debt Securities are to be issued under an indenture to be entered into between the Company and a trustee to be named at</w:t>
      </w:r>
    </w:p>
    <w:p>
      <w:pPr>
        <w:spacing w:after="0" w:line="211" w:lineRule="auto"/>
        <w:rPr>
          <w:sz w:val="20"/>
          <w:szCs w:val="20"/>
          <w:color w:val="auto"/>
        </w:rPr>
      </w:pPr>
      <w:r>
        <w:rPr>
          <w:rFonts w:ascii="Times New Roman" w:cs="Times New Roman" w:eastAsia="Times New Roman" w:hAnsi="Times New Roman"/>
          <w:sz w:val="21"/>
          <w:szCs w:val="21"/>
          <w:color w:val="auto"/>
        </w:rPr>
        <w:t>the time such indenture is executed (the “</w:t>
      </w:r>
      <w:r>
        <w:rPr>
          <w:rFonts w:ascii="Times New Roman" w:cs="Times New Roman" w:eastAsia="Times New Roman" w:hAnsi="Times New Roman"/>
          <w:sz w:val="21"/>
          <w:szCs w:val="21"/>
          <w:u w:val="single" w:color="auto"/>
          <w:color w:val="auto"/>
        </w:rPr>
        <w:t>Trustee</w:t>
      </w:r>
      <w:r>
        <w:rPr>
          <w:rFonts w:ascii="Times New Roman" w:cs="Times New Roman" w:eastAsia="Times New Roman" w:hAnsi="Times New Roman"/>
          <w:sz w:val="21"/>
          <w:szCs w:val="21"/>
          <w:color w:val="auto"/>
        </w:rPr>
        <w:t>”), as indenture trustee (the “</w:t>
      </w:r>
      <w:r>
        <w:rPr>
          <w:rFonts w:ascii="Times New Roman" w:cs="Times New Roman" w:eastAsia="Times New Roman" w:hAnsi="Times New Roman"/>
          <w:sz w:val="21"/>
          <w:szCs w:val="21"/>
          <w:u w:val="single" w:color="auto"/>
          <w:color w:val="auto"/>
        </w:rPr>
        <w:t>Senior Base Indenture</w:t>
      </w:r>
      <w:r>
        <w:rPr>
          <w:rFonts w:ascii="Times New Roman" w:cs="Times New Roman" w:eastAsia="Times New Roman" w:hAnsi="Times New Roman"/>
          <w:sz w:val="21"/>
          <w:szCs w:val="21"/>
          <w:color w:val="auto"/>
        </w:rPr>
        <w:t>”). The Subordinated Debt</w:t>
      </w:r>
    </w:p>
    <w:p>
      <w:pPr>
        <w:spacing w:after="0" w:line="211" w:lineRule="auto"/>
        <w:rPr>
          <w:sz w:val="20"/>
          <w:szCs w:val="20"/>
          <w:color w:val="auto"/>
        </w:rPr>
      </w:pPr>
      <w:r>
        <w:rPr>
          <w:rFonts w:ascii="Times New Roman" w:cs="Times New Roman" w:eastAsia="Times New Roman" w:hAnsi="Times New Roman"/>
          <w:sz w:val="21"/>
          <w:szCs w:val="21"/>
          <w:color w:val="auto"/>
        </w:rPr>
        <w:t>Securities are to be issued under an indenture to be entered into between the Company and the Trustee, as indenture trustee (the</w:t>
      </w:r>
    </w:p>
    <w:p>
      <w:pPr>
        <w:spacing w:after="0" w:line="21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Subordinated Base Indenture</w:t>
      </w:r>
      <w:r>
        <w:rPr>
          <w:rFonts w:ascii="Times New Roman" w:cs="Times New Roman" w:eastAsia="Times New Roman" w:hAnsi="Times New Roman"/>
          <w:sz w:val="21"/>
          <w:szCs w:val="21"/>
          <w:color w:val="auto"/>
        </w:rPr>
        <w:t>,” and, together with the Senior Base Indenture, the “</w:t>
      </w:r>
      <w:r>
        <w:rPr>
          <w:rFonts w:ascii="Times New Roman" w:cs="Times New Roman" w:eastAsia="Times New Roman" w:hAnsi="Times New Roman"/>
          <w:sz w:val="21"/>
          <w:szCs w:val="21"/>
          <w:u w:val="single" w:color="auto"/>
          <w:color w:val="auto"/>
        </w:rPr>
        <w:t>Base Indentures</w:t>
      </w:r>
      <w:r>
        <w:rPr>
          <w:rFonts w:ascii="Times New Roman" w:cs="Times New Roman" w:eastAsia="Times New Roman" w:hAnsi="Times New Roman"/>
          <w:sz w:val="21"/>
          <w:szCs w:val="21"/>
          <w:color w:val="auto"/>
        </w:rPr>
        <w:t>”). In addition, the Registration</w:t>
      </w:r>
    </w:p>
    <w:p>
      <w:pPr>
        <w:spacing w:after="0" w:line="211" w:lineRule="auto"/>
        <w:rPr>
          <w:sz w:val="20"/>
          <w:szCs w:val="20"/>
          <w:color w:val="auto"/>
        </w:rPr>
      </w:pPr>
      <w:r>
        <w:rPr>
          <w:rFonts w:ascii="Times New Roman" w:cs="Times New Roman" w:eastAsia="Times New Roman" w:hAnsi="Times New Roman"/>
          <w:sz w:val="21"/>
          <w:szCs w:val="21"/>
          <w:color w:val="auto"/>
        </w:rPr>
        <w:t>Statement relates to the offering and sale from time to time by the selling shareholders identified in the Registration Statement (the</w:t>
      </w:r>
    </w:p>
    <w:p>
      <w:pPr>
        <w:spacing w:after="0" w:line="21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Selling Shareholders</w:t>
      </w:r>
      <w:r>
        <w:rPr>
          <w:rFonts w:ascii="Times New Roman" w:cs="Times New Roman" w:eastAsia="Times New Roman" w:hAnsi="Times New Roman"/>
          <w:sz w:val="21"/>
          <w:szCs w:val="21"/>
          <w:color w:val="auto"/>
        </w:rPr>
        <w:t>”) of an aggregate of 2,897,458 Common Shares pursuant to Rule 415 under the Securities Act, consisting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362585</wp:posOffset>
            </wp:positionV>
            <wp:extent cx="5045710" cy="2355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5045710" cy="23558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21"/>
          <w:szCs w:val="21"/>
          <w:color w:val="auto"/>
        </w:rPr>
        <w:t>August 29,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440"/>
        <w:spacing w:after="0" w:line="227" w:lineRule="auto"/>
        <w:rPr>
          <w:sz w:val="20"/>
          <w:szCs w:val="20"/>
          <w:color w:val="auto"/>
        </w:rPr>
      </w:pPr>
      <w:r>
        <w:rPr>
          <w:rFonts w:ascii="Times New Roman" w:cs="Times New Roman" w:eastAsia="Times New Roman" w:hAnsi="Times New Roman"/>
          <w:sz w:val="21"/>
          <w:szCs w:val="21"/>
          <w:color w:val="auto"/>
        </w:rPr>
        <w:t>2,522,705 Common Shares issuable to the Selling Shareholders upon conversion of 9,042 shares of Class A Series 1 Preferred Shares of the Company (the “</w:t>
      </w:r>
      <w:r>
        <w:rPr>
          <w:rFonts w:ascii="Times New Roman" w:cs="Times New Roman" w:eastAsia="Times New Roman" w:hAnsi="Times New Roman"/>
          <w:sz w:val="21"/>
          <w:szCs w:val="21"/>
          <w:u w:val="single" w:color="auto"/>
          <w:color w:val="auto"/>
        </w:rPr>
        <w:t>Class A Series 1 Preferred Shares</w:t>
      </w:r>
      <w:r>
        <w:rPr>
          <w:rFonts w:ascii="Times New Roman" w:cs="Times New Roman" w:eastAsia="Times New Roman" w:hAnsi="Times New Roman"/>
          <w:sz w:val="21"/>
          <w:szCs w:val="21"/>
          <w:color w:val="auto"/>
        </w:rPr>
        <w:t>”), based on the liquidation preference of such Class A Series 1 Preferred Shares as of March 31, 2023 assuming all dividends thereon are paid in kind through an increase in the liquidation preference, and (ii) an additional 374,753 Common Shares held by the Selling Shareholders.</w:t>
      </w:r>
    </w:p>
    <w:p>
      <w:pPr>
        <w:spacing w:after="0" w:line="148" w:lineRule="exact"/>
        <w:rPr>
          <w:sz w:val="20"/>
          <w:szCs w:val="20"/>
          <w:color w:val="auto"/>
        </w:rPr>
      </w:pPr>
    </w:p>
    <w:p>
      <w:pPr>
        <w:spacing w:after="0" w:line="219" w:lineRule="auto"/>
        <w:rPr>
          <w:sz w:val="20"/>
          <w:szCs w:val="20"/>
          <w:color w:val="auto"/>
        </w:rPr>
      </w:pPr>
      <w:r>
        <w:rPr>
          <w:rFonts w:ascii="Times New Roman" w:cs="Times New Roman" w:eastAsia="Times New Roman" w:hAnsi="Times New Roman"/>
          <w:sz w:val="21"/>
          <w:szCs w:val="21"/>
          <w:color w:val="auto"/>
        </w:rPr>
        <w:t>In arriving at the opinions expressed below, we have examined originals, or copies certified or otherwise identified to our satisfaction as being true and complete copies of the originals, of forms of the Base Indentures and such other documents, corporate records, certificates of officers of the Company and of public officials and other instruments as we have deemed necessary or advisable to enable us to render these opinions. In our examination, we have assumed the genuineness of all signatures, the legal capacity and competency of all natural persons, the authenticity of all documents submitted to us as originals and the conformity to original documents of all documents submitted to us as copies. As to any facts material to these opinions, we have relied to the extent we deemed appropriate and without independent investigation upon statements and representations of officers and other representatives of the Company and others.</w:t>
      </w:r>
    </w:p>
    <w:p>
      <w:pPr>
        <w:spacing w:after="0" w:line="147" w:lineRule="exact"/>
        <w:rPr>
          <w:sz w:val="20"/>
          <w:szCs w:val="20"/>
          <w:color w:val="auto"/>
        </w:rPr>
      </w:pPr>
    </w:p>
    <w:p>
      <w:pPr>
        <w:ind w:right="300"/>
        <w:spacing w:after="0" w:line="227" w:lineRule="auto"/>
        <w:rPr>
          <w:sz w:val="20"/>
          <w:szCs w:val="20"/>
          <w:color w:val="auto"/>
        </w:rPr>
      </w:pPr>
      <w:r>
        <w:rPr>
          <w:rFonts w:ascii="Times New Roman" w:cs="Times New Roman" w:eastAsia="Times New Roman" w:hAnsi="Times New Roman"/>
          <w:sz w:val="21"/>
          <w:szCs w:val="21"/>
          <w:color w:val="auto"/>
        </w:rPr>
        <w:t>We are not admitted or qualified to practice law in Canada. Therefore, we have relied upon the opinion of Dentons Canada LLP, filed as an exhibit to the Registration Statement, with respect to matters governed by the laws of Canada. We express no opinion herein with respect to the matters covered in such opinion, and to the extent elements of such matters are necessary to the conclusions expressed herein, we have, with your consent, assumed such matters.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We have assumed without independent investigation that:</w:t>
      </w:r>
    </w:p>
    <w:p>
      <w:pPr>
        <w:spacing w:after="0" w:line="183" w:lineRule="exact"/>
        <w:rPr>
          <w:sz w:val="20"/>
          <w:szCs w:val="20"/>
          <w:color w:val="auto"/>
        </w:rPr>
      </w:pPr>
    </w:p>
    <w:p>
      <w:pPr>
        <w:ind w:right="160" w:firstLine="1280"/>
        <w:spacing w:after="0" w:line="232" w:lineRule="auto"/>
        <w:tabs>
          <w:tab w:leader="none" w:pos="1686"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the time any Securities are sold pursuant to the Registration Statement (the “</w:t>
      </w:r>
      <w:r>
        <w:rPr>
          <w:rFonts w:ascii="Times New Roman" w:cs="Times New Roman" w:eastAsia="Times New Roman" w:hAnsi="Times New Roman"/>
          <w:sz w:val="21"/>
          <w:szCs w:val="21"/>
          <w:u w:val="single" w:color="auto"/>
          <w:color w:val="auto"/>
        </w:rPr>
        <w:t>Relevant Time</w:t>
      </w:r>
      <w:r>
        <w:rPr>
          <w:rFonts w:ascii="Times New Roman" w:cs="Times New Roman" w:eastAsia="Times New Roman" w:hAnsi="Times New Roman"/>
          <w:sz w:val="21"/>
          <w:szCs w:val="21"/>
          <w:color w:val="auto"/>
        </w:rPr>
        <w:t>”), the Registration Statement and any supplements and amendments thereto (including post-effective amendments) will be effective and will comply with all applicable laws;</w:t>
      </w:r>
    </w:p>
    <w:p>
      <w:pPr>
        <w:spacing w:after="0" w:line="148" w:lineRule="exact"/>
        <w:rPr>
          <w:rFonts w:ascii="Times New Roman" w:cs="Times New Roman" w:eastAsia="Times New Roman" w:hAnsi="Times New Roman"/>
          <w:sz w:val="21"/>
          <w:szCs w:val="21"/>
          <w:color w:val="auto"/>
        </w:rPr>
      </w:pPr>
    </w:p>
    <w:p>
      <w:pPr>
        <w:ind w:right="740" w:firstLine="1280"/>
        <w:spacing w:after="0" w:line="246" w:lineRule="auto"/>
        <w:tabs>
          <w:tab w:leader="none" w:pos="1745"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the Relevant Time, a prospectus supplement will have been prepared and filed with the Commission describing the Securities offered thereby and all related documentation and will comply with all applicable laws;</w:t>
      </w:r>
    </w:p>
    <w:p>
      <w:pPr>
        <w:spacing w:after="0" w:line="141" w:lineRule="exact"/>
        <w:rPr>
          <w:rFonts w:ascii="Times New Roman" w:cs="Times New Roman" w:eastAsia="Times New Roman" w:hAnsi="Times New Roman"/>
          <w:sz w:val="21"/>
          <w:szCs w:val="21"/>
          <w:color w:val="auto"/>
        </w:rPr>
      </w:pPr>
    </w:p>
    <w:p>
      <w:pPr>
        <w:ind w:right="420" w:firstLine="1280"/>
        <w:spacing w:after="0" w:line="246" w:lineRule="auto"/>
        <w:tabs>
          <w:tab w:leader="none" w:pos="1804"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Securities will be issued and sold in the manner stated in the Registration Statement and the applicable prospectus supplement;</w:t>
      </w:r>
    </w:p>
    <w:p>
      <w:pPr>
        <w:spacing w:after="0" w:line="141" w:lineRule="exact"/>
        <w:rPr>
          <w:rFonts w:ascii="Times New Roman" w:cs="Times New Roman" w:eastAsia="Times New Roman" w:hAnsi="Times New Roman"/>
          <w:sz w:val="21"/>
          <w:szCs w:val="21"/>
          <w:color w:val="auto"/>
        </w:rPr>
      </w:pPr>
    </w:p>
    <w:p>
      <w:pPr>
        <w:ind w:right="40" w:firstLine="1280"/>
        <w:spacing w:after="0" w:line="227" w:lineRule="auto"/>
        <w:tabs>
          <w:tab w:leader="none" w:pos="1792"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the Relevant Time, all corporate or other action required to be taken by the Company to duly authorize each proposed issuance of Securities and any related documentation (including the execution (in the case of certificated Securities), delivery and performance of the Securities and any related documentation referred to in paragraphs 1 and 2 below) shall have been duly completed and shall remain in full force and effect;</w:t>
      </w:r>
    </w:p>
    <w:p>
      <w:pPr>
        <w:sectPr>
          <w:pgSz w:w="11900" w:h="16838" w:orient="portrait"/>
          <w:cols w:equalWidth="0" w:num="1">
            <w:col w:w="11200"/>
          </w:cols>
          <w:pgMar w:left="320" w:top="828" w:right="3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21"/>
          <w:szCs w:val="21"/>
          <w:color w:val="auto"/>
        </w:rPr>
        <w:t>August 29,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140" w:firstLine="1280"/>
        <w:spacing w:after="0" w:line="227" w:lineRule="auto"/>
        <w:tabs>
          <w:tab w:leader="none" w:pos="1733"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Debt Securities, at the Relevant Time, the relevant Trustee shall have been qualified under the Trust Indenture Act of 1939, as amended (the “</w:t>
      </w:r>
      <w:r>
        <w:rPr>
          <w:rFonts w:ascii="Times New Roman" w:cs="Times New Roman" w:eastAsia="Times New Roman" w:hAnsi="Times New Roman"/>
          <w:sz w:val="21"/>
          <w:szCs w:val="21"/>
          <w:u w:val="single" w:color="auto"/>
          <w:color w:val="auto"/>
        </w:rPr>
        <w:t>TIA</w:t>
      </w:r>
      <w:r>
        <w:rPr>
          <w:rFonts w:ascii="Times New Roman" w:cs="Times New Roman" w:eastAsia="Times New Roman" w:hAnsi="Times New Roman"/>
          <w:sz w:val="21"/>
          <w:szCs w:val="21"/>
          <w:color w:val="auto"/>
        </w:rPr>
        <w:t>”), a Statement of Eligibility of the Trustee on Form T-1 shall have been properly filed with the Commission and the relevant Base Indenture shall have been duly executed and delivered by the Company and all other parties thereto and duly qualified under the TIA; and</w:t>
      </w:r>
    </w:p>
    <w:p>
      <w:pPr>
        <w:spacing w:after="0" w:line="147" w:lineRule="exact"/>
        <w:rPr>
          <w:rFonts w:ascii="Times New Roman" w:cs="Times New Roman" w:eastAsia="Times New Roman" w:hAnsi="Times New Roman"/>
          <w:sz w:val="21"/>
          <w:szCs w:val="21"/>
          <w:color w:val="auto"/>
        </w:rPr>
      </w:pPr>
    </w:p>
    <w:p>
      <w:pPr>
        <w:ind w:right="40" w:firstLine="1280"/>
        <w:spacing w:after="0" w:line="232" w:lineRule="auto"/>
        <w:tabs>
          <w:tab w:leader="none" w:pos="1792"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the Relevant Time, a definitive purchase, underwriting or similar agreement and any other necessary agreement with respect to any Securities offered or issued will have been duly authorized by all necessary corporate or other action of the Company and duly executed and delivered by the Company and the other parties thereto.</w:t>
      </w:r>
    </w:p>
    <w:p>
      <w:pPr>
        <w:spacing w:after="0" w:line="149"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21"/>
          <w:szCs w:val="21"/>
          <w:color w:val="auto"/>
        </w:rPr>
        <w:t>Based on the foregoing and in reliance thereon, and subject to the assumptions, exceptions, qualifications and limitations set forth herein, we are of the opinion that:</w:t>
      </w:r>
    </w:p>
    <w:p>
      <w:pPr>
        <w:spacing w:after="0" w:line="142" w:lineRule="exact"/>
        <w:rPr>
          <w:sz w:val="20"/>
          <w:szCs w:val="20"/>
          <w:color w:val="auto"/>
        </w:rPr>
      </w:pPr>
    </w:p>
    <w:p>
      <w:pPr>
        <w:ind w:left="1640" w:hanging="360"/>
        <w:spacing w:after="0"/>
        <w:tabs>
          <w:tab w:leader="none" w:pos="1640"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any Debt Securities, when:</w:t>
      </w:r>
    </w:p>
    <w:p>
      <w:pPr>
        <w:spacing w:after="0" w:line="183" w:lineRule="exact"/>
        <w:rPr>
          <w:rFonts w:ascii="Times New Roman" w:cs="Times New Roman" w:eastAsia="Times New Roman" w:hAnsi="Times New Roman"/>
          <w:sz w:val="21"/>
          <w:szCs w:val="21"/>
          <w:color w:val="auto"/>
        </w:rPr>
      </w:pPr>
    </w:p>
    <w:p>
      <w:pPr>
        <w:ind w:left="1920" w:right="240" w:hanging="322"/>
        <w:spacing w:after="0" w:line="246" w:lineRule="auto"/>
        <w:tabs>
          <w:tab w:leader="none" w:pos="1961" w:val="left"/>
        </w:tabs>
        <w:numPr>
          <w:ilvl w:val="1"/>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terms and conditions of such Debt Securities have been duly established by supplemental indenture or officers’ certificate in accordance with the terms and conditions of the relevant Base Indenture,</w:t>
      </w:r>
    </w:p>
    <w:p>
      <w:pPr>
        <w:spacing w:after="0" w:line="141" w:lineRule="exact"/>
        <w:rPr>
          <w:rFonts w:ascii="Times New Roman" w:cs="Times New Roman" w:eastAsia="Times New Roman" w:hAnsi="Times New Roman"/>
          <w:sz w:val="21"/>
          <w:szCs w:val="21"/>
          <w:color w:val="auto"/>
        </w:rPr>
      </w:pPr>
    </w:p>
    <w:p>
      <w:pPr>
        <w:ind w:left="1920" w:right="320" w:hanging="322"/>
        <w:spacing w:after="0" w:line="246" w:lineRule="auto"/>
        <w:tabs>
          <w:tab w:leader="none" w:pos="1973" w:val="left"/>
        </w:tabs>
        <w:numPr>
          <w:ilvl w:val="1"/>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such supplemental indenture has been duly executed and delivered by the Company and the relevant Trustee (together with the relevant Base Indenture, the “</w:t>
      </w:r>
      <w:r>
        <w:rPr>
          <w:rFonts w:ascii="Times New Roman" w:cs="Times New Roman" w:eastAsia="Times New Roman" w:hAnsi="Times New Roman"/>
          <w:sz w:val="21"/>
          <w:szCs w:val="21"/>
          <w:u w:val="single" w:color="auto"/>
          <w:color w:val="auto"/>
        </w:rPr>
        <w:t>Indenture</w:t>
      </w:r>
      <w:r>
        <w:rPr>
          <w:rFonts w:ascii="Times New Roman" w:cs="Times New Roman" w:eastAsia="Times New Roman" w:hAnsi="Times New Roman"/>
          <w:sz w:val="21"/>
          <w:szCs w:val="21"/>
          <w:color w:val="auto"/>
        </w:rPr>
        <w:t>”), and</w:t>
      </w:r>
    </w:p>
    <w:p>
      <w:pPr>
        <w:spacing w:after="0" w:line="141" w:lineRule="exact"/>
        <w:rPr>
          <w:rFonts w:ascii="Times New Roman" w:cs="Times New Roman" w:eastAsia="Times New Roman" w:hAnsi="Times New Roman"/>
          <w:sz w:val="21"/>
          <w:szCs w:val="21"/>
          <w:color w:val="auto"/>
        </w:rPr>
      </w:pPr>
    </w:p>
    <w:p>
      <w:pPr>
        <w:ind w:left="1920" w:right="820" w:hanging="322"/>
        <w:spacing w:after="0" w:line="232" w:lineRule="auto"/>
        <w:tabs>
          <w:tab w:leader="none" w:pos="1961" w:val="left"/>
        </w:tabs>
        <w:numPr>
          <w:ilvl w:val="1"/>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Debt Securities have been executed (in the case of certificated Debt Securities), delivered and authenticated in accordance with the terms of the applicable Indenture and issued and sold for the consideration set forth in the applicable definitive purchase, underwriting or similar agreement,</w:t>
      </w:r>
    </w:p>
    <w:p>
      <w:pPr>
        <w:spacing w:after="0" w:line="149" w:lineRule="exact"/>
        <w:rPr>
          <w:sz w:val="20"/>
          <w:szCs w:val="20"/>
          <w:color w:val="auto"/>
        </w:rPr>
      </w:pPr>
    </w:p>
    <w:p>
      <w:pPr>
        <w:ind w:left="960" w:right="220"/>
        <w:spacing w:after="0" w:line="246" w:lineRule="auto"/>
        <w:rPr>
          <w:sz w:val="20"/>
          <w:szCs w:val="20"/>
          <w:color w:val="auto"/>
        </w:rPr>
      </w:pPr>
      <w:r>
        <w:rPr>
          <w:rFonts w:ascii="Times New Roman" w:cs="Times New Roman" w:eastAsia="Times New Roman" w:hAnsi="Times New Roman"/>
          <w:sz w:val="21"/>
          <w:szCs w:val="21"/>
          <w:color w:val="auto"/>
        </w:rPr>
        <w:t>such Debt Securities will be legal, valid and binding obligations of the Company, enforceable against the Company in accordance with their respective terms.</w:t>
      </w:r>
    </w:p>
    <w:p>
      <w:pPr>
        <w:spacing w:after="0" w:line="142" w:lineRule="exact"/>
        <w:rPr>
          <w:sz w:val="20"/>
          <w:szCs w:val="20"/>
          <w:color w:val="auto"/>
        </w:rPr>
      </w:pPr>
    </w:p>
    <w:p>
      <w:pPr>
        <w:ind w:left="1640" w:hanging="360"/>
        <w:spacing w:after="0"/>
        <w:tabs>
          <w:tab w:leader="none" w:pos="1640"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any Warrants, when:</w:t>
      </w:r>
    </w:p>
    <w:p>
      <w:pPr>
        <w:spacing w:after="0" w:line="183" w:lineRule="exact"/>
        <w:rPr>
          <w:rFonts w:ascii="Times New Roman" w:cs="Times New Roman" w:eastAsia="Times New Roman" w:hAnsi="Times New Roman"/>
          <w:sz w:val="21"/>
          <w:szCs w:val="21"/>
          <w:color w:val="auto"/>
        </w:rPr>
      </w:pPr>
    </w:p>
    <w:p>
      <w:pPr>
        <w:ind w:left="1920" w:right="120" w:hanging="322"/>
        <w:spacing w:after="0" w:line="246" w:lineRule="auto"/>
        <w:tabs>
          <w:tab w:leader="none" w:pos="1961"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warrant agreement relating to such Warrants (the “</w:t>
      </w:r>
      <w:r>
        <w:rPr>
          <w:rFonts w:ascii="Times New Roman" w:cs="Times New Roman" w:eastAsia="Times New Roman" w:hAnsi="Times New Roman"/>
          <w:sz w:val="21"/>
          <w:szCs w:val="21"/>
          <w:u w:val="single" w:color="auto"/>
          <w:color w:val="auto"/>
        </w:rPr>
        <w:t>Warrant Agreement</w:t>
      </w:r>
      <w:r>
        <w:rPr>
          <w:rFonts w:ascii="Times New Roman" w:cs="Times New Roman" w:eastAsia="Times New Roman" w:hAnsi="Times New Roman"/>
          <w:sz w:val="21"/>
          <w:szCs w:val="21"/>
          <w:color w:val="auto"/>
        </w:rPr>
        <w:t>”), if any, has been duly executed and delivered by the Company and each other party thereto,</w:t>
      </w:r>
    </w:p>
    <w:p>
      <w:pPr>
        <w:spacing w:after="0" w:line="141" w:lineRule="exact"/>
        <w:rPr>
          <w:rFonts w:ascii="Times New Roman" w:cs="Times New Roman" w:eastAsia="Times New Roman" w:hAnsi="Times New Roman"/>
          <w:sz w:val="21"/>
          <w:szCs w:val="21"/>
          <w:color w:val="auto"/>
        </w:rPr>
      </w:pPr>
    </w:p>
    <w:p>
      <w:pPr>
        <w:ind w:left="1920" w:right="160" w:hanging="322"/>
        <w:spacing w:after="0" w:line="246" w:lineRule="auto"/>
        <w:tabs>
          <w:tab w:leader="none" w:pos="1973"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terms of the Warrants have been established in accordance with the Warrant Agreement, if any, and the applicable definitive purchase, underwriting or similar agreement, and</w:t>
      </w:r>
    </w:p>
    <w:p>
      <w:pPr>
        <w:spacing w:after="0" w:line="141" w:lineRule="exact"/>
        <w:rPr>
          <w:rFonts w:ascii="Times New Roman" w:cs="Times New Roman" w:eastAsia="Times New Roman" w:hAnsi="Times New Roman"/>
          <w:sz w:val="21"/>
          <w:szCs w:val="21"/>
          <w:color w:val="auto"/>
        </w:rPr>
      </w:pPr>
    </w:p>
    <w:p>
      <w:pPr>
        <w:ind w:left="1920" w:hanging="322"/>
        <w:spacing w:after="0" w:line="246" w:lineRule="auto"/>
        <w:tabs>
          <w:tab w:leader="none" w:pos="1961"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Warrants have been duly executed (in the case of certificated Warrants) and delivered in accordance with the Warrant Agreement, if</w:t>
      </w:r>
    </w:p>
    <w:p>
      <w:pPr>
        <w:sectPr>
          <w:pgSz w:w="11900" w:h="16838" w:orient="portrait"/>
          <w:cols w:equalWidth="0" w:num="1">
            <w:col w:w="11180"/>
          </w:cols>
          <w:pgMar w:left="320" w:top="828" w:right="3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21"/>
          <w:szCs w:val="21"/>
          <w:color w:val="auto"/>
        </w:rPr>
        <w:t>August 29,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920" w:right="60"/>
        <w:spacing w:after="0" w:line="246" w:lineRule="auto"/>
        <w:rPr>
          <w:sz w:val="20"/>
          <w:szCs w:val="20"/>
          <w:color w:val="auto"/>
        </w:rPr>
      </w:pPr>
      <w:r>
        <w:rPr>
          <w:rFonts w:ascii="Times New Roman" w:cs="Times New Roman" w:eastAsia="Times New Roman" w:hAnsi="Times New Roman"/>
          <w:sz w:val="21"/>
          <w:szCs w:val="21"/>
          <w:color w:val="auto"/>
        </w:rPr>
        <w:t>any, and the applicable definitive purchase, underwriting or similar agreement for the consideration provided for therein,</w:t>
      </w:r>
    </w:p>
    <w:p>
      <w:pPr>
        <w:spacing w:after="0" w:line="142" w:lineRule="exact"/>
        <w:rPr>
          <w:sz w:val="20"/>
          <w:szCs w:val="20"/>
          <w:color w:val="auto"/>
        </w:rPr>
      </w:pPr>
    </w:p>
    <w:p>
      <w:pPr>
        <w:ind w:left="960" w:right="800"/>
        <w:spacing w:after="0" w:line="246" w:lineRule="auto"/>
        <w:rPr>
          <w:sz w:val="20"/>
          <w:szCs w:val="20"/>
          <w:color w:val="auto"/>
        </w:rPr>
      </w:pPr>
      <w:r>
        <w:rPr>
          <w:rFonts w:ascii="Times New Roman" w:cs="Times New Roman" w:eastAsia="Times New Roman" w:hAnsi="Times New Roman"/>
          <w:sz w:val="21"/>
          <w:szCs w:val="21"/>
          <w:color w:val="auto"/>
        </w:rPr>
        <w:t>such Warrants will be legal, valid and binding obligations of the Company, enforceable against the Company in accordance with their terms.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opinions expressed above are subject to the following exceptions, qualifications, limitations and assumptions:</w:t>
      </w:r>
    </w:p>
    <w:p>
      <w:pPr>
        <w:spacing w:after="0" w:line="183" w:lineRule="exact"/>
        <w:rPr>
          <w:sz w:val="20"/>
          <w:szCs w:val="20"/>
          <w:color w:val="auto"/>
        </w:rPr>
      </w:pPr>
    </w:p>
    <w:p>
      <w:pPr>
        <w:ind w:firstLine="1280"/>
        <w:spacing w:after="0" w:line="227" w:lineRule="auto"/>
        <w:tabs>
          <w:tab w:leader="none" w:pos="1688"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We render no opinion herein as to matters involving the laws of any jurisdiction other than the State of New York and the United States of America. This opinion is limited to the effect of the current state of the laws of the State of New York and the United States of America and the facts as they currently exist. We assume no obligation to revise or supplement this opinion in the event of future changes in such laws or the interpretations thereof or such facts.</w:t>
      </w:r>
    </w:p>
    <w:p>
      <w:pPr>
        <w:spacing w:after="0" w:line="147" w:lineRule="exact"/>
        <w:rPr>
          <w:rFonts w:ascii="Times New Roman" w:cs="Times New Roman" w:eastAsia="Times New Roman" w:hAnsi="Times New Roman"/>
          <w:sz w:val="21"/>
          <w:szCs w:val="21"/>
          <w:color w:val="auto"/>
        </w:rPr>
      </w:pPr>
    </w:p>
    <w:p>
      <w:pPr>
        <w:ind w:right="40" w:firstLine="1280"/>
        <w:spacing w:after="0" w:line="220" w:lineRule="auto"/>
        <w:tabs>
          <w:tab w:leader="none" w:pos="1676"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opinions above with respect to the Indenture, the Debt Securities, the Warrants and the Warrant Agreement (collectively, the “</w:t>
      </w:r>
      <w:r>
        <w:rPr>
          <w:rFonts w:ascii="Times New Roman" w:cs="Times New Roman" w:eastAsia="Times New Roman" w:hAnsi="Times New Roman"/>
          <w:sz w:val="21"/>
          <w:szCs w:val="21"/>
          <w:u w:val="single" w:color="auto"/>
          <w:color w:val="auto"/>
        </w:rPr>
        <w:t>Documents</w:t>
      </w:r>
      <w:r>
        <w:rPr>
          <w:rFonts w:ascii="Times New Roman" w:cs="Times New Roman" w:eastAsia="Times New Roman" w:hAnsi="Times New Roman"/>
          <w:sz w:val="21"/>
          <w:szCs w:val="21"/>
          <w:color w:val="auto"/>
        </w:rPr>
        <w:t>”) are each subject to (i) the effect of any bankruptcy, insolvency, reorganization, moratorium, arrangement or similar laws affecting the rights and remedies of creditors’ generally, including without limitation the effect of statutory or other laws regarding fraudulent transfers or preferential transfers and (ii) general principles of equity, including without limitation concepts of materiality, reasonableness, good faith and fair dealing and the possible unavailability of specific performance, injunctive relief or other equitable remedies regardless of whether enforceability is considered in a proceeding in equity or at law.</w:t>
      </w:r>
    </w:p>
    <w:p>
      <w:pPr>
        <w:spacing w:after="0" w:line="148" w:lineRule="exact"/>
        <w:rPr>
          <w:rFonts w:ascii="Times New Roman" w:cs="Times New Roman" w:eastAsia="Times New Roman" w:hAnsi="Times New Roman"/>
          <w:sz w:val="21"/>
          <w:szCs w:val="21"/>
          <w:color w:val="auto"/>
        </w:rPr>
      </w:pPr>
    </w:p>
    <w:p>
      <w:pPr>
        <w:ind w:right="280" w:firstLine="1280"/>
        <w:spacing w:after="0" w:line="223" w:lineRule="auto"/>
        <w:tabs>
          <w:tab w:leader="none" w:pos="1676"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We express no opinion regarding the effectiveness of (i) any waiver of stay, extension or usury laws; (ii) provisions relating to indemnification, exculpation or contribution, to the extent such provisions may be held unenforceable as contrary to public policy or federal or state securities laws; or (iii) any provision to the effect that every right or remedy is cumulative and may be exercised in addition to any other right or remedy or that the election of some particular remedy does not preclude recourse to one or more others.</w:t>
      </w:r>
    </w:p>
    <w:p>
      <w:pPr>
        <w:spacing w:after="0" w:line="151" w:lineRule="exact"/>
        <w:rPr>
          <w:rFonts w:ascii="Times New Roman" w:cs="Times New Roman" w:eastAsia="Times New Roman" w:hAnsi="Times New Roman"/>
          <w:sz w:val="21"/>
          <w:szCs w:val="21"/>
          <w:color w:val="auto"/>
        </w:rPr>
      </w:pPr>
    </w:p>
    <w:p>
      <w:pPr>
        <w:ind w:right="20" w:firstLine="1280"/>
        <w:spacing w:after="0" w:line="223" w:lineRule="auto"/>
        <w:tabs>
          <w:tab w:leader="none" w:pos="1688"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relevant to our opinion in paragraph 2 and not covered by our opinion in paragraph 1, we have assumed that any Common Shares, Preferred Shares, securities, currencies or commodities underlying, comprising or issuable upon exchange, conversion or exercise of any Debt Securities or Warrants are validly issued, fully paid and non-assessable (in the case of an equity security) or a legal, valid and binding obligation of the issuer thereof, enforceable against such issuer in accordance with its terms.</w:t>
      </w:r>
    </w:p>
    <w:p>
      <w:pPr>
        <w:spacing w:after="0" w:line="152"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21"/>
          <w:szCs w:val="21"/>
          <w:color w:val="auto"/>
        </w:rPr>
        <w:t>You have informed us that you intend to issue Securities from time to time on a delayed or continuous basis, and we understand that prior to issuing any Securities pursuant to the Registration Statement (i) you will advise us in writing of the terms thereof, and (ii) you will afford us an opportunity to (x) review the operative documents pursuant to which such Securities are to be issued or sold (including the applicable offering documents), and (y) file</w:t>
      </w:r>
    </w:p>
    <w:p>
      <w:pPr>
        <w:sectPr>
          <w:pgSz w:w="11900" w:h="16838" w:orient="portrait"/>
          <w:cols w:equalWidth="0" w:num="1">
            <w:col w:w="11220"/>
          </w:cols>
          <w:pgMar w:left="320" w:top="828"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21"/>
          <w:szCs w:val="21"/>
          <w:color w:val="auto"/>
        </w:rPr>
        <w:t>August 29,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such supplement or amendment to this opinion (if any) as we may reasonably consider necessary or appropriate.</w:t>
      </w:r>
    </w:p>
    <w:p>
      <w:pPr>
        <w:spacing w:after="0" w:line="183"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21"/>
          <w:szCs w:val="21"/>
          <w:color w:val="auto"/>
        </w:rPr>
        <w:t>We consent to the filing of this opinion as an exhibit to the Registration Statement, and we further consent to the use of our name under the caption “Legal Matters” in the Registration Statement and the prospectus that forms a part thereof. In giving these consents, we do not thereby admit that we are within the category of persons whose consent is required under Section 7 of the Securities Act or the rules and regulations of the Commission promulgated thereunder.</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Very truly yours,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Gibson, Dunn &amp; Crutcher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1001395</wp:posOffset>
            </wp:positionV>
            <wp:extent cx="2257425" cy="3371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2257425" cy="337185"/>
                    </a:xfrm>
                    <a:prstGeom prst="rect">
                      <a:avLst/>
                    </a:prstGeom>
                    <a:noFill/>
                  </pic:spPr>
                </pic:pic>
              </a:graphicData>
            </a:graphic>
          </wp:anchor>
        </w:drawing>
      </w:r>
    </w:p>
    <w:p>
      <w:pPr>
        <w:sectPr>
          <w:pgSz w:w="11900" w:h="16838" w:orient="portrait"/>
          <w:cols w:equalWidth="0" w:num="1">
            <w:col w:w="10960"/>
          </w:cols>
          <w:pgMar w:left="320" w:top="828" w:right="61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21"/>
          <w:szCs w:val="21"/>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Consent of Independent Registered Public Accounting Firm</w:t>
      </w:r>
    </w:p>
    <w:p>
      <w:pPr>
        <w:spacing w:after="0" w:line="187" w:lineRule="exact"/>
        <w:rPr>
          <w:sz w:val="20"/>
          <w:szCs w:val="20"/>
          <w:color w:val="auto"/>
        </w:rPr>
      </w:pPr>
    </w:p>
    <w:p>
      <w:pPr>
        <w:ind w:right="240"/>
        <w:spacing w:after="0" w:line="223" w:lineRule="auto"/>
        <w:rPr>
          <w:sz w:val="20"/>
          <w:szCs w:val="20"/>
          <w:color w:val="auto"/>
        </w:rPr>
      </w:pPr>
      <w:r>
        <w:rPr>
          <w:rFonts w:ascii="Times New Roman" w:cs="Times New Roman" w:eastAsia="Times New Roman" w:hAnsi="Times New Roman"/>
          <w:sz w:val="21"/>
          <w:szCs w:val="21"/>
          <w:color w:val="auto"/>
        </w:rPr>
        <w:t>We consent to the reference to our firm under the caption “Experts” in this Registration Statement (Form S-3) and related Prospectus of Civeo Corporation for the registration of common shares, preferred shares, debt securities and warrants and to the incorporation by reference therein of our reports dated February 28, 2022, with respect to the consolidated financial statements of Civeo Corporation, and the effectiveness of internal control over financial reporting of Civeo Corporation, included in its Annual Report (Form 10-K) for the year ended December 31, 2021, filed with the Securities and Exchange Commission.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Ernst &amp; Young LLP</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Houston, Texas</w:t>
      </w:r>
    </w:p>
    <w:p>
      <w:pPr>
        <w:spacing w:after="0"/>
        <w:rPr>
          <w:sz w:val="20"/>
          <w:szCs w:val="20"/>
          <w:color w:val="auto"/>
        </w:rPr>
      </w:pPr>
      <w:r>
        <w:rPr>
          <w:rFonts w:ascii="Times New Roman" w:cs="Times New Roman" w:eastAsia="Times New Roman" w:hAnsi="Times New Roman"/>
          <w:sz w:val="21"/>
          <w:szCs w:val="21"/>
          <w:color w:val="auto"/>
        </w:rPr>
        <w:t>August 29, 2022</w:t>
      </w:r>
    </w:p>
    <w:sectPr>
      <w:pgSz w:w="11900" w:h="16838" w:orient="portrait"/>
      <w:cols w:equalWidth="0" w:num="1">
        <w:col w:w="11240"/>
      </w:cols>
      <w:pgMar w:left="320" w:top="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1)"/>
      <w:numFmt w:val="decimal"/>
      <w:start w:val="1"/>
    </w:lvl>
    <w:lvl w:ilvl="1">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
      <w:numFmt w:val="bullet"/>
      <w:start w:val="1"/>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
      <w:numFmt w:val="bullet"/>
      <w:start w:val="1"/>
    </w:lvl>
  </w:abstractNum>
  <w:abstractNum w:abstractNumId="29">
    <w:nsid w:val="725A06FB"/>
    <w:multiLevelType w:val="hybridMultilevel"/>
    <w:lvl w:ilvl="0">
      <w:lvlJc w:val="left"/>
      <w:lvlText w:val="(%1)"/>
      <w:numFmt w:val="decimal"/>
      <w:start w:val="1"/>
    </w:lvl>
  </w:abstractNum>
  <w:abstractNum w:abstractNumId="30">
    <w:nsid w:val="2CD89A32"/>
    <w:multiLevelType w:val="hybridMultilevel"/>
    <w:lvl w:ilvl="0">
      <w:lvlJc w:val="left"/>
      <w:lvlText w:val="•"/>
      <w:numFmt w:val="bullet"/>
      <w:start w:val="1"/>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
      <w:numFmt w:val="bullet"/>
      <w:start w:val="1"/>
    </w:lvl>
    <w:lvl w:ilvl="1">
      <w:lvlJc w:val="left"/>
      <w:lvlText w:val="*"/>
      <w:numFmt w:val="bullet"/>
      <w:start w:val="1"/>
    </w:lvl>
  </w:abstractNum>
  <w:abstractNum w:abstractNumId="33">
    <w:nsid w:val="4B588F54"/>
    <w:multiLevelType w:val="hybridMultilevel"/>
    <w:lvl w:ilvl="0">
      <w:lvlJc w:val="left"/>
      <w:lvlText w:val="%1"/>
      <w:numFmt w:val="upperLetter"/>
      <w:start w:val="35"/>
    </w:lvl>
  </w:abstractNum>
  <w:abstractNum w:abstractNumId="34">
    <w:nsid w:val="542289EC"/>
    <w:multiLevelType w:val="hybridMultilevel"/>
    <w:lvl w:ilvl="0">
      <w:lvlJc w:val="left"/>
      <w:lvlText w:val="%1"/>
      <w:numFmt w:val="upperLetter"/>
      <w:start w:val="35"/>
    </w:lvl>
  </w:abstractNum>
  <w:abstractNum w:abstractNumId="35">
    <w:nsid w:val="6DE91B18"/>
    <w:multiLevelType w:val="hybridMultilevel"/>
    <w:lvl w:ilvl="0">
      <w:lvlJc w:val="left"/>
      <w:lvlText w:val="†"/>
      <w:numFmt w:val="bullet"/>
      <w:start w:val="1"/>
    </w:lvl>
  </w:abstractNum>
  <w:abstractNum w:abstractNumId="36">
    <w:nsid w:val="38437FDB"/>
    <w:multiLevelType w:val="hybridMultilevel"/>
    <w:lvl w:ilvl="0">
      <w:lvlJc w:val="left"/>
      <w:lvlText w:val="%1"/>
      <w:numFmt w:val="upperLetter"/>
      <w:start w:val="35"/>
    </w:lvl>
  </w:abstractNum>
  <w:abstractNum w:abstractNumId="37">
    <w:nsid w:val="7644A45C"/>
    <w:multiLevelType w:val="hybridMultilevel"/>
    <w:lvl w:ilvl="0">
      <w:lvlJc w:val="left"/>
      <w:lvlText w:val="%1"/>
      <w:numFmt w:val="lowerRoman"/>
      <w:start w:val="1"/>
    </w:lvl>
    <w:lvl w:ilvl="1">
      <w:lvlJc w:val="left"/>
      <w:lvlText w:val="(%2)"/>
      <w:numFmt w:val="decimal"/>
      <w:start w:val="1"/>
    </w:lvl>
  </w:abstractNum>
  <w:abstractNum w:abstractNumId="38">
    <w:nsid w:val="32FFF902"/>
    <w:multiLevelType w:val="hybridMultilevel"/>
    <w:lvl w:ilvl="0">
      <w:lvlJc w:val="left"/>
      <w:lvlText w:val="(%1)"/>
      <w:numFmt w:val="lowerRoman"/>
      <w:start w:val="1"/>
    </w:lvl>
    <w:lvl w:ilvl="1">
      <w:lvlJc w:val="left"/>
      <w:lvlText w:val="%2"/>
      <w:numFmt w:val="decimal"/>
      <w:start w:val="1"/>
    </w:lvl>
  </w:abstractNum>
  <w:abstractNum w:abstractNumId="39">
    <w:nsid w:val="684A481A"/>
    <w:multiLevelType w:val="hybridMultilevel"/>
    <w:lvl w:ilvl="0">
      <w:lvlJc w:val="left"/>
      <w:lvlText w:val="(%1)"/>
      <w:numFmt w:val="decimal"/>
      <w:start w:val="2"/>
    </w:lvl>
  </w:abstractNum>
  <w:abstractNum w:abstractNumId="40">
    <w:nsid w:val="579478FE"/>
    <w:multiLevelType w:val="hybridMultilevel"/>
    <w:lvl w:ilvl="0">
      <w:lvlJc w:val="left"/>
      <w:lvlText w:val="(%1)"/>
      <w:numFmt w:val="upperLetter"/>
      <w:start w:val="1"/>
    </w:lvl>
  </w:abstractNum>
  <w:abstractNum w:abstractNumId="41">
    <w:nsid w:val="749ABB43"/>
    <w:multiLevelType w:val="hybridMultilevel"/>
    <w:lvl w:ilvl="0">
      <w:lvlJc w:val="left"/>
      <w:lvlText w:val="(%1)"/>
      <w:numFmt w:val="decimal"/>
      <w:start w:val="5"/>
    </w:lvl>
  </w:abstractNum>
  <w:abstractNum w:abstractNumId="42">
    <w:nsid w:val="3DC240FB"/>
    <w:multiLevelType w:val="hybridMultilevel"/>
    <w:lvl w:ilvl="0">
      <w:lvlJc w:val="left"/>
      <w:lvlText w:val="(%1)"/>
      <w:numFmt w:val="lowerRoman"/>
      <w:start w:val="1"/>
    </w:lvl>
    <w:lvl w:ilvl="1">
      <w:lvlJc w:val="left"/>
      <w:lvlText w:val="%2"/>
      <w:numFmt w:val="upperLetter"/>
      <w:start w:val="35"/>
    </w:lvl>
  </w:abstractNum>
  <w:abstractNum w:abstractNumId="43">
    <w:nsid w:val="1BA026FA"/>
    <w:multiLevelType w:val="hybridMultilevel"/>
    <w:lvl w:ilvl="0">
      <w:lvlJc w:val="left"/>
      <w:lvlText w:val="(%1)"/>
      <w:numFmt w:val="lowerRoman"/>
      <w:start w:val="3"/>
    </w:lvl>
  </w:abstractNum>
  <w:abstractNum w:abstractNumId="44">
    <w:nsid w:val="79A1DEAA"/>
    <w:multiLevelType w:val="hybridMultilevel"/>
    <w:lvl w:ilvl="0">
      <w:lvlJc w:val="left"/>
      <w:lvlText w:val="(%1)"/>
      <w:numFmt w:val="lowerLetter"/>
      <w:start w:val="2"/>
    </w:lvl>
  </w:abstractNum>
  <w:abstractNum w:abstractNumId="45">
    <w:nsid w:val="75C6C33A"/>
    <w:multiLevelType w:val="hybridMultilevel"/>
    <w:lvl w:ilvl="0">
      <w:lvlJc w:val="left"/>
      <w:lvlText w:val="(%1)"/>
      <w:numFmt w:val="decimal"/>
      <w:start w:val="1"/>
    </w:lvl>
  </w:abstractNum>
  <w:abstractNum w:abstractNumId="46">
    <w:nsid w:val="12E685FB"/>
    <w:multiLevelType w:val="hybridMultilevel"/>
    <w:lvl w:ilvl="0">
      <w:lvlJc w:val="left"/>
      <w:lvlText w:val="(%1)"/>
      <w:numFmt w:val="lowerLetter"/>
      <w:start w:val="5"/>
    </w:lvl>
    <w:lvl w:ilvl="1">
      <w:lvlJc w:val="left"/>
      <w:lvlText w:val="%2"/>
      <w:numFmt w:val="upperLetter"/>
      <w:start w:val="35"/>
    </w:lvl>
  </w:abstractNum>
  <w:abstractNum w:abstractNumId="47">
    <w:nsid w:val="70C6A529"/>
    <w:multiLevelType w:val="hybridMultilevel"/>
    <w:lvl w:ilvl="0">
      <w:lvlJc w:val="left"/>
      <w:lvlText w:val="(%1)"/>
      <w:numFmt w:val="decimal"/>
      <w:start w:val="1"/>
    </w:lvl>
  </w:abstractNum>
  <w:abstractNum w:abstractNumId="48">
    <w:nsid w:val="520EEDD1"/>
    <w:multiLevelType w:val="hybridMultilevel"/>
    <w:lvl w:ilvl="0">
      <w:lvlJc w:val="left"/>
      <w:lvlText w:val="(%1)"/>
      <w:numFmt w:val="lowerRoman"/>
      <w:start w:val="2"/>
    </w:lvl>
  </w:abstractNum>
  <w:abstractNum w:abstractNumId="49">
    <w:nsid w:val="374A3FE6"/>
    <w:multiLevelType w:val="hybridMultilevel"/>
    <w:lvl w:ilvl="0">
      <w:lvlJc w:val="left"/>
      <w:lvlText w:val="(%1)"/>
      <w:numFmt w:val="lowerLetter"/>
      <w:start w:val="1"/>
    </w:lvl>
  </w:abstractNum>
  <w:abstractNum w:abstractNumId="50">
    <w:nsid w:val="4F4EF005"/>
    <w:multiLevelType w:val="hybridMultilevel"/>
    <w:lvl w:ilvl="0">
      <w:lvlJc w:val="left"/>
      <w:lvlText w:val="(%1)"/>
      <w:numFmt w:val="lowerLetter"/>
      <w:start w:val="8"/>
    </w:lvl>
  </w:abstractNum>
  <w:abstractNum w:abstractNumId="51">
    <w:nsid w:val="23F9C13C"/>
    <w:multiLevelType w:val="hybridMultilevel"/>
    <w:lvl w:ilvl="0">
      <w:lvlJc w:val="left"/>
      <w:lvlText w:val="%1."/>
      <w:numFmt w:val="decimal"/>
      <w:start w:val="1"/>
    </w:lvl>
  </w:abstractNum>
  <w:abstractNum w:abstractNumId="52">
    <w:nsid w:val="649BB77C"/>
    <w:multiLevelType w:val="hybridMultilevel"/>
    <w:lvl w:ilvl="0">
      <w:lvlJc w:val="left"/>
      <w:lvlText w:val="(%1)"/>
      <w:numFmt w:val="lowerRoman"/>
      <w:start w:val="1"/>
    </w:lvl>
  </w:abstractNum>
  <w:abstractNum w:abstractNumId="53">
    <w:nsid w:val="275AC794"/>
    <w:multiLevelType w:val="hybridMultilevel"/>
    <w:lvl w:ilvl="0">
      <w:lvlJc w:val="left"/>
      <w:lvlText w:val="(%1)"/>
      <w:numFmt w:val="lowerRoman"/>
      <w:start w:val="1"/>
    </w:lvl>
  </w:abstractNum>
  <w:abstractNum w:abstractNumId="54">
    <w:nsid w:val="39386575"/>
    <w:multiLevelType w:val="hybridMultilevel"/>
    <w:lvl w:ilvl="0">
      <w:lvlJc w:val="left"/>
      <w:lvlText w:val="(%1)"/>
      <w:numFmt w:val="lowerRoman"/>
      <w:start w:val="5"/>
    </w:lvl>
  </w:abstractNum>
  <w:abstractNum w:abstractNumId="55">
    <w:nsid w:val="1CF10FD8"/>
    <w:multiLevelType w:val="hybridMultilevel"/>
    <w:lvl w:ilvl="0">
      <w:lvlJc w:val="left"/>
      <w:lvlText w:val="%1."/>
      <w:numFmt w:val="decimal"/>
      <w:start w:val="1"/>
    </w:lvl>
    <w:lvl w:ilvl="1">
      <w:lvlJc w:val="left"/>
      <w:lvlText w:val="%2."/>
      <w:numFmt w:val="lowerLetter"/>
      <w:start w:val="1"/>
    </w:lvl>
  </w:abstractNum>
  <w:abstractNum w:abstractNumId="56">
    <w:nsid w:val="180115BE"/>
    <w:multiLevelType w:val="hybridMultilevel"/>
    <w:lvl w:ilvl="0">
      <w:lvlJc w:val="left"/>
      <w:lvlText w:val="%1."/>
      <w:numFmt w:val="decimal"/>
      <w:start w:val="2"/>
    </w:lvl>
    <w:lvl w:ilvl="1">
      <w:lvlJc w:val="left"/>
      <w:lvlText w:val="%2."/>
      <w:numFmt w:val="lowerLetter"/>
      <w:start w:val="1"/>
    </w:lvl>
  </w:abstractNum>
  <w:abstractNum w:abstractNumId="57">
    <w:nsid w:val="235BA861"/>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jpeg"/><Relationship Id="rId32" Type="http://schemas.openxmlformats.org/officeDocument/2006/relationships/image" Target="media/image18.jpeg"/><Relationship Id="rId33" Type="http://schemas.openxmlformats.org/officeDocument/2006/relationships/image" Target="media/image19.jpeg"/><Relationship Id="rId34" Type="http://schemas.openxmlformats.org/officeDocument/2006/relationships/image" Target="media/image20.jpeg"/><Relationship Id="rId35" Type="http://schemas.openxmlformats.org/officeDocument/2006/relationships/image" Target="media/image21.jpeg"/><Relationship Id="rId36" Type="http://schemas.openxmlformats.org/officeDocument/2006/relationships/image" Target="media/image22.jpeg"/><Relationship Id="rId22" Type="http://schemas.openxmlformats.org/officeDocument/2006/relationships/hyperlink" Target="https://www.sec.gov/Archives/edgar/data/1590584/000143774918006074/ex_109485.htm" TargetMode="External"/><Relationship Id="rId23" Type="http://schemas.openxmlformats.org/officeDocument/2006/relationships/hyperlink" Target="http://www.sec.gov/Archives/edgar/data/0001590584/000159058420000142/ex31amendedarticlesciveo.htm" TargetMode="External"/><Relationship Id="rId24" Type="http://schemas.openxmlformats.org/officeDocument/2006/relationships/hyperlink" Target="https://www.sec.gov/Archives/edgar/data/1590584/000143774918006074/ex_109480.htm" TargetMode="External"/><Relationship Id="rId25" Type="http://schemas.openxmlformats.org/officeDocument/2006/relationships/hyperlink" Target="https://www.sec.gov/Archives/edgar/data/1590584/000143774915013719/ex4-1.htm" TargetMode="External"/><Relationship Id="rId26" Type="http://schemas.openxmlformats.org/officeDocument/2006/relationships/hyperlink" Target="https://www.sec.gov/Archives/edgar/data/1590584/000143774918006074/ex_109479.htm" TargetMode="External"/><Relationship Id="rId27" Type="http://schemas.openxmlformats.org/officeDocument/2006/relationships/hyperlink" Target="https://www.sec.gov/Archives/edgar/data/1590584/000143774916035943/ex4-2.htm" TargetMode="External"/><Relationship Id="rId28" Type="http://schemas.openxmlformats.org/officeDocument/2006/relationships/hyperlink" Target="https://www.sec.gov/Archives/edgar/data/1590584/000143774916035943/ex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2022-08-29T17:06:55Z</dcterms:created>
  <dcterms:modified xsi:type="dcterms:W3CDTF">2022-08-29T17:06:55Z</dcterms:modified>
</cp:coreProperties>
</file>