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14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98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SVP, Canada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2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02/20/2020</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23,952</w:t>
            </w:r>
          </w:p>
        </w:tc>
        <w:tc>
          <w:tcPr>
            <w:tcW w:w="60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269,423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02/20/2020</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3"/>
                <w:szCs w:val="13"/>
                <w:color w:val="0000FF"/>
              </w:rPr>
              <w:t>F</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0000FF"/>
                <w:w w:val="92"/>
              </w:rPr>
              <w:t>11,497</w:t>
            </w:r>
          </w:p>
        </w:tc>
        <w:tc>
          <w:tcPr>
            <w:tcW w:w="600" w:type="dxa"/>
            <w:vAlign w:val="bottom"/>
          </w:tcPr>
          <w:p>
            <w:pPr>
              <w:jc w:val="right"/>
              <w:ind w:righ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1.46</w:t>
            </w:r>
          </w:p>
        </w:tc>
        <w:tc>
          <w:tcPr>
            <w:tcW w:w="1340" w:type="dxa"/>
            <w:vAlign w:val="bottom"/>
            <w:gridSpan w:val="3"/>
          </w:tcPr>
          <w:p>
            <w:pPr>
              <w:ind w:left="420"/>
              <w:spacing w:after="0"/>
              <w:rPr>
                <w:sz w:val="20"/>
                <w:szCs w:val="20"/>
                <w:color w:val="auto"/>
              </w:rPr>
            </w:pPr>
            <w:r>
              <w:rPr>
                <w:rFonts w:ascii="Arial" w:cs="Arial" w:eastAsia="Arial" w:hAnsi="Arial"/>
                <w:sz w:val="17"/>
                <w:szCs w:val="17"/>
                <w:color w:val="0000FF"/>
              </w:rPr>
              <w:t>257,926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23,952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02/20/2020</w:t>
            </w:r>
          </w:p>
        </w:tc>
        <w:tc>
          <w:tcPr>
            <w:tcW w:w="1180" w:type="dxa"/>
            <w:vAlign w:val="bottom"/>
          </w:tcPr>
          <w:p>
            <w:pPr>
              <w:spacing w:after="0"/>
              <w:rPr>
                <w:sz w:val="11"/>
                <w:szCs w:val="11"/>
                <w:color w:val="auto"/>
              </w:rPr>
            </w:pPr>
          </w:p>
        </w:tc>
        <w:tc>
          <w:tcPr>
            <w:tcW w:w="76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32" w:lineRule="exact"/>
              <w:rPr>
                <w:sz w:val="20"/>
                <w:szCs w:val="20"/>
                <w:color w:val="auto"/>
              </w:rPr>
            </w:pPr>
            <w:r>
              <w:rPr>
                <w:rFonts w:ascii="Arial" w:cs="Arial" w:eastAsia="Arial" w:hAnsi="Arial"/>
                <w:sz w:val="13"/>
                <w:szCs w:val="13"/>
                <w:color w:val="0000FF"/>
              </w:rPr>
              <w:t>23,952</w:t>
            </w: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32" w:lineRule="exact"/>
              <w:rPr>
                <w:sz w:val="20"/>
                <w:szCs w:val="20"/>
                <w:color w:val="auto"/>
              </w:rPr>
            </w:pPr>
            <w:r>
              <w:rPr>
                <w:rFonts w:ascii="Arial" w:cs="Arial" w:eastAsia="Arial" w:hAnsi="Arial"/>
                <w:sz w:val="13"/>
                <w:szCs w:val="13"/>
                <w:color w:val="0000FF"/>
              </w:rPr>
              <w:t>151,355</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27"/>
              <w:spacing w:after="0" w:line="148" w:lineRule="exact"/>
              <w:rPr>
                <w:sz w:val="20"/>
                <w:szCs w:val="20"/>
                <w:color w:val="auto"/>
              </w:rPr>
            </w:pPr>
            <w:r>
              <w:rPr>
                <w:rFonts w:ascii="Arial" w:cs="Arial" w:eastAsia="Arial" w:hAnsi="Arial"/>
                <w:sz w:val="13"/>
                <w:szCs w:val="13"/>
                <w:color w:val="0000FF"/>
                <w:w w:val="92"/>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Corporation common share and is payable in shares. The restricted share units vest at various times based on grant date. 23,952 units vested February 20, 2020.</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Canada</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2020-02-24T10:31:29Z</dcterms:created>
  <dcterms:modified xsi:type="dcterms:W3CDTF">2020-02-24T10:31:29Z</dcterms:modified>
</cp:coreProperties>
</file>