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6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Date of Report (date of earliest event reported): May 14, 2015</w:t>
      </w: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CIVEO CORPORATION</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220" w:right="359" w:bottom="1440" w:gutter="0" w:footer="0" w:header="0"/>
        </w:sectPr>
      </w:pPr>
    </w:p>
    <w:p>
      <w:pPr>
        <w:spacing w:after="0" w:line="205" w:lineRule="exact"/>
        <w:rPr>
          <w:sz w:val="24"/>
          <w:szCs w:val="24"/>
          <w:color w:val="auto"/>
        </w:rPr>
      </w:pPr>
    </w:p>
    <w:p>
      <w:pPr>
        <w:ind w:left="1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80"/>
        <w:spacing w:after="0"/>
        <w:rPr>
          <w:sz w:val="20"/>
          <w:szCs w:val="20"/>
          <w:color w:val="auto"/>
        </w:rPr>
      </w:pPr>
      <w:r>
        <w:rPr>
          <w:rFonts w:ascii="Arial" w:cs="Arial" w:eastAsia="Arial" w:hAnsi="Arial"/>
          <w:sz w:val="16"/>
          <w:szCs w:val="16"/>
          <w:b w:val="1"/>
          <w:bCs w:val="1"/>
          <w:color w:val="auto"/>
        </w:rPr>
        <w:t>1-36246</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46-3831207</w:t>
      </w:r>
    </w:p>
    <w:p>
      <w:pPr>
        <w:spacing w:after="0" w:line="200" w:lineRule="exact"/>
        <w:rPr>
          <w:sz w:val="24"/>
          <w:szCs w:val="24"/>
          <w:color w:val="auto"/>
        </w:rPr>
      </w:pPr>
    </w:p>
    <w:p>
      <w:pPr>
        <w:sectPr>
          <w:pgSz w:w="11900" w:h="16838" w:orient="portrait"/>
          <w:cols w:equalWidth="0" w:num="3">
            <w:col w:w="4680" w:space="720"/>
            <w:col w:w="3080" w:space="720"/>
            <w:col w:w="2100"/>
          </w:cols>
          <w:pgMar w:left="240" w:top="220" w:right="359" w:bottom="1440" w:gutter="0" w:footer="0" w:header="0"/>
          <w:type w:val="continuous"/>
        </w:sectPr>
      </w:pPr>
    </w:p>
    <w:p>
      <w:pPr>
        <w:spacing w:after="0" w:line="52" w:lineRule="exact"/>
        <w:rPr>
          <w:sz w:val="24"/>
          <w:szCs w:val="24"/>
          <w:color w:val="auto"/>
        </w:rPr>
      </w:pPr>
    </w:p>
    <w:p>
      <w:pPr>
        <w:ind w:left="70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jc w:val="center"/>
        <w:ind w:right="1280"/>
        <w:spacing w:after="0"/>
        <w:rPr>
          <w:sz w:val="20"/>
          <w:szCs w:val="20"/>
          <w:color w:val="auto"/>
        </w:rPr>
      </w:pPr>
      <w:r>
        <w:rPr>
          <w:rFonts w:ascii="Arial" w:cs="Arial" w:eastAsia="Arial" w:hAnsi="Arial"/>
          <w:sz w:val="16"/>
          <w:szCs w:val="16"/>
          <w:color w:val="auto"/>
        </w:rPr>
        <w:t>(Commission File</w:t>
      </w:r>
    </w:p>
    <w:p>
      <w:pPr>
        <w:spacing w:after="0" w:line="46" w:lineRule="exact"/>
        <w:rPr>
          <w:sz w:val="24"/>
          <w:szCs w:val="24"/>
          <w:color w:val="auto"/>
        </w:rPr>
      </w:pPr>
    </w:p>
    <w:p>
      <w:pPr>
        <w:jc w:val="center"/>
        <w:ind w:right="128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(I.R.S. Employer Identification No.)</w:t>
      </w:r>
    </w:p>
    <w:p>
      <w:pPr>
        <w:spacing w:after="0" w:line="453" w:lineRule="exact"/>
        <w:rPr>
          <w:sz w:val="24"/>
          <w:szCs w:val="24"/>
          <w:color w:val="auto"/>
        </w:rPr>
      </w:pPr>
    </w:p>
    <w:p>
      <w:pPr>
        <w:sectPr>
          <w:pgSz w:w="11900" w:h="16838" w:orient="portrait"/>
          <w:cols w:equalWidth="0" w:num="3">
            <w:col w:w="4340" w:space="720"/>
            <w:col w:w="2560" w:space="720"/>
            <w:col w:w="2960"/>
          </w:cols>
          <w:pgMar w:left="240" w:top="220" w:right="359" w:bottom="1440" w:gutter="0" w:footer="0" w:header="0"/>
          <w:type w:val="continuous"/>
        </w:sectPr>
      </w:pPr>
    </w:p>
    <w:p>
      <w:pPr>
        <w:spacing w:after="0" w:line="7" w:lineRule="exact"/>
        <w:rPr>
          <w:sz w:val="24"/>
          <w:szCs w:val="24"/>
          <w:color w:val="auto"/>
        </w:rPr>
      </w:pPr>
    </w:p>
    <w:p>
      <w:pPr>
        <w:jc w:val="center"/>
        <w:ind w:right="2280"/>
        <w:spacing w:after="0"/>
        <w:rPr>
          <w:sz w:val="20"/>
          <w:szCs w:val="20"/>
          <w:color w:val="auto"/>
        </w:rPr>
      </w:pPr>
      <w:r>
        <w:rPr>
          <w:rFonts w:ascii="Arial" w:cs="Arial" w:eastAsia="Arial" w:hAnsi="Arial"/>
          <w:sz w:val="18"/>
          <w:szCs w:val="18"/>
          <w:b w:val="1"/>
          <w:bCs w:val="1"/>
          <w:color w:val="auto"/>
        </w:rPr>
        <w:t>Three Allen Center</w:t>
      </w:r>
    </w:p>
    <w:p>
      <w:pPr>
        <w:spacing w:after="0" w:line="27" w:lineRule="exact"/>
        <w:rPr>
          <w:sz w:val="24"/>
          <w:szCs w:val="24"/>
          <w:color w:val="auto"/>
        </w:rPr>
      </w:pPr>
    </w:p>
    <w:p>
      <w:pPr>
        <w:jc w:val="center"/>
        <w:ind w:right="2280"/>
        <w:spacing w:after="0"/>
        <w:rPr>
          <w:sz w:val="20"/>
          <w:szCs w:val="20"/>
          <w:color w:val="auto"/>
        </w:rPr>
      </w:pPr>
      <w:r>
        <w:rPr>
          <w:rFonts w:ascii="Arial" w:cs="Arial" w:eastAsia="Arial" w:hAnsi="Arial"/>
          <w:sz w:val="16"/>
          <w:szCs w:val="16"/>
          <w:b w:val="1"/>
          <w:bCs w:val="1"/>
          <w:color w:val="auto"/>
        </w:rPr>
        <w:t>333 Clay Street, Suite 4980</w:t>
      </w:r>
    </w:p>
    <w:p>
      <w:pPr>
        <w:spacing w:after="0" w:line="32" w:lineRule="exact"/>
        <w:rPr>
          <w:sz w:val="24"/>
          <w:szCs w:val="24"/>
          <w:color w:val="auto"/>
        </w:rPr>
      </w:pPr>
    </w:p>
    <w:p>
      <w:pPr>
        <w:jc w:val="center"/>
        <w:ind w:right="2280"/>
        <w:spacing w:after="0"/>
        <w:rPr>
          <w:sz w:val="20"/>
          <w:szCs w:val="20"/>
          <w:color w:val="auto"/>
        </w:rPr>
      </w:pPr>
      <w:r>
        <w:rPr>
          <w:rFonts w:ascii="Arial" w:cs="Arial" w:eastAsia="Arial" w:hAnsi="Arial"/>
          <w:sz w:val="18"/>
          <w:szCs w:val="18"/>
          <w:b w:val="1"/>
          <w:bCs w:val="1"/>
          <w:color w:val="auto"/>
        </w:rPr>
        <w:t>Houston, Texas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77002</w:t>
      </w:r>
    </w:p>
    <w:p>
      <w:pPr>
        <w:spacing w:after="0" w:line="241" w:lineRule="exact"/>
        <w:rPr>
          <w:sz w:val="24"/>
          <w:szCs w:val="24"/>
          <w:color w:val="auto"/>
        </w:rPr>
      </w:pPr>
    </w:p>
    <w:p>
      <w:pPr>
        <w:sectPr>
          <w:pgSz w:w="11900" w:h="16838" w:orient="portrait"/>
          <w:cols w:equalWidth="0" w:num="2">
            <w:col w:w="7740" w:space="720"/>
            <w:col w:w="2840"/>
          </w:cols>
          <w:pgMar w:left="240" w:top="220" w:right="359" w:bottom="1440" w:gutter="0" w:footer="0" w:header="0"/>
          <w:type w:val="continuous"/>
        </w:sectPr>
      </w:pPr>
    </w:p>
    <w:p>
      <w:pPr>
        <w:spacing w:after="0" w:line="11" w:lineRule="exact"/>
        <w:rPr>
          <w:sz w:val="24"/>
          <w:szCs w:val="24"/>
          <w:color w:val="auto"/>
        </w:rPr>
      </w:pPr>
    </w:p>
    <w:p>
      <w:pPr>
        <w:ind w:left="1260"/>
        <w:spacing w:after="0"/>
        <w:tabs>
          <w:tab w:leader="none" w:pos="828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ectPr>
          <w:pgSz w:w="11900" w:h="16838" w:orient="portrait"/>
          <w:cols w:equalWidth="0" w:num="1">
            <w:col w:w="11300"/>
          </w:cols>
          <w:pgMar w:left="240" w:top="220"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00"/>
          </w:cols>
          <w:pgMar w:left="240" w:top="220" w:right="359" w:bottom="1440" w:gutter="0" w:footer="0" w:header="0"/>
          <w:type w:val="continuous"/>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56"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2015 Annual Meeting of Stockholders (the “Annual Meeting”) of Civeo Corporation (the “Company”) was held on May 14, 2015. At the Annual Meeting, the stockholders of the Company (i) approved the adoption of the merger agreement among the Company, Civeo Canadian Holdings ULC and Civeo US Merger Co, (ii) elected two Class I nominees to the Board of Directors, (iii) ratified the appointment of Ernst &amp; Young LLP as the Company’s independent registered public accounting firm for 2015, (iv) voted, on an advisory basis, in favor of the compensation of the named executive officers and (v) recommended, on an advisory basis, a frequency of one year on the advisory vote on compensation of the named executive officers. The adjournment proposal was not acted upon at the Annual Meeting. The proposals related to each matter are described in detail in the Company’s definitive proxy statement/prospectus on Schedule 14A filed with the Securities and Exchange Commission (the “SEC”) on April 8, 2015. The voting results for each proposal are as follows: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1. To approve the adoption of the merger agreement among the Company, Civeo Canadian Holdings ULC and Civeo US Merger Co:</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6"/>
              </w:rPr>
              <w:t>For</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8"/>
                <w:szCs w:val="18"/>
                <w:b w:val="1"/>
                <w:bCs w:val="1"/>
                <w:color w:val="auto"/>
                <w:w w:val="90"/>
              </w:rPr>
              <w:t>Against</w:t>
            </w:r>
          </w:p>
        </w:tc>
        <w:tc>
          <w:tcPr>
            <w:tcW w:w="480" w:type="dxa"/>
            <w:vAlign w:val="bottom"/>
            <w:gridSpan w:val="3"/>
          </w:tcPr>
          <w:p>
            <w:pPr>
              <w:spacing w:after="0"/>
              <w:rPr>
                <w:sz w:val="20"/>
                <w:szCs w:val="20"/>
                <w:color w:val="auto"/>
              </w:rPr>
            </w:pPr>
          </w:p>
        </w:tc>
        <w:tc>
          <w:tcPr>
            <w:tcW w:w="280" w:type="dxa"/>
            <w:vAlign w:val="bottom"/>
            <w:tcBorders>
              <w:bottom w:val="single" w:sz="8" w:color="auto"/>
            </w:tcBorders>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ind w:left="280"/>
              <w:spacing w:after="0"/>
              <w:rPr>
                <w:sz w:val="20"/>
                <w:szCs w:val="20"/>
                <w:color w:val="auto"/>
              </w:rPr>
            </w:pPr>
            <w:r>
              <w:rPr>
                <w:rFonts w:ascii="Arial" w:cs="Arial" w:eastAsia="Arial" w:hAnsi="Arial"/>
                <w:sz w:val="18"/>
                <w:szCs w:val="18"/>
                <w:b w:val="1"/>
                <w:bCs w:val="1"/>
                <w:color w:val="auto"/>
              </w:rPr>
              <w:t>Abstain</w:t>
            </w:r>
          </w:p>
        </w:tc>
        <w:tc>
          <w:tcPr>
            <w:tcW w:w="2260" w:type="dxa"/>
            <w:vAlign w:val="bottom"/>
            <w:tcBorders>
              <w:bottom w:val="single" w:sz="8" w:color="auto"/>
            </w:tcBorders>
          </w:tcPr>
          <w:p>
            <w:pPr>
              <w:jc w:val="center"/>
              <w:ind w:right="710"/>
              <w:spacing w:after="0"/>
              <w:rPr>
                <w:sz w:val="20"/>
                <w:szCs w:val="20"/>
                <w:color w:val="auto"/>
              </w:rPr>
            </w:pPr>
            <w:r>
              <w:rPr>
                <w:rFonts w:ascii="Arial" w:cs="Arial" w:eastAsia="Arial" w:hAnsi="Arial"/>
                <w:sz w:val="18"/>
                <w:szCs w:val="18"/>
                <w:b w:val="1"/>
                <w:bCs w:val="1"/>
                <w:color w:val="auto"/>
                <w:w w:val="90"/>
              </w:rPr>
              <w:t>Broker Non-Votes</w:t>
            </w:r>
          </w:p>
        </w:tc>
      </w:tr>
      <w:tr>
        <w:trPr>
          <w:trHeight w:val="210"/>
        </w:trPr>
        <w:tc>
          <w:tcPr>
            <w:tcW w:w="160" w:type="dxa"/>
            <w:vAlign w:val="bottom"/>
            <w:shd w:val="clear" w:color="auto" w:fill="CCEEFF"/>
          </w:tcPr>
          <w:p>
            <w:pPr>
              <w:spacing w:after="0"/>
              <w:rPr>
                <w:sz w:val="18"/>
                <w:szCs w:val="18"/>
                <w:color w:val="auto"/>
              </w:rPr>
            </w:pPr>
          </w:p>
        </w:tc>
        <w:tc>
          <w:tcPr>
            <w:tcW w:w="206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69,027,886</w:t>
            </w:r>
          </w:p>
        </w:tc>
        <w:tc>
          <w:tcPr>
            <w:tcW w:w="2820" w:type="dxa"/>
            <w:vAlign w:val="bottom"/>
            <w:gridSpan w:val="7"/>
            <w:shd w:val="clear" w:color="auto" w:fill="CCEEFF"/>
          </w:tcPr>
          <w:p>
            <w:pPr>
              <w:jc w:val="right"/>
              <w:ind w:right="710"/>
              <w:spacing w:after="0"/>
              <w:rPr>
                <w:sz w:val="20"/>
                <w:szCs w:val="20"/>
                <w:color w:val="auto"/>
              </w:rPr>
            </w:pPr>
            <w:r>
              <w:rPr>
                <w:rFonts w:ascii="Arial" w:cs="Arial" w:eastAsia="Arial" w:hAnsi="Arial"/>
                <w:sz w:val="18"/>
                <w:szCs w:val="18"/>
                <w:color w:val="auto"/>
              </w:rPr>
              <w:t>135,017</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16,869</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60" w:type="dxa"/>
            <w:vAlign w:val="bottom"/>
            <w:shd w:val="clear" w:color="auto" w:fill="CCEEFF"/>
          </w:tcPr>
          <w:p>
            <w:pPr>
              <w:jc w:val="center"/>
              <w:ind w:right="710"/>
              <w:spacing w:after="0"/>
              <w:rPr>
                <w:sz w:val="20"/>
                <w:szCs w:val="20"/>
                <w:color w:val="auto"/>
              </w:rPr>
            </w:pPr>
            <w:r>
              <w:rPr>
                <w:rFonts w:ascii="Arial" w:cs="Arial" w:eastAsia="Arial" w:hAnsi="Arial"/>
                <w:sz w:val="18"/>
                <w:szCs w:val="18"/>
                <w:color w:val="auto"/>
                <w:w w:val="90"/>
              </w:rPr>
              <w:t>24,276,340</w:t>
            </w:r>
          </w:p>
        </w:tc>
      </w:tr>
      <w:tr>
        <w:trPr>
          <w:trHeight w:val="432"/>
        </w:trPr>
        <w:tc>
          <w:tcPr>
            <w:tcW w:w="160" w:type="dxa"/>
            <w:vAlign w:val="bottom"/>
          </w:tcPr>
          <w:p>
            <w:pPr>
              <w:spacing w:after="0"/>
              <w:rPr>
                <w:sz w:val="20"/>
                <w:szCs w:val="20"/>
                <w:color w:val="auto"/>
              </w:rPr>
            </w:pPr>
            <w:r>
              <w:rPr>
                <w:rFonts w:ascii="Arial" w:cs="Arial" w:eastAsia="Arial" w:hAnsi="Arial"/>
                <w:sz w:val="18"/>
                <w:szCs w:val="18"/>
                <w:color w:val="auto"/>
                <w:w w:val="92"/>
              </w:rPr>
              <w:t>2.</w:t>
            </w:r>
          </w:p>
        </w:tc>
        <w:tc>
          <w:tcPr>
            <w:tcW w:w="5980" w:type="dxa"/>
            <w:vAlign w:val="bottom"/>
            <w:gridSpan w:val="15"/>
          </w:tcPr>
          <w:p>
            <w:pPr>
              <w:ind w:left="20"/>
              <w:spacing w:after="0"/>
              <w:rPr>
                <w:sz w:val="20"/>
                <w:szCs w:val="20"/>
                <w:color w:val="auto"/>
              </w:rPr>
            </w:pPr>
            <w:r>
              <w:rPr>
                <w:rFonts w:ascii="Arial" w:cs="Arial" w:eastAsia="Arial" w:hAnsi="Arial"/>
                <w:sz w:val="18"/>
                <w:szCs w:val="18"/>
                <w:color w:val="auto"/>
              </w:rPr>
              <w:t>To elect the two Class I nominees to the Board of Directors:</w:t>
            </w: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6"/>
              </w:rPr>
              <w:t>For</w:t>
            </w:r>
          </w:p>
        </w:tc>
        <w:tc>
          <w:tcPr>
            <w:tcW w:w="300" w:type="dxa"/>
            <w:vAlign w:val="bottom"/>
          </w:tcPr>
          <w:p>
            <w:pPr>
              <w:spacing w:after="0"/>
              <w:rPr>
                <w:sz w:val="24"/>
                <w:szCs w:val="24"/>
                <w:color w:val="auto"/>
              </w:rPr>
            </w:pPr>
          </w:p>
        </w:tc>
        <w:tc>
          <w:tcPr>
            <w:tcW w:w="800" w:type="dxa"/>
            <w:vAlign w:val="bottom"/>
            <w:tcBorders>
              <w:bottom w:val="single" w:sz="8" w:color="auto"/>
            </w:tcBorders>
            <w:gridSpan w:val="6"/>
          </w:tcPr>
          <w:p>
            <w:pPr>
              <w:spacing w:after="0"/>
              <w:rPr>
                <w:sz w:val="24"/>
                <w:szCs w:val="24"/>
                <w:color w:val="auto"/>
              </w:rPr>
            </w:pPr>
          </w:p>
        </w:tc>
        <w:tc>
          <w:tcPr>
            <w:tcW w:w="1820" w:type="dxa"/>
            <w:vAlign w:val="bottom"/>
            <w:tcBorders>
              <w:bottom w:val="single" w:sz="8" w:color="auto"/>
            </w:tcBorders>
            <w:gridSpan w:val="2"/>
          </w:tcPr>
          <w:p>
            <w:pPr>
              <w:jc w:val="right"/>
              <w:ind w:right="870"/>
              <w:spacing w:after="0"/>
              <w:rPr>
                <w:sz w:val="20"/>
                <w:szCs w:val="20"/>
                <w:color w:val="auto"/>
              </w:rPr>
            </w:pPr>
            <w:r>
              <w:rPr>
                <w:rFonts w:ascii="Arial" w:cs="Arial" w:eastAsia="Arial" w:hAnsi="Arial"/>
                <w:sz w:val="18"/>
                <w:szCs w:val="18"/>
                <w:b w:val="1"/>
                <w:bCs w:val="1"/>
                <w:color w:val="auto"/>
              </w:rPr>
              <w:t>Withheld</w:t>
            </w:r>
          </w:p>
        </w:tc>
        <w:tc>
          <w:tcPr>
            <w:tcW w:w="620" w:type="dxa"/>
            <w:vAlign w:val="bottom"/>
            <w:gridSpan w:val="2"/>
          </w:tcPr>
          <w:p>
            <w:pPr>
              <w:spacing w:after="0"/>
              <w:rPr>
                <w:sz w:val="24"/>
                <w:szCs w:val="24"/>
                <w:color w:val="auto"/>
              </w:rPr>
            </w:pPr>
          </w:p>
        </w:tc>
        <w:tc>
          <w:tcPr>
            <w:tcW w:w="580" w:type="dxa"/>
            <w:vAlign w:val="bottom"/>
            <w:tcBorders>
              <w:bottom w:val="single" w:sz="8" w:color="auto"/>
            </w:tcBorders>
            <w:gridSpan w:val="2"/>
          </w:tcPr>
          <w:p>
            <w:pPr>
              <w:spacing w:after="0"/>
              <w:rPr>
                <w:sz w:val="24"/>
                <w:szCs w:val="24"/>
                <w:color w:val="auto"/>
              </w:rPr>
            </w:pPr>
          </w:p>
        </w:tc>
        <w:tc>
          <w:tcPr>
            <w:tcW w:w="22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Broker Non-Votes</w:t>
            </w:r>
          </w:p>
        </w:tc>
      </w:tr>
      <w:tr>
        <w:trPr>
          <w:trHeight w:val="210"/>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Ronald Blankenship</w:t>
            </w:r>
          </w:p>
        </w:tc>
        <w:tc>
          <w:tcPr>
            <w:tcW w:w="28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68,841,539</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338,233</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24,276,340</w:t>
            </w:r>
          </w:p>
        </w:tc>
      </w:tr>
      <w:tr>
        <w:trPr>
          <w:trHeight w:val="230"/>
        </w:trPr>
        <w:tc>
          <w:tcPr>
            <w:tcW w:w="2220" w:type="dxa"/>
            <w:vAlign w:val="bottom"/>
            <w:gridSpan w:val="2"/>
          </w:tcPr>
          <w:p>
            <w:pPr>
              <w:spacing w:after="0"/>
              <w:rPr>
                <w:sz w:val="20"/>
                <w:szCs w:val="20"/>
                <w:color w:val="auto"/>
              </w:rPr>
            </w:pPr>
            <w:r>
              <w:rPr>
                <w:rFonts w:ascii="Arial" w:cs="Arial" w:eastAsia="Arial" w:hAnsi="Arial"/>
                <w:sz w:val="18"/>
                <w:szCs w:val="18"/>
                <w:color w:val="auto"/>
              </w:rPr>
              <w:t>Charles Szalkowski</w:t>
            </w:r>
          </w:p>
        </w:tc>
        <w:tc>
          <w:tcPr>
            <w:tcW w:w="2820" w:type="dxa"/>
            <w:vAlign w:val="bottom"/>
            <w:gridSpan w:val="7"/>
          </w:tcPr>
          <w:p>
            <w:pPr>
              <w:jc w:val="right"/>
              <w:spacing w:after="0"/>
              <w:rPr>
                <w:sz w:val="20"/>
                <w:szCs w:val="20"/>
                <w:color w:val="auto"/>
              </w:rPr>
            </w:pPr>
            <w:r>
              <w:rPr>
                <w:rFonts w:ascii="Arial" w:cs="Arial" w:eastAsia="Arial" w:hAnsi="Arial"/>
                <w:sz w:val="18"/>
                <w:szCs w:val="18"/>
                <w:color w:val="auto"/>
              </w:rPr>
              <w:t>67,763,938</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1,415,834</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60" w:type="dxa"/>
            <w:vAlign w:val="bottom"/>
          </w:tcPr>
          <w:p>
            <w:pPr>
              <w:ind w:left="900"/>
              <w:spacing w:after="0"/>
              <w:rPr>
                <w:sz w:val="20"/>
                <w:szCs w:val="20"/>
                <w:color w:val="auto"/>
              </w:rPr>
            </w:pPr>
            <w:r>
              <w:rPr>
                <w:rFonts w:ascii="Arial" w:cs="Arial" w:eastAsia="Arial" w:hAnsi="Arial"/>
                <w:sz w:val="18"/>
                <w:szCs w:val="18"/>
                <w:color w:val="auto"/>
              </w:rPr>
              <w:t>24,276,340</w:t>
            </w:r>
          </w:p>
        </w:tc>
      </w:tr>
      <w:tr>
        <w:trPr>
          <w:trHeight w:val="418"/>
        </w:trPr>
        <w:tc>
          <w:tcPr>
            <w:tcW w:w="160" w:type="dxa"/>
            <w:vAlign w:val="bottom"/>
          </w:tcPr>
          <w:p>
            <w:pPr>
              <w:spacing w:after="0"/>
              <w:rPr>
                <w:sz w:val="20"/>
                <w:szCs w:val="20"/>
                <w:color w:val="auto"/>
              </w:rPr>
            </w:pPr>
            <w:r>
              <w:rPr>
                <w:rFonts w:ascii="Arial" w:cs="Arial" w:eastAsia="Arial" w:hAnsi="Arial"/>
                <w:sz w:val="18"/>
                <w:szCs w:val="18"/>
                <w:color w:val="auto"/>
                <w:w w:val="92"/>
              </w:rPr>
              <w:t>3.</w:t>
            </w:r>
          </w:p>
        </w:tc>
        <w:tc>
          <w:tcPr>
            <w:tcW w:w="9000" w:type="dxa"/>
            <w:vAlign w:val="bottom"/>
            <w:gridSpan w:val="21"/>
          </w:tcPr>
          <w:p>
            <w:pPr>
              <w:ind w:left="20"/>
              <w:spacing w:after="0"/>
              <w:rPr>
                <w:sz w:val="20"/>
                <w:szCs w:val="20"/>
                <w:color w:val="auto"/>
              </w:rPr>
            </w:pPr>
            <w:r>
              <w:rPr>
                <w:rFonts w:ascii="Arial" w:cs="Arial" w:eastAsia="Arial" w:hAnsi="Arial"/>
                <w:sz w:val="18"/>
                <w:szCs w:val="18"/>
                <w:color w:val="auto"/>
                <w:w w:val="92"/>
              </w:rPr>
              <w:t>To ratify the appointment of Ernst &amp; Young LLP as the Company’s independent registered public accounting firm for 2015:</w:t>
            </w:r>
          </w:p>
        </w:tc>
        <w:tc>
          <w:tcPr>
            <w:tcW w:w="2260" w:type="dxa"/>
            <w:vAlign w:val="bottom"/>
          </w:tcPr>
          <w:p>
            <w:pPr>
              <w:spacing w:after="0"/>
              <w:rPr>
                <w:sz w:val="24"/>
                <w:szCs w:val="24"/>
                <w:color w:val="auto"/>
              </w:rPr>
            </w:pPr>
          </w:p>
        </w:tc>
      </w:tr>
      <w:tr>
        <w:trPr>
          <w:trHeight w:val="432"/>
        </w:trPr>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ind w:left="960"/>
              <w:spacing w:after="0"/>
              <w:rPr>
                <w:sz w:val="20"/>
                <w:szCs w:val="20"/>
                <w:color w:val="auto"/>
              </w:rPr>
            </w:pPr>
            <w:r>
              <w:rPr>
                <w:rFonts w:ascii="Arial" w:cs="Arial" w:eastAsia="Arial" w:hAnsi="Arial"/>
                <w:sz w:val="18"/>
                <w:szCs w:val="18"/>
                <w:b w:val="1"/>
                <w:bCs w:val="1"/>
                <w:color w:val="auto"/>
              </w:rPr>
              <w:t>Against</w:t>
            </w:r>
          </w:p>
        </w:tc>
        <w:tc>
          <w:tcPr>
            <w:tcW w:w="34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tcBorders>
              <w:bottom w:val="single" w:sz="8" w:color="auto"/>
            </w:tcBorders>
            <w:gridSpan w:val="5"/>
          </w:tcPr>
          <w:p>
            <w:pPr>
              <w:ind w:left="800"/>
              <w:spacing w:after="0"/>
              <w:rPr>
                <w:sz w:val="20"/>
                <w:szCs w:val="20"/>
                <w:color w:val="auto"/>
              </w:rPr>
            </w:pPr>
            <w:r>
              <w:rPr>
                <w:rFonts w:ascii="Arial" w:cs="Arial" w:eastAsia="Arial" w:hAnsi="Arial"/>
                <w:sz w:val="18"/>
                <w:szCs w:val="18"/>
                <w:b w:val="1"/>
                <w:bCs w:val="1"/>
                <w:color w:val="auto"/>
              </w:rPr>
              <w:t>Abstain</w:t>
            </w:r>
          </w:p>
        </w:tc>
        <w:tc>
          <w:tcPr>
            <w:tcW w:w="22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0"/>
              </w:rPr>
              <w:t>Broker Non-Votes</w:t>
            </w:r>
          </w:p>
        </w:tc>
      </w:tr>
      <w:tr>
        <w:trPr>
          <w:trHeight w:val="210"/>
        </w:trPr>
        <w:tc>
          <w:tcPr>
            <w:tcW w:w="160" w:type="dxa"/>
            <w:vAlign w:val="bottom"/>
            <w:shd w:val="clear" w:color="auto" w:fill="CCEEFF"/>
          </w:tcPr>
          <w:p>
            <w:pPr>
              <w:spacing w:after="0"/>
              <w:rPr>
                <w:sz w:val="18"/>
                <w:szCs w:val="18"/>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90,869,136</w:t>
            </w:r>
          </w:p>
        </w:tc>
        <w:tc>
          <w:tcPr>
            <w:tcW w:w="2820" w:type="dxa"/>
            <w:vAlign w:val="bottom"/>
            <w:gridSpan w:val="7"/>
            <w:shd w:val="clear" w:color="auto" w:fill="CCEEFF"/>
          </w:tcPr>
          <w:p>
            <w:pPr>
              <w:jc w:val="right"/>
              <w:ind w:right="330"/>
              <w:spacing w:after="0"/>
              <w:rPr>
                <w:sz w:val="20"/>
                <w:szCs w:val="20"/>
                <w:color w:val="auto"/>
              </w:rPr>
            </w:pPr>
            <w:r>
              <w:rPr>
                <w:rFonts w:ascii="Arial" w:cs="Arial" w:eastAsia="Arial" w:hAnsi="Arial"/>
                <w:sz w:val="18"/>
                <w:szCs w:val="18"/>
                <w:color w:val="auto"/>
              </w:rPr>
              <w:t>1,795,375</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791,601</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432"/>
        </w:trPr>
        <w:tc>
          <w:tcPr>
            <w:tcW w:w="160" w:type="dxa"/>
            <w:vAlign w:val="bottom"/>
          </w:tcPr>
          <w:p>
            <w:pPr>
              <w:spacing w:after="0"/>
              <w:rPr>
                <w:sz w:val="20"/>
                <w:szCs w:val="20"/>
                <w:color w:val="auto"/>
              </w:rPr>
            </w:pPr>
            <w:r>
              <w:rPr>
                <w:rFonts w:ascii="Arial" w:cs="Arial" w:eastAsia="Arial" w:hAnsi="Arial"/>
                <w:sz w:val="18"/>
                <w:szCs w:val="18"/>
                <w:color w:val="auto"/>
                <w:w w:val="92"/>
              </w:rPr>
              <w:t>4.</w:t>
            </w:r>
          </w:p>
        </w:tc>
        <w:tc>
          <w:tcPr>
            <w:tcW w:w="5980" w:type="dxa"/>
            <w:vAlign w:val="bottom"/>
            <w:gridSpan w:val="15"/>
          </w:tcPr>
          <w:p>
            <w:pPr>
              <w:ind w:left="20"/>
              <w:spacing w:after="0"/>
              <w:rPr>
                <w:sz w:val="20"/>
                <w:szCs w:val="20"/>
                <w:color w:val="auto"/>
              </w:rPr>
            </w:pPr>
            <w:r>
              <w:rPr>
                <w:rFonts w:ascii="Arial" w:cs="Arial" w:eastAsia="Arial" w:hAnsi="Arial"/>
                <w:sz w:val="18"/>
                <w:szCs w:val="18"/>
                <w:color w:val="auto"/>
                <w:w w:val="91"/>
              </w:rPr>
              <w:t>To approve, on an advisory basis, the compensation of named executive officers:</w:t>
            </w: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32"/>
        </w:trPr>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6"/>
              </w:rPr>
              <w:t>For</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8"/>
                <w:szCs w:val="18"/>
                <w:b w:val="1"/>
                <w:bCs w:val="1"/>
                <w:color w:val="auto"/>
                <w:w w:val="90"/>
              </w:rPr>
              <w:t>Against</w:t>
            </w:r>
          </w:p>
        </w:tc>
        <w:tc>
          <w:tcPr>
            <w:tcW w:w="480" w:type="dxa"/>
            <w:vAlign w:val="bottom"/>
            <w:gridSpan w:val="3"/>
          </w:tcPr>
          <w:p>
            <w:pPr>
              <w:spacing w:after="0"/>
              <w:rPr>
                <w:sz w:val="24"/>
                <w:szCs w:val="24"/>
                <w:color w:val="auto"/>
              </w:rPr>
            </w:pPr>
          </w:p>
        </w:tc>
        <w:tc>
          <w:tcPr>
            <w:tcW w:w="280" w:type="dxa"/>
            <w:vAlign w:val="bottom"/>
            <w:tcBorders>
              <w:bottom w:val="single" w:sz="8" w:color="auto"/>
            </w:tcBorders>
            <w:gridSpan w:val="2"/>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ind w:left="280"/>
              <w:spacing w:after="0"/>
              <w:rPr>
                <w:sz w:val="20"/>
                <w:szCs w:val="20"/>
                <w:color w:val="auto"/>
              </w:rPr>
            </w:pPr>
            <w:r>
              <w:rPr>
                <w:rFonts w:ascii="Arial" w:cs="Arial" w:eastAsia="Arial" w:hAnsi="Arial"/>
                <w:sz w:val="18"/>
                <w:szCs w:val="18"/>
                <w:b w:val="1"/>
                <w:bCs w:val="1"/>
                <w:color w:val="auto"/>
              </w:rPr>
              <w:t>Abstain</w:t>
            </w:r>
          </w:p>
        </w:tc>
        <w:tc>
          <w:tcPr>
            <w:tcW w:w="2260" w:type="dxa"/>
            <w:vAlign w:val="bottom"/>
            <w:tcBorders>
              <w:bottom w:val="single" w:sz="8" w:color="auto"/>
            </w:tcBorders>
          </w:tcPr>
          <w:p>
            <w:pPr>
              <w:jc w:val="center"/>
              <w:ind w:right="710"/>
              <w:spacing w:after="0"/>
              <w:rPr>
                <w:sz w:val="20"/>
                <w:szCs w:val="20"/>
                <w:color w:val="auto"/>
              </w:rPr>
            </w:pPr>
            <w:r>
              <w:rPr>
                <w:rFonts w:ascii="Arial" w:cs="Arial" w:eastAsia="Arial" w:hAnsi="Arial"/>
                <w:sz w:val="18"/>
                <w:szCs w:val="18"/>
                <w:b w:val="1"/>
                <w:bCs w:val="1"/>
                <w:color w:val="auto"/>
                <w:w w:val="90"/>
              </w:rPr>
              <w:t>Broker Non-Votes</w:t>
            </w:r>
          </w:p>
        </w:tc>
      </w:tr>
      <w:tr>
        <w:trPr>
          <w:trHeight w:val="210"/>
        </w:trPr>
        <w:tc>
          <w:tcPr>
            <w:tcW w:w="160" w:type="dxa"/>
            <w:vAlign w:val="bottom"/>
            <w:shd w:val="clear" w:color="auto" w:fill="CCEEFF"/>
          </w:tcPr>
          <w:p>
            <w:pPr>
              <w:spacing w:after="0"/>
              <w:rPr>
                <w:sz w:val="18"/>
                <w:szCs w:val="18"/>
                <w:color w:val="auto"/>
              </w:rPr>
            </w:pPr>
          </w:p>
        </w:tc>
        <w:tc>
          <w:tcPr>
            <w:tcW w:w="206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66,162,726</w:t>
            </w:r>
          </w:p>
        </w:tc>
        <w:tc>
          <w:tcPr>
            <w:tcW w:w="2820" w:type="dxa"/>
            <w:vAlign w:val="bottom"/>
            <w:gridSpan w:val="7"/>
            <w:shd w:val="clear" w:color="auto" w:fill="CCEEFF"/>
          </w:tcPr>
          <w:p>
            <w:pPr>
              <w:jc w:val="right"/>
              <w:ind w:right="650"/>
              <w:spacing w:after="0"/>
              <w:rPr>
                <w:sz w:val="20"/>
                <w:szCs w:val="20"/>
                <w:color w:val="auto"/>
              </w:rPr>
            </w:pPr>
            <w:r>
              <w:rPr>
                <w:rFonts w:ascii="Arial" w:cs="Arial" w:eastAsia="Arial" w:hAnsi="Arial"/>
                <w:sz w:val="18"/>
                <w:szCs w:val="18"/>
                <w:color w:val="auto"/>
              </w:rPr>
              <w:t>2,868,795</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148,251</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60" w:type="dxa"/>
            <w:vAlign w:val="bottom"/>
            <w:shd w:val="clear" w:color="auto" w:fill="CCEEFF"/>
          </w:tcPr>
          <w:p>
            <w:pPr>
              <w:jc w:val="center"/>
              <w:ind w:right="710"/>
              <w:spacing w:after="0"/>
              <w:rPr>
                <w:sz w:val="20"/>
                <w:szCs w:val="20"/>
                <w:color w:val="auto"/>
              </w:rPr>
            </w:pPr>
            <w:r>
              <w:rPr>
                <w:rFonts w:ascii="Arial" w:cs="Arial" w:eastAsia="Arial" w:hAnsi="Arial"/>
                <w:sz w:val="18"/>
                <w:szCs w:val="18"/>
                <w:color w:val="auto"/>
                <w:w w:val="90"/>
              </w:rPr>
              <w:t>24,276,340</w:t>
            </w:r>
          </w:p>
        </w:tc>
      </w:tr>
      <w:tr>
        <w:trPr>
          <w:trHeight w:val="432"/>
        </w:trPr>
        <w:tc>
          <w:tcPr>
            <w:tcW w:w="160" w:type="dxa"/>
            <w:vAlign w:val="bottom"/>
          </w:tcPr>
          <w:p>
            <w:pPr>
              <w:spacing w:after="0"/>
              <w:rPr>
                <w:sz w:val="20"/>
                <w:szCs w:val="20"/>
                <w:color w:val="auto"/>
              </w:rPr>
            </w:pPr>
            <w:r>
              <w:rPr>
                <w:rFonts w:ascii="Arial" w:cs="Arial" w:eastAsia="Arial" w:hAnsi="Arial"/>
                <w:sz w:val="18"/>
                <w:szCs w:val="18"/>
                <w:color w:val="auto"/>
                <w:w w:val="92"/>
              </w:rPr>
              <w:t>5.</w:t>
            </w:r>
          </w:p>
        </w:tc>
        <w:tc>
          <w:tcPr>
            <w:tcW w:w="9000" w:type="dxa"/>
            <w:vAlign w:val="bottom"/>
            <w:gridSpan w:val="21"/>
          </w:tcPr>
          <w:p>
            <w:pPr>
              <w:ind w:left="20"/>
              <w:spacing w:after="0"/>
              <w:rPr>
                <w:sz w:val="20"/>
                <w:szCs w:val="20"/>
                <w:color w:val="auto"/>
              </w:rPr>
            </w:pPr>
            <w:r>
              <w:rPr>
                <w:rFonts w:ascii="Arial" w:cs="Arial" w:eastAsia="Arial" w:hAnsi="Arial"/>
                <w:sz w:val="18"/>
                <w:szCs w:val="18"/>
                <w:color w:val="auto"/>
                <w:w w:val="91"/>
              </w:rPr>
              <w:t>To recommend, on an advisory basis, the frequency of the advisory vote on the compensation of named executive officers:</w:t>
            </w:r>
          </w:p>
        </w:tc>
        <w:tc>
          <w:tcPr>
            <w:tcW w:w="2260" w:type="dxa"/>
            <w:vAlign w:val="bottom"/>
          </w:tcPr>
          <w:p>
            <w:pPr>
              <w:spacing w:after="0"/>
              <w:rPr>
                <w:sz w:val="24"/>
                <w:szCs w:val="24"/>
                <w:color w:val="auto"/>
              </w:rPr>
            </w:pPr>
          </w:p>
        </w:tc>
      </w:tr>
      <w:tr>
        <w:trPr>
          <w:trHeight w:val="432"/>
        </w:trPr>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One Year</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tcBorders>
              <w:bottom w:val="single" w:sz="8" w:color="auto"/>
            </w:tcBorders>
            <w:gridSpan w:val="4"/>
          </w:tcPr>
          <w:p>
            <w:pPr>
              <w:ind w:left="800"/>
              <w:spacing w:after="0"/>
              <w:rPr>
                <w:sz w:val="20"/>
                <w:szCs w:val="20"/>
                <w:color w:val="auto"/>
              </w:rPr>
            </w:pPr>
            <w:r>
              <w:rPr>
                <w:rFonts w:ascii="Arial" w:cs="Arial" w:eastAsia="Arial" w:hAnsi="Arial"/>
                <w:sz w:val="18"/>
                <w:szCs w:val="18"/>
                <w:b w:val="1"/>
                <w:bCs w:val="1"/>
                <w:color w:val="auto"/>
              </w:rPr>
              <w:t>Two Years</w:t>
            </w:r>
          </w:p>
        </w:tc>
        <w:tc>
          <w:tcPr>
            <w:tcW w:w="580" w:type="dxa"/>
            <w:vAlign w:val="bottom"/>
            <w:gridSpan w:val="3"/>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rPr>
              <w:t>Three Years</w:t>
            </w:r>
          </w:p>
        </w:tc>
        <w:tc>
          <w:tcPr>
            <w:tcW w:w="600" w:type="dxa"/>
            <w:vAlign w:val="bottom"/>
            <w:gridSpan w:val="2"/>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90"/>
              </w:rPr>
              <w:t>Abstain</w:t>
            </w:r>
          </w:p>
        </w:tc>
      </w:tr>
      <w:tr>
        <w:trPr>
          <w:trHeight w:val="210"/>
        </w:trPr>
        <w:tc>
          <w:tcPr>
            <w:tcW w:w="160" w:type="dxa"/>
            <w:vAlign w:val="bottom"/>
            <w:shd w:val="clear" w:color="auto" w:fill="CCEEFF"/>
          </w:tcPr>
          <w:p>
            <w:pPr>
              <w:spacing w:after="0"/>
              <w:rPr>
                <w:sz w:val="18"/>
                <w:szCs w:val="18"/>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64,602,498</w:t>
            </w:r>
          </w:p>
        </w:tc>
        <w:tc>
          <w:tcPr>
            <w:tcW w:w="2820" w:type="dxa"/>
            <w:vAlign w:val="bottom"/>
            <w:gridSpan w:val="7"/>
            <w:shd w:val="clear" w:color="auto" w:fill="CCEEFF"/>
          </w:tcPr>
          <w:p>
            <w:pPr>
              <w:jc w:val="right"/>
              <w:ind w:right="450"/>
              <w:spacing w:after="0"/>
              <w:rPr>
                <w:sz w:val="20"/>
                <w:szCs w:val="20"/>
                <w:color w:val="auto"/>
              </w:rPr>
            </w:pPr>
            <w:r>
              <w:rPr>
                <w:rFonts w:ascii="Arial" w:cs="Arial" w:eastAsia="Arial" w:hAnsi="Arial"/>
                <w:sz w:val="18"/>
                <w:szCs w:val="18"/>
                <w:color w:val="auto"/>
              </w:rPr>
              <w:t>331,575</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4,083,934</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6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89"/>
              </w:rPr>
              <w:t>156,344</w:t>
            </w:r>
          </w:p>
        </w:tc>
      </w:tr>
    </w:tbl>
    <w:p>
      <w:pPr>
        <w:spacing w:after="0" w:line="202"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In accordance with the results of this advisory vote, the Company intends to hold future advisory votes on the compensation of its named executive officers, or “say-on-pay” votes, annually until it next holds an advisory vote on the frequency of say-on-pay votes as required under SEC rules.</w:t>
      </w:r>
    </w:p>
    <w:p>
      <w:pPr>
        <w:spacing w:after="0" w:line="33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On May 14, 2015, the Company issued a press release announcing the results of the Annual Meeting. The press release is filed as Exhibit 99.1 to this Current Report on Form 8-K.</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500" w:type="dxa"/>
            <w:vAlign w:val="bottom"/>
            <w:gridSpan w:val="2"/>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59"/>
        </w:trPr>
        <w:tc>
          <w:tcPr>
            <w:tcW w:w="920" w:type="dxa"/>
            <w:vAlign w:val="bottom"/>
          </w:tcPr>
          <w:p>
            <w:pPr>
              <w:spacing w:after="0"/>
              <w:rPr>
                <w:sz w:val="20"/>
                <w:szCs w:val="20"/>
                <w:color w:val="auto"/>
              </w:rPr>
            </w:pPr>
            <w:r>
              <w:rPr>
                <w:rFonts w:ascii="Arial" w:cs="Arial" w:eastAsia="Arial" w:hAnsi="Arial"/>
                <w:sz w:val="18"/>
                <w:szCs w:val="18"/>
                <w:color w:val="auto"/>
                <w:w w:val="94"/>
              </w:rPr>
              <w:t>(d) Exhibits</w:t>
            </w:r>
            <w:r>
              <w:rPr>
                <w:rFonts w:ascii="Arial" w:cs="Arial" w:eastAsia="Arial" w:hAnsi="Arial"/>
                <w:sz w:val="18"/>
                <w:szCs w:val="18"/>
                <w:i w:val="1"/>
                <w:iCs w:val="1"/>
                <w:color w:val="auto"/>
                <w:w w:val="94"/>
              </w:rPr>
              <w:t>.</w:t>
            </w:r>
          </w:p>
        </w:tc>
        <w:tc>
          <w:tcPr>
            <w:tcW w:w="760" w:type="dxa"/>
            <w:vAlign w:val="bottom"/>
          </w:tcPr>
          <w:p>
            <w:pPr>
              <w:spacing w:after="0"/>
              <w:rPr>
                <w:sz w:val="24"/>
                <w:szCs w:val="24"/>
                <w:color w:val="auto"/>
              </w:rPr>
            </w:pPr>
          </w:p>
        </w:tc>
        <w:tc>
          <w:tcPr>
            <w:tcW w:w="9740" w:type="dxa"/>
            <w:vAlign w:val="bottom"/>
          </w:tcPr>
          <w:p>
            <w:pPr>
              <w:spacing w:after="0"/>
              <w:rPr>
                <w:sz w:val="24"/>
                <w:szCs w:val="24"/>
                <w:color w:val="auto"/>
              </w:rPr>
            </w:pPr>
          </w:p>
        </w:tc>
      </w:tr>
      <w:tr>
        <w:trPr>
          <w:trHeight w:val="445"/>
        </w:trPr>
        <w:tc>
          <w:tcPr>
            <w:tcW w:w="920" w:type="dxa"/>
            <w:vAlign w:val="bottom"/>
          </w:tcPr>
          <w:p>
            <w:pPr>
              <w:spacing w:after="0"/>
              <w:rPr>
                <w:sz w:val="20"/>
                <w:szCs w:val="20"/>
                <w:color w:val="auto"/>
              </w:rPr>
            </w:pPr>
            <w:r>
              <w:rPr>
                <w:rFonts w:ascii="Arial" w:cs="Arial" w:eastAsia="Arial" w:hAnsi="Arial"/>
                <w:sz w:val="18"/>
                <w:szCs w:val="18"/>
                <w:color w:val="auto"/>
              </w:rPr>
              <w:t>EXHIBIT</w:t>
            </w:r>
          </w:p>
        </w:tc>
        <w:tc>
          <w:tcPr>
            <w:tcW w:w="760" w:type="dxa"/>
            <w:vAlign w:val="bottom"/>
          </w:tcPr>
          <w:p>
            <w:pPr>
              <w:spacing w:after="0"/>
              <w:rPr>
                <w:sz w:val="24"/>
                <w:szCs w:val="24"/>
                <w:color w:val="auto"/>
              </w:rPr>
            </w:pPr>
          </w:p>
        </w:tc>
        <w:tc>
          <w:tcPr>
            <w:tcW w:w="9740" w:type="dxa"/>
            <w:vAlign w:val="bottom"/>
          </w:tcPr>
          <w:p>
            <w:pPr>
              <w:spacing w:after="0"/>
              <w:rPr>
                <w:sz w:val="24"/>
                <w:szCs w:val="24"/>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NUMBER</w:t>
            </w:r>
          </w:p>
        </w:tc>
        <w:tc>
          <w:tcPr>
            <w:tcW w:w="10500" w:type="dxa"/>
            <w:vAlign w:val="bottom"/>
            <w:gridSpan w:val="2"/>
          </w:tcPr>
          <w:p>
            <w:pPr>
              <w:ind w:left="760"/>
              <w:spacing w:after="0"/>
              <w:rPr>
                <w:sz w:val="20"/>
                <w:szCs w:val="20"/>
                <w:color w:val="auto"/>
              </w:rPr>
            </w:pPr>
            <w:r>
              <w:rPr>
                <w:rFonts w:ascii="Arial" w:cs="Arial" w:eastAsia="Arial" w:hAnsi="Arial"/>
                <w:sz w:val="18"/>
                <w:szCs w:val="18"/>
                <w:color w:val="auto"/>
              </w:rPr>
              <w:t>DESCRIPTION</w:t>
            </w:r>
          </w:p>
        </w:tc>
      </w:tr>
      <w:tr>
        <w:trPr>
          <w:trHeight w:val="224"/>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19"/>
                <w:szCs w:val="19"/>
                <w:color w:val="auto"/>
              </w:rPr>
            </w:pPr>
          </w:p>
        </w:tc>
        <w:tc>
          <w:tcPr>
            <w:tcW w:w="9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May 14, 2015</w:t>
            </w:r>
          </w:p>
        </w:tc>
      </w:tr>
      <w:tr>
        <w:trPr>
          <w:trHeight w:val="631"/>
        </w:trPr>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740" w:type="dxa"/>
            <w:vAlign w:val="bottom"/>
          </w:tcPr>
          <w:p>
            <w:pPr>
              <w:spacing w:after="0"/>
              <w:rPr>
                <w:sz w:val="24"/>
                <w:szCs w:val="24"/>
                <w:color w:val="auto"/>
              </w:rPr>
            </w:pPr>
          </w:p>
        </w:tc>
      </w:tr>
      <w:tr>
        <w:trPr>
          <w:trHeight w:val="61"/>
        </w:trPr>
        <w:tc>
          <w:tcPr>
            <w:tcW w:w="9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974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6360" w:type="dxa"/>
            <w:vAlign w:val="bottom"/>
            <w:gridSpan w:val="2"/>
          </w:tcPr>
          <w:p>
            <w:pPr>
              <w:ind w:left="1960"/>
              <w:spacing w:after="0"/>
              <w:rPr>
                <w:sz w:val="20"/>
                <w:szCs w:val="20"/>
                <w:color w:val="auto"/>
              </w:rPr>
            </w:pPr>
            <w:r>
              <w:rPr>
                <w:rFonts w:ascii="Arial" w:cs="Arial" w:eastAsia="Arial" w:hAnsi="Arial"/>
                <w:sz w:val="18"/>
                <w:szCs w:val="18"/>
                <w:color w:val="auto"/>
              </w:rPr>
              <w:t>CIVEO CORPORATION</w:t>
            </w:r>
          </w:p>
        </w:tc>
        <w:tc>
          <w:tcPr>
            <w:tcW w:w="1660" w:type="dxa"/>
            <w:vAlign w:val="bottom"/>
          </w:tcPr>
          <w:p>
            <w:pPr>
              <w:spacing w:after="0"/>
              <w:rPr>
                <w:sz w:val="20"/>
                <w:szCs w:val="20"/>
                <w:color w:val="auto"/>
              </w:rPr>
            </w:pP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Date: May 15, 2015</w:t>
            </w:r>
          </w:p>
        </w:tc>
        <w:tc>
          <w:tcPr>
            <w:tcW w:w="6360" w:type="dxa"/>
            <w:vAlign w:val="bottom"/>
            <w:gridSpan w:val="2"/>
          </w:tcPr>
          <w:p>
            <w:pPr>
              <w:ind w:left="1960"/>
              <w:spacing w:after="0"/>
              <w:rPr>
                <w:sz w:val="20"/>
                <w:szCs w:val="20"/>
                <w:color w:val="auto"/>
              </w:rPr>
            </w:pPr>
            <w:r>
              <w:rPr>
                <w:rFonts w:ascii="Arial" w:cs="Arial" w:eastAsia="Arial" w:hAnsi="Arial"/>
                <w:sz w:val="18"/>
                <w:szCs w:val="18"/>
                <w:color w:val="auto"/>
              </w:rPr>
              <w:t>By:  /s/ Frank C. Steininger</w:t>
            </w:r>
          </w:p>
        </w:tc>
        <w:tc>
          <w:tcPr>
            <w:tcW w:w="1660" w:type="dxa"/>
            <w:vAlign w:val="bottom"/>
          </w:tcPr>
          <w:p>
            <w:pPr>
              <w:spacing w:after="0"/>
              <w:rPr>
                <w:sz w:val="24"/>
                <w:szCs w:val="24"/>
                <w:color w:val="auto"/>
              </w:rPr>
            </w:pPr>
          </w:p>
        </w:tc>
      </w:tr>
      <w:tr>
        <w:trPr>
          <w:trHeight w:val="195"/>
        </w:trPr>
        <w:tc>
          <w:tcPr>
            <w:tcW w:w="34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Frank C. Steininger</w:t>
            </w:r>
          </w:p>
        </w:tc>
        <w:tc>
          <w:tcPr>
            <w:tcW w:w="1660" w:type="dxa"/>
            <w:vAlign w:val="bottom"/>
          </w:tcPr>
          <w:p>
            <w:pPr>
              <w:spacing w:after="0"/>
              <w:rPr>
                <w:sz w:val="16"/>
                <w:szCs w:val="16"/>
                <w:color w:val="auto"/>
              </w:rPr>
            </w:pPr>
          </w:p>
        </w:tc>
      </w:tr>
      <w:tr>
        <w:trPr>
          <w:trHeight w:val="216"/>
        </w:trPr>
        <w:tc>
          <w:tcPr>
            <w:tcW w:w="34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Senior Vice President, Chief Financial Officer and</w:t>
            </w:r>
          </w:p>
        </w:tc>
        <w:tc>
          <w:tcPr>
            <w:tcW w:w="1660" w:type="dxa"/>
            <w:vAlign w:val="bottom"/>
          </w:tcPr>
          <w:p>
            <w:pPr>
              <w:spacing w:after="0"/>
              <w:rPr>
                <w:sz w:val="18"/>
                <w:szCs w:val="18"/>
                <w:color w:val="auto"/>
              </w:rPr>
            </w:pPr>
          </w:p>
        </w:tc>
      </w:tr>
      <w:tr>
        <w:trPr>
          <w:trHeight w:val="230"/>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Treasurer</w:t>
            </w:r>
          </w:p>
        </w:tc>
        <w:tc>
          <w:tcPr>
            <w:tcW w:w="1660" w:type="dxa"/>
            <w:vAlign w:val="bottom"/>
          </w:tcPr>
          <w:p>
            <w:pPr>
              <w:spacing w:after="0"/>
              <w:rPr>
                <w:sz w:val="20"/>
                <w:szCs w:val="20"/>
                <w:color w:val="auto"/>
              </w:rPr>
            </w:pPr>
          </w:p>
        </w:tc>
      </w:tr>
      <w:tr>
        <w:trPr>
          <w:trHeight w:val="1104"/>
        </w:trPr>
        <w:tc>
          <w:tcPr>
            <w:tcW w:w="3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61"/>
        </w:trPr>
        <w:tc>
          <w:tcPr>
            <w:tcW w:w="3400" w:type="dxa"/>
            <w:vAlign w:val="bottom"/>
            <w:shd w:val="clear" w:color="auto" w:fill="808080"/>
          </w:tcPr>
          <w:p>
            <w:pPr>
              <w:spacing w:after="0"/>
              <w:rPr>
                <w:sz w:val="5"/>
                <w:szCs w:val="5"/>
                <w:color w:val="auto"/>
              </w:rPr>
            </w:pPr>
          </w:p>
        </w:tc>
        <w:tc>
          <w:tcPr>
            <w:tcW w:w="2380" w:type="dxa"/>
            <w:vAlign w:val="bottom"/>
            <w:shd w:val="clear" w:color="auto" w:fill="808080"/>
          </w:tcPr>
          <w:p>
            <w:pPr>
              <w:spacing w:after="0"/>
              <w:rPr>
                <w:sz w:val="5"/>
                <w:szCs w:val="5"/>
                <w:color w:val="auto"/>
              </w:rPr>
            </w:pPr>
          </w:p>
        </w:tc>
        <w:tc>
          <w:tcPr>
            <w:tcW w:w="3980" w:type="dxa"/>
            <w:vAlign w:val="bottom"/>
            <w:shd w:val="clear" w:color="auto" w:fill="808080"/>
          </w:tcPr>
          <w:p>
            <w:pPr>
              <w:spacing w:after="0"/>
              <w:rPr>
                <w:sz w:val="5"/>
                <w:szCs w:val="5"/>
                <w:color w:val="auto"/>
              </w:rPr>
            </w:pPr>
          </w:p>
        </w:tc>
        <w:tc>
          <w:tcPr>
            <w:tcW w:w="166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EXHIBIT</w:t>
            </w:r>
          </w:p>
        </w:tc>
        <w:tc>
          <w:tcPr>
            <w:tcW w:w="760" w:type="dxa"/>
            <w:vAlign w:val="bottom"/>
          </w:tcPr>
          <w:p>
            <w:pPr>
              <w:spacing w:after="0"/>
              <w:rPr>
                <w:sz w:val="18"/>
                <w:szCs w:val="18"/>
                <w:color w:val="auto"/>
              </w:rPr>
            </w:pPr>
          </w:p>
        </w:tc>
        <w:tc>
          <w:tcPr>
            <w:tcW w:w="974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NUMBER</w:t>
            </w:r>
          </w:p>
        </w:tc>
        <w:tc>
          <w:tcPr>
            <w:tcW w:w="10500" w:type="dxa"/>
            <w:vAlign w:val="bottom"/>
            <w:gridSpan w:val="2"/>
          </w:tcPr>
          <w:p>
            <w:pPr>
              <w:ind w:left="760"/>
              <w:spacing w:after="0"/>
              <w:rPr>
                <w:sz w:val="20"/>
                <w:szCs w:val="20"/>
                <w:color w:val="auto"/>
              </w:rPr>
            </w:pPr>
            <w:r>
              <w:rPr>
                <w:rFonts w:ascii="Arial" w:cs="Arial" w:eastAsia="Arial" w:hAnsi="Arial"/>
                <w:sz w:val="18"/>
                <w:szCs w:val="18"/>
                <w:color w:val="auto"/>
              </w:rPr>
              <w:t>DESCRIPTION</w:t>
            </w:r>
          </w:p>
        </w:tc>
      </w:tr>
      <w:tr>
        <w:trPr>
          <w:trHeight w:val="224"/>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19"/>
                <w:szCs w:val="19"/>
                <w:color w:val="auto"/>
              </w:rPr>
            </w:pPr>
          </w:p>
        </w:tc>
        <w:tc>
          <w:tcPr>
            <w:tcW w:w="9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May 14, 2015</w:t>
            </w:r>
          </w:p>
        </w:tc>
      </w:tr>
    </w:tbl>
    <w:p>
      <w:pPr>
        <w:sectPr>
          <w:pgSz w:w="11900" w:h="16838" w:orient="portrait"/>
          <w:cols w:equalWidth="0" w:num="1">
            <w:col w:w="11420"/>
          </w:cols>
          <w:pgMar w:left="240" w:top="27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color w:val="auto"/>
        </w:rPr>
        <w:t>EXHIBIT 99.1</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Civeo Corporation Announces Stockholder Approval of Migration to Canada</w:t>
      </w:r>
    </w:p>
    <w:p>
      <w:pPr>
        <w:spacing w:after="0" w:line="255"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HOUSTON, May 14, 2015 (GLOBE NEWSWIRE) -- Civeo Corporation ("Civeo" or the "Company") (NYSE:CVEO), one of the largest integrated providers of workforce accommodations, logistics and facility management services to the natural resource industry, announced that, at its 2015 Annual Meeting of Stockholders held earlier today, Civeo stockholders approved the proposal to allow the Company to migrate to Canada. More than 99% of shares voting on the transaction were voted in favor of the migration.</w:t>
      </w:r>
    </w:p>
    <w:p>
      <w:pPr>
        <w:spacing w:after="0" w:line="188" w:lineRule="exact"/>
        <w:rPr>
          <w:sz w:val="20"/>
          <w:szCs w:val="20"/>
          <w:color w:val="auto"/>
        </w:rPr>
      </w:pPr>
    </w:p>
    <w:p>
      <w:pPr>
        <w:ind w:right="520"/>
        <w:spacing w:after="0" w:line="251" w:lineRule="auto"/>
        <w:rPr>
          <w:sz w:val="20"/>
          <w:szCs w:val="20"/>
          <w:color w:val="auto"/>
        </w:rPr>
      </w:pPr>
      <w:r>
        <w:rPr>
          <w:rFonts w:ascii="Arial" w:cs="Arial" w:eastAsia="Arial" w:hAnsi="Arial"/>
          <w:sz w:val="22"/>
          <w:szCs w:val="22"/>
          <w:color w:val="auto"/>
        </w:rPr>
        <w:t>As previously announced, Civeo expects to execute the migration through a "self-directed redomiciling" of the Company. The Company expects to complete the migration in the second or third quarter of 2015.</w:t>
      </w:r>
    </w:p>
    <w:p>
      <w:pPr>
        <w:spacing w:after="0" w:line="173" w:lineRule="exact"/>
        <w:rPr>
          <w:sz w:val="20"/>
          <w:szCs w:val="20"/>
          <w:color w:val="auto"/>
        </w:rPr>
      </w:pPr>
    </w:p>
    <w:p>
      <w:pPr>
        <w:ind w:right="20"/>
        <w:spacing w:after="0" w:line="252" w:lineRule="auto"/>
        <w:rPr>
          <w:sz w:val="20"/>
          <w:szCs w:val="20"/>
          <w:color w:val="auto"/>
        </w:rPr>
      </w:pPr>
      <w:r>
        <w:rPr>
          <w:rFonts w:ascii="Arial" w:cs="Arial" w:eastAsia="Arial" w:hAnsi="Arial"/>
          <w:sz w:val="21"/>
          <w:szCs w:val="21"/>
          <w:color w:val="auto"/>
        </w:rPr>
        <w:t>Bradley J. Dodson, Civeo's President and Chief Executive Officer, stated, "We are pleased that stockholders approved the migration to Canada. Coupled with the previously announced refinancing, today's announcement marks the beginning of a new chapter for our Company. As a Canadian company, Civeo will be well positioned to more economically utilize our earnings and cash flow to strengthen our balance sheet and invest in value-enhancing opportunities."</w:t>
      </w:r>
    </w:p>
    <w:p>
      <w:pPr>
        <w:spacing w:after="0" w:line="174" w:lineRule="exact"/>
        <w:rPr>
          <w:sz w:val="20"/>
          <w:szCs w:val="20"/>
          <w:color w:val="auto"/>
        </w:rPr>
      </w:pPr>
    </w:p>
    <w:p>
      <w:pPr>
        <w:ind w:right="300"/>
        <w:spacing w:after="0" w:line="238" w:lineRule="auto"/>
        <w:rPr>
          <w:sz w:val="20"/>
          <w:szCs w:val="20"/>
          <w:color w:val="auto"/>
        </w:rPr>
      </w:pPr>
      <w:r>
        <w:rPr>
          <w:rFonts w:ascii="Arial" w:cs="Arial" w:eastAsia="Arial" w:hAnsi="Arial"/>
          <w:sz w:val="22"/>
          <w:szCs w:val="22"/>
          <w:color w:val="auto"/>
        </w:rPr>
        <w:t>In addition to the positive vote on the migration, stockholders also voted in favor of the Company's slate of directors, ratified the appointment of its auditors for 2015, approved, on an advisory basis, the compensation of named executive officers and recommended, on an advisory basis, one year as the frequency of the advisory vote on the compensation of named executive officers.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Civeo Corporation</w:t>
      </w:r>
    </w:p>
    <w:p>
      <w:pPr>
        <w:spacing w:after="0" w:line="212" w:lineRule="exact"/>
        <w:rPr>
          <w:sz w:val="20"/>
          <w:szCs w:val="20"/>
          <w:color w:val="auto"/>
        </w:rPr>
      </w:pPr>
    </w:p>
    <w:p>
      <w:pPr>
        <w:ind w:right="180"/>
        <w:spacing w:after="0" w:line="235" w:lineRule="auto"/>
        <w:rPr>
          <w:sz w:val="20"/>
          <w:szCs w:val="20"/>
          <w:color w:val="auto"/>
        </w:rPr>
      </w:pPr>
      <w:r>
        <w:rPr>
          <w:rFonts w:ascii="Arial" w:cs="Arial" w:eastAsia="Arial" w:hAnsi="Arial"/>
          <w:sz w:val="22"/>
          <w:szCs w:val="22"/>
          <w:color w:val="auto"/>
        </w:rPr>
        <w:t>Civeo Corporation is a leading provider of workforce accommodations with prominent market positions in the Canadian oil sands and the Australian natural resource regions. Civeo offers comprehensive solutions for housing hundreds or thousands of workers with its long-term and temporary accommodations and provides catering, facility management, water systems and logistics services. Civeo currently owns a total of seventeen lodges and villages in operation in Canada and Australia, with an aggregate of more than 22,000 rooms. Civeo is publicly traded under the symbol "CVEO" on the NYSE. For more information, please visit Civeo's website at http://www.civeo.com.</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212"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The foregoing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included herein are based on then current expectations and entail various risks and uncertainties that could cause actual results to differ materially from those forward-looking statements. Such risks and uncertainties include, among other things, risks associated with the general nature of the accommodations industry, risks associated with the level of supply and demand for oil, coal, natural gas, iron ore and other minerals, including the level of activity and developments in the Canadian oil sands, the level of demand for coal and other natural resources from Australia, and fluctuations in the current and future prices of oil, coal, natural gas, iron ore and other minerals, risks associated with the execution of the Company's migration, including, among other things, completion of the amendment of the Company's credit facility and changes in tax laws or their interpretations, the ability to realize the anticipated benefits thereof, the impact thereof on the Company's relationships, including with employees, customers, competitors and investors, and other factors discussed in the "Business" and "Risk Factors" sections of the Form 10-K filed by the Company with the Securities and Exchange Commission ("SEC") on March 13, 2015 and the Company's subsequent SEC filings. Except as required by law, the Company expressly disclaims any intention or obligation to revise or update any forward-looking statements whether as a result of new information, future events or otherwise.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INFORMATION</w:t>
      </w:r>
    </w:p>
    <w:p>
      <w:pPr>
        <w:spacing w:after="0" w:line="212"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This communication does not constitute an offer to sell or the solicitation of an offer to buy our securities or the solicitation of any vote or approval. In connection with the proposed migration, on April 7, 2015, Civeo Canadian Holdings ULC, a subsidiary of the Company ("Civeo Canada"), filed with the SEC an amendment to its registration statement on Form S-4 (Registration No. 333-201335) that includes a preliminary prospectus of Civeo Canada and a preliminary proxy statement of the Company, which registration statement was declared effective on April 7, 2015. Each of the Company and Civeo Canada filed the definitive proxy statement/prospectus with the SEC on April 8, 2015, which was mailed to shareholders of the Company on or about April 13, 2015.</w:t>
      </w:r>
    </w:p>
    <w:p>
      <w:pPr>
        <w:spacing w:after="0" w:line="2" w:lineRule="exact"/>
        <w:rPr>
          <w:sz w:val="20"/>
          <w:szCs w:val="20"/>
          <w:color w:val="auto"/>
        </w:rPr>
      </w:pPr>
    </w:p>
    <w:p>
      <w:pPr>
        <w:ind w:right="140"/>
        <w:spacing w:after="0" w:line="273" w:lineRule="auto"/>
        <w:rPr>
          <w:sz w:val="20"/>
          <w:szCs w:val="20"/>
          <w:color w:val="auto"/>
        </w:rPr>
      </w:pPr>
      <w:r>
        <w:rPr>
          <w:rFonts w:ascii="Arial" w:cs="Arial" w:eastAsia="Arial" w:hAnsi="Arial"/>
          <w:sz w:val="19"/>
          <w:szCs w:val="19"/>
          <w:color w:val="auto"/>
        </w:rPr>
        <w:t>INVESTORS ARE ADVISED TO READ THE DEFINITIVE PROXY STATEMENT/PROSPECTUS (INCLUDING ALL AMENDMENTS AND SUPPLEMENTS THERETO) CAREFULLY AND ANY OTHER MATERIALS IF AND WHEN THEY BECOME AVAILABLE BECAUSE THEY CONTAIN AND WILL CONTAIN IMPORTANT INFORMATION ABOUT THE PROPOSED MIGRATION AND CIVEO. Investors may obtain a free copy of the definitive proxy statement/prospectus and other relevant documents (when available) filed and to be filed with the SEC from the SEC's web site at www.sec.gov or at Civeo's web site at www.civeo.com. Investors will also be able to obtain, without charge, a copy of the definitive proxy statement/prospectus and other relevant documents (when available) by directing a request by mail or telephone to Investor Relations, Civeo Corporation, 333 Clay Street, Suite 4980, Houston, TX 77002, telephone 713.510.2400.</w:t>
      </w:r>
    </w:p>
    <w:p>
      <w:pPr>
        <w:sectPr>
          <w:pgSz w:w="11900" w:h="16838" w:orient="portrait"/>
          <w:cols w:equalWidth="0" w:num="1">
            <w:col w:w="11420"/>
          </w:cols>
          <w:pgMar w:left="240" w:top="118" w:right="239" w:bottom="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 Investors</w:t>
      </w:r>
    </w:p>
    <w:p>
      <w:pPr>
        <w:jc w:val="right"/>
        <w:ind w:right="8460"/>
        <w:spacing w:after="0" w:line="238" w:lineRule="auto"/>
        <w:rPr>
          <w:sz w:val="20"/>
          <w:szCs w:val="20"/>
          <w:color w:val="auto"/>
        </w:rPr>
      </w:pPr>
      <w:r>
        <w:rPr>
          <w:rFonts w:ascii="Courier New" w:cs="Courier New" w:eastAsia="Courier New" w:hAnsi="Courier New"/>
          <w:sz w:val="18"/>
          <w:szCs w:val="18"/>
          <w:color w:val="auto"/>
        </w:rPr>
        <w:t>Frank C. Steininger</w:t>
      </w:r>
    </w:p>
    <w:p>
      <w:pPr>
        <w:sectPr>
          <w:pgSz w:w="11900" w:h="16838" w:orient="portrait"/>
          <w:cols w:equalWidth="0" w:num="1">
            <w:col w:w="11420"/>
          </w:cols>
          <w:pgMar w:left="240" w:top="118" w:right="239" w:bottom="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Senior Vice President and Chief Financial Officer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Civeo Corporation</w:t>
      </w:r>
    </w:p>
    <w:p>
      <w:pPr>
        <w:spacing w:after="0" w:line="238" w:lineRule="auto"/>
        <w:rPr>
          <w:sz w:val="20"/>
          <w:szCs w:val="20"/>
          <w:color w:val="auto"/>
        </w:rPr>
      </w:pPr>
      <w:r>
        <w:rPr>
          <w:rFonts w:ascii="Courier New" w:cs="Courier New" w:eastAsia="Courier New" w:hAnsi="Courier New"/>
          <w:sz w:val="18"/>
          <w:szCs w:val="18"/>
          <w:color w:val="auto"/>
        </w:rPr>
        <w:t>713-510-2400</w:t>
      </w:r>
    </w:p>
    <w:sectPr>
      <w:pgSz w:w="11900" w:h="16838" w:orient="portrait"/>
      <w:cols w:equalWidth="0" w:num="1">
        <w:col w:w="9259"/>
      </w:cols>
      <w:pgMar w:left="120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x"/>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2019-12-09T03:26:02Z</dcterms:created>
  <dcterms:modified xsi:type="dcterms:W3CDTF">2019-12-09T03:26:02Z</dcterms:modified>
</cp:coreProperties>
</file>