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Civeo Corporation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7" w:lineRule="exact"/>
        <w:rPr>
          <w:sz w:val="24"/>
          <w:szCs w:val="24"/>
          <w:color w:val="auto"/>
        </w:rPr>
      </w:pPr>
    </w:p>
    <w:p>
      <w:pPr>
        <w:ind w:left="4640"/>
        <w:spacing w:after="0"/>
        <w:rPr>
          <w:sz w:val="20"/>
          <w:szCs w:val="20"/>
          <w:color w:val="auto"/>
        </w:rPr>
      </w:pPr>
      <w:r>
        <w:rPr>
          <w:rFonts w:ascii="Arial" w:cs="Arial" w:eastAsia="Arial" w:hAnsi="Arial"/>
          <w:sz w:val="18"/>
          <w:szCs w:val="18"/>
          <w:u w:val="single" w:color="auto"/>
          <w:color w:val="auto"/>
        </w:rPr>
        <w:t>Common shares, no par value</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17878Y108</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25" w:lineRule="exact"/>
        <w:rPr>
          <w:sz w:val="24"/>
          <w:szCs w:val="24"/>
          <w:color w:val="auto"/>
        </w:rPr>
      </w:pPr>
    </w:p>
    <w:p>
      <w:pPr>
        <w:ind w:left="900" w:hanging="52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40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7" w:lineRule="exact"/>
        <w:rPr>
          <w:rFonts w:ascii="MS PGothic" w:cs="MS PGothic" w:eastAsia="MS PGothic" w:hAnsi="MS PGothic"/>
          <w:sz w:val="18"/>
          <w:szCs w:val="18"/>
          <w:color w:val="auto"/>
        </w:rPr>
      </w:pPr>
    </w:p>
    <w:p>
      <w:pPr>
        <w:ind w:left="900" w:hanging="52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17878Y108</w:t>
      </w:r>
    </w:p>
    <w:p>
      <w:pPr>
        <w:spacing w:after="0" w:line="225" w:lineRule="exact"/>
        <w:rPr>
          <w:sz w:val="20"/>
          <w:szCs w:val="20"/>
          <w:color w:val="auto"/>
        </w:rPr>
      </w:pPr>
    </w:p>
    <w:p>
      <w:pPr>
        <w:ind w:left="700" w:hanging="462"/>
        <w:spacing w:after="0"/>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700" w:right="5199"/>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 E. Shaw &amp; Co., L.P.</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13-3695715</w:t>
      </w:r>
    </w:p>
    <w:p>
      <w:pPr>
        <w:spacing w:after="0" w:line="207" w:lineRule="exact"/>
        <w:rPr>
          <w:sz w:val="20"/>
          <w:szCs w:val="20"/>
          <w:color w:val="auto"/>
        </w:rPr>
      </w:pPr>
    </w:p>
    <w:p>
      <w:pPr>
        <w:ind w:left="700" w:hanging="462"/>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MS PGothic" w:cs="MS PGothic" w:eastAsia="MS PGothic" w:hAnsi="MS PGothic"/>
          <w:sz w:val="18"/>
          <w:szCs w:val="18"/>
          <w:color w:val="auto"/>
        </w:rPr>
        <w:t>☐</w:t>
      </w:r>
    </w:p>
    <w:p>
      <w:pPr>
        <w:spacing w:after="0" w:line="205" w:lineRule="exact"/>
        <w:rPr>
          <w:sz w:val="20"/>
          <w:szCs w:val="20"/>
          <w:color w:val="auto"/>
        </w:rPr>
      </w:pPr>
    </w:p>
    <w:p>
      <w:pPr>
        <w:ind w:left="700" w:hanging="462"/>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700" w:right="6719" w:hanging="462"/>
        <w:spacing w:after="0" w:line="282" w:lineRule="auto"/>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00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2000" w:type="dxa"/>
            <w:vAlign w:val="bottom"/>
            <w:vMerge w:val="restart"/>
          </w:tcPr>
          <w:p>
            <w:pPr>
              <w:jc w:val="right"/>
              <w:ind w:right="1230"/>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1,893,265</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1,894,665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5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1,894,665</w:t>
      </w:r>
    </w:p>
    <w:p>
      <w:pPr>
        <w:spacing w:after="0" w:line="133" w:lineRule="exact"/>
        <w:rPr>
          <w:rFonts w:ascii="Arial" w:cs="Arial" w:eastAsia="Arial" w:hAnsi="Arial"/>
          <w:sz w:val="18"/>
          <w:szCs w:val="18"/>
          <w:b w:val="1"/>
          <w:bCs w:val="1"/>
          <w:color w:val="auto"/>
        </w:rPr>
      </w:pPr>
    </w:p>
    <w:p>
      <w:pPr>
        <w:ind w:left="700" w:hanging="462"/>
        <w:spacing w:after="0" w:line="184" w:lineRule="exact"/>
        <w:tabs>
          <w:tab w:leader="none" w:pos="7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Check if the Aggregate Amount in Row (9) Excludes Certain Shares (See Instructions) </w:t>
      </w:r>
      <w:r>
        <w:rPr>
          <w:rFonts w:ascii="MS PGothic" w:cs="MS PGothic" w:eastAsia="MS PGothic" w:hAnsi="MS PGothic"/>
          <w:sz w:val="16"/>
          <w:szCs w:val="16"/>
          <w:color w:val="auto"/>
          <w:highlight w:val="black"/>
        </w:rPr>
        <w:t>☐</w:t>
      </w:r>
    </w:p>
    <w:p>
      <w:pPr>
        <w:spacing w:after="0" w:line="276" w:lineRule="exact"/>
        <w:rPr>
          <w:rFonts w:ascii="Arial" w:cs="Arial" w:eastAsia="Arial" w:hAnsi="Arial"/>
          <w:sz w:val="16"/>
          <w:szCs w:val="16"/>
          <w:b w:val="1"/>
          <w:bCs w:val="1"/>
          <w:color w:val="auto"/>
        </w:rPr>
      </w:pPr>
    </w:p>
    <w:p>
      <w:pPr>
        <w:ind w:left="700" w:right="553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1.8%</w:t>
      </w:r>
    </w:p>
    <w:p>
      <w:pPr>
        <w:spacing w:after="0" w:line="161" w:lineRule="exact"/>
        <w:rPr>
          <w:rFonts w:ascii="Arial" w:cs="Arial" w:eastAsia="Arial" w:hAnsi="Arial"/>
          <w:sz w:val="18"/>
          <w:szCs w:val="18"/>
          <w:b w:val="1"/>
          <w:bCs w:val="1"/>
          <w:color w:val="auto"/>
        </w:rPr>
      </w:pPr>
    </w:p>
    <w:p>
      <w:pPr>
        <w:ind w:left="700" w:right="615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17878Y108</w:t>
      </w:r>
    </w:p>
    <w:p>
      <w:pPr>
        <w:spacing w:after="0" w:line="225" w:lineRule="exact"/>
        <w:rPr>
          <w:sz w:val="20"/>
          <w:szCs w:val="20"/>
          <w:color w:val="auto"/>
        </w:rPr>
      </w:pPr>
    </w:p>
    <w:p>
      <w:pPr>
        <w:ind w:left="700" w:hanging="462"/>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700" w:right="5199"/>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David E. Shaw</w:t>
      </w:r>
    </w:p>
    <w:p>
      <w:pPr>
        <w:spacing w:after="0" w:line="179" w:lineRule="exact"/>
        <w:rPr>
          <w:rFonts w:ascii="Arial" w:cs="Arial" w:eastAsia="Arial" w:hAnsi="Arial"/>
          <w:sz w:val="18"/>
          <w:szCs w:val="18"/>
          <w:b w:val="1"/>
          <w:bCs w:val="1"/>
          <w:color w:val="auto"/>
        </w:rPr>
      </w:pPr>
    </w:p>
    <w:p>
      <w:pPr>
        <w:ind w:left="700" w:hanging="462"/>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MS PGothic" w:cs="MS PGothic" w:eastAsia="MS PGothic" w:hAnsi="MS PGothic"/>
          <w:sz w:val="18"/>
          <w:szCs w:val="18"/>
          <w:color w:val="auto"/>
        </w:rPr>
        <w:t>☐</w:t>
      </w:r>
    </w:p>
    <w:p>
      <w:pPr>
        <w:spacing w:after="0" w:line="205" w:lineRule="exact"/>
        <w:rPr>
          <w:sz w:val="20"/>
          <w:szCs w:val="20"/>
          <w:color w:val="auto"/>
        </w:rPr>
      </w:pPr>
    </w:p>
    <w:p>
      <w:pPr>
        <w:ind w:left="700" w:hanging="462"/>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700" w:right="6719" w:hanging="462"/>
        <w:spacing w:after="0" w:line="282"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00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2000" w:type="dxa"/>
            <w:vAlign w:val="bottom"/>
            <w:vMerge w:val="restart"/>
          </w:tcPr>
          <w:p>
            <w:pPr>
              <w:jc w:val="right"/>
              <w:ind w:right="1230"/>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1,893,265</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1,894,665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59" w:hanging="462"/>
        <w:spacing w:after="0" w:line="282"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1,894,665</w:t>
      </w:r>
    </w:p>
    <w:p>
      <w:pPr>
        <w:spacing w:after="0" w:line="133" w:lineRule="exact"/>
        <w:rPr>
          <w:rFonts w:ascii="Arial" w:cs="Arial" w:eastAsia="Arial" w:hAnsi="Arial"/>
          <w:sz w:val="18"/>
          <w:szCs w:val="18"/>
          <w:b w:val="1"/>
          <w:bCs w:val="1"/>
          <w:color w:val="auto"/>
        </w:rPr>
      </w:pPr>
    </w:p>
    <w:p>
      <w:pPr>
        <w:ind w:left="700" w:hanging="462"/>
        <w:spacing w:after="0" w:line="184" w:lineRule="exact"/>
        <w:tabs>
          <w:tab w:leader="none" w:pos="7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Check if the Aggregate Amount in Row (9) Excludes Certain Shares (See Instructions) </w:t>
      </w:r>
      <w:r>
        <w:rPr>
          <w:rFonts w:ascii="MS PGothic" w:cs="MS PGothic" w:eastAsia="MS PGothic" w:hAnsi="MS PGothic"/>
          <w:sz w:val="16"/>
          <w:szCs w:val="16"/>
          <w:color w:val="auto"/>
          <w:highlight w:val="black"/>
        </w:rPr>
        <w:t>☐</w:t>
      </w:r>
    </w:p>
    <w:p>
      <w:pPr>
        <w:spacing w:after="0" w:line="276" w:lineRule="exact"/>
        <w:rPr>
          <w:rFonts w:ascii="Arial" w:cs="Arial" w:eastAsia="Arial" w:hAnsi="Arial"/>
          <w:sz w:val="16"/>
          <w:szCs w:val="16"/>
          <w:b w:val="1"/>
          <w:bCs w:val="1"/>
          <w:color w:val="auto"/>
        </w:rPr>
      </w:pPr>
    </w:p>
    <w:p>
      <w:pPr>
        <w:ind w:left="700" w:right="5539" w:hanging="462"/>
        <w:spacing w:after="0" w:line="282"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1.8%</w:t>
      </w:r>
    </w:p>
    <w:p>
      <w:pPr>
        <w:spacing w:after="0" w:line="161" w:lineRule="exact"/>
        <w:rPr>
          <w:rFonts w:ascii="Arial" w:cs="Arial" w:eastAsia="Arial" w:hAnsi="Arial"/>
          <w:sz w:val="18"/>
          <w:szCs w:val="18"/>
          <w:b w:val="1"/>
          <w:bCs w:val="1"/>
          <w:color w:val="auto"/>
        </w:rPr>
      </w:pPr>
    </w:p>
    <w:p>
      <w:pPr>
        <w:ind w:left="700" w:hanging="462"/>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120" w:right="8880" w:hanging="788"/>
        <w:spacing w:after="0" w:line="323" w:lineRule="auto"/>
        <w:tabs>
          <w:tab w:leader="none" w:pos="103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Civeo Corporation</w:t>
      </w:r>
    </w:p>
    <w:p>
      <w:pPr>
        <w:spacing w:after="0" w:line="134" w:lineRule="exact"/>
        <w:rPr>
          <w:rFonts w:ascii="Arial" w:cs="Arial" w:eastAsia="Arial" w:hAnsi="Arial"/>
          <w:sz w:val="16"/>
          <w:szCs w:val="16"/>
          <w:b w:val="1"/>
          <w:bCs w:val="1"/>
          <w:color w:val="auto"/>
        </w:rPr>
      </w:pPr>
    </w:p>
    <w:p>
      <w:pPr>
        <w:ind w:left="1120" w:right="6720" w:hanging="743"/>
        <w:spacing w:after="0" w:line="266" w:lineRule="auto"/>
        <w:tabs>
          <w:tab w:leader="none" w:pos="103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Three Allen Center, 333 Clay Street, Suite 4980 Houston, Texas 77002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120" w:right="8540" w:hanging="743"/>
        <w:spacing w:after="0" w:line="302" w:lineRule="auto"/>
        <w:tabs>
          <w:tab w:leader="none" w:pos="103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D. E. Shaw &amp; Co., L.P. David E. Shaw</w:t>
      </w:r>
    </w:p>
    <w:p>
      <w:pPr>
        <w:spacing w:after="0" w:line="151" w:lineRule="exact"/>
        <w:rPr>
          <w:rFonts w:ascii="Arial" w:cs="Arial" w:eastAsia="Arial" w:hAnsi="Arial"/>
          <w:sz w:val="16"/>
          <w:szCs w:val="16"/>
          <w:b w:val="1"/>
          <w:bCs w:val="1"/>
          <w:color w:val="auto"/>
        </w:rPr>
      </w:pPr>
    </w:p>
    <w:p>
      <w:pPr>
        <w:ind w:left="1120" w:right="5840" w:hanging="743"/>
        <w:spacing w:after="0" w:line="313" w:lineRule="auto"/>
        <w:tabs>
          <w:tab w:leader="none" w:pos="103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business address for each reporting person is:</w:t>
      </w:r>
    </w:p>
    <w:p>
      <w:pPr>
        <w:ind w:left="1120"/>
        <w:spacing w:after="0" w:line="180" w:lineRule="auto"/>
        <w:rPr>
          <w:sz w:val="20"/>
          <w:szCs w:val="20"/>
          <w:color w:val="auto"/>
        </w:rPr>
      </w:pPr>
      <w:r>
        <w:rPr>
          <w:rFonts w:ascii="Arial" w:cs="Arial" w:eastAsia="Arial" w:hAnsi="Arial"/>
          <w:sz w:val="18"/>
          <w:szCs w:val="18"/>
          <w:color w:val="auto"/>
        </w:rPr>
        <w:t>1166 Avenue of the Americas,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120"/>
        <w:spacing w:after="0"/>
        <w:rPr>
          <w:sz w:val="20"/>
          <w:szCs w:val="20"/>
          <w:color w:val="auto"/>
        </w:rPr>
      </w:pPr>
      <w:r>
        <w:rPr>
          <w:rFonts w:ascii="Arial" w:cs="Arial" w:eastAsia="Arial" w:hAnsi="Arial"/>
          <w:sz w:val="18"/>
          <w:szCs w:val="18"/>
          <w:color w:val="auto"/>
        </w:rPr>
        <w:t>New York, NY 10036</w:t>
      </w:r>
    </w:p>
    <w:p>
      <w:pPr>
        <w:spacing w:after="0" w:line="205" w:lineRule="exact"/>
        <w:rPr>
          <w:sz w:val="20"/>
          <w:szCs w:val="20"/>
          <w:color w:val="auto"/>
        </w:rPr>
      </w:pPr>
    </w:p>
    <w:p>
      <w:pPr>
        <w:ind w:left="1040" w:hanging="66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ind w:left="1120" w:right="3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 E. Shaw &amp; Co., L.P. is a limited partnership organized under the laws of the state of Delaware. David E. Shaw is a citizen of the United States of America.</w:t>
      </w:r>
    </w:p>
    <w:p>
      <w:pPr>
        <w:spacing w:after="0" w:line="179" w:lineRule="exact"/>
        <w:rPr>
          <w:rFonts w:ascii="Arial" w:cs="Arial" w:eastAsia="Arial" w:hAnsi="Arial"/>
          <w:sz w:val="18"/>
          <w:szCs w:val="18"/>
          <w:b w:val="1"/>
          <w:bCs w:val="1"/>
          <w:color w:val="auto"/>
        </w:rPr>
      </w:pPr>
    </w:p>
    <w:p>
      <w:pPr>
        <w:ind w:left="1040" w:hanging="66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Common shares, no par value</w:t>
      </w:r>
    </w:p>
    <w:p>
      <w:pPr>
        <w:spacing w:after="0" w:line="207" w:lineRule="exact"/>
        <w:rPr>
          <w:sz w:val="20"/>
          <w:szCs w:val="20"/>
          <w:color w:val="auto"/>
        </w:rPr>
      </w:pPr>
    </w:p>
    <w:p>
      <w:pPr>
        <w:ind w:left="1120" w:right="9080" w:hanging="743"/>
        <w:spacing w:after="0" w:line="313" w:lineRule="auto"/>
        <w:tabs>
          <w:tab w:leader="none" w:pos="103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17878Y108</w:t>
      </w:r>
    </w:p>
    <w:p>
      <w:pPr>
        <w:spacing w:after="0" w:line="1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40"/>
          </w:cols>
          <w:pgMar w:left="240" w:top="904" w:right="3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620"/>
            <w:col w:w="10180"/>
          </w:cols>
          <w:pgMar w:left="240" w:top="904" w:right="31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Amount beneficially owned:</w:t>
      </w:r>
    </w:p>
    <w:p>
      <w:pPr>
        <w:sectPr>
          <w:pgSz w:w="11900" w:h="16838" w:orient="portrait"/>
          <w:cols w:equalWidth="0" w:num="1">
            <w:col w:w="11340"/>
          </w:cols>
          <w:pgMar w:left="240" w:top="904" w:right="319" w:bottom="1440" w:gutter="0" w:footer="0" w:header="0"/>
          <w:type w:val="continuous"/>
        </w:sect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 E. Shaw &amp; Co., L.P.: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1,894,665 shares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This is composed of (i) 729,900 shares in the name of D. E. Shaw Kalon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Portfolios, L.L.C., (ii) 720,000 shares in the name of D. E. Shaw Valence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Portfolios, L.L.C., (iii) 389,469 shares in the name of D. E. Shaw Oculus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Portfolios, L.L.C., (iv) 28,211 shares in the name of D. E. Shaw Asymptote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Portfolios, L.L.C., (v) 500 shares in the name of D. E. Shaw Heliant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(vi) 27,085 shares under the management of 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L.L.C.</w:t>
      </w:r>
    </w:p>
    <w:p>
      <w:pPr>
        <w:spacing w:after="0" w:line="200" w:lineRule="exact"/>
        <w:rPr>
          <w:sz w:val="20"/>
          <w:szCs w:val="20"/>
          <w:color w:val="auto"/>
        </w:rPr>
      </w:pPr>
    </w:p>
    <w:p>
      <w:pPr>
        <w:sectPr>
          <w:pgSz w:w="11900" w:h="16838" w:orient="portrait"/>
          <w:cols w:equalWidth="0" w:num="2">
            <w:col w:w="5100" w:space="720"/>
            <w:col w:w="5520"/>
          </w:cols>
          <w:pgMar w:left="240" w:top="904" w:right="31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David E. 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1,894,665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This is composed of (i) 729,900 shares in the name of D. E. Shaw Kalon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Portfolios, L.L.C., (ii) 720,000 shares in the name of D. E. Shaw Valence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Portfolios, L.L.C., (iii) 389,469 shares in the name of D. E. Shaw Oculus</w:t>
      </w:r>
    </w:p>
    <w:p>
      <w:pPr>
        <w:spacing w:after="0" w:line="32" w:lineRule="exact"/>
        <w:rPr>
          <w:sz w:val="20"/>
          <w:szCs w:val="20"/>
          <w:color w:val="auto"/>
        </w:rPr>
      </w:pPr>
    </w:p>
    <w:p>
      <w:pPr>
        <w:sectPr>
          <w:pgSz w:w="11900" w:h="16838" w:orient="portrait"/>
          <w:cols w:equalWidth="0" w:num="2">
            <w:col w:w="5100" w:space="720"/>
            <w:col w:w="5520"/>
          </w:cols>
          <w:pgMar w:left="240" w:top="904" w:right="31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Portfolios, L.L.C., (iv) 28,211 shares in the name of D. E. Shaw Asymptote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Portfolios, L.L.C., (v) 500 shares in the name of D. E. Shaw Heliant Capital,</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L.L.C., and (vi) 27,085 shares under the management of D. E. Shaw</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 Percent of class:</w:t>
            </w:r>
          </w:p>
        </w:tc>
        <w:tc>
          <w:tcPr>
            <w:tcW w:w="2280" w:type="dxa"/>
            <w:vAlign w:val="bottom"/>
          </w:tcPr>
          <w:p>
            <w:pPr>
              <w:spacing w:after="0"/>
              <w:rPr>
                <w:sz w:val="18"/>
                <w:szCs w:val="18"/>
                <w:color w:val="auto"/>
              </w:rPr>
            </w:pPr>
          </w:p>
        </w:tc>
      </w:tr>
      <w:tr>
        <w:trPr>
          <w:trHeight w:val="216"/>
        </w:trPr>
        <w:tc>
          <w:tcPr>
            <w:tcW w:w="3920" w:type="dxa"/>
            <w:vAlign w:val="bottom"/>
          </w:tcPr>
          <w:p>
            <w:pPr>
              <w:ind w:left="260"/>
              <w:spacing w:after="0"/>
              <w:rPr>
                <w:sz w:val="20"/>
                <w:szCs w:val="20"/>
                <w:color w:val="auto"/>
              </w:rPr>
            </w:pPr>
            <w:r>
              <w:rPr>
                <w:rFonts w:ascii="Arial" w:cs="Arial" w:eastAsia="Arial" w:hAnsi="Arial"/>
                <w:sz w:val="18"/>
                <w:szCs w:val="18"/>
                <w:color w:val="auto"/>
              </w:rPr>
              <w:t>D. E. Shaw &amp; Co., L.P.:</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David E. Shaw:</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Number of shares to which the person has:</w:t>
      </w:r>
    </w:p>
    <w:p>
      <w:pPr>
        <w:spacing w:after="0" w:line="23" w:lineRule="exact"/>
        <w:rPr>
          <w:sz w:val="20"/>
          <w:szCs w:val="20"/>
          <w:color w:val="auto"/>
        </w:rPr>
      </w:pPr>
    </w:p>
    <w:p>
      <w:pPr>
        <w:ind w:left="1160" w:hanging="893"/>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ectPr>
          <w:pgSz w:w="11900" w:h="16838" w:orient="portrait"/>
          <w:cols w:equalWidth="0" w:num="1">
            <w:col w:w="11380"/>
          </w:cols>
          <w:pgMar w:left="240" w:top="908" w:right="279" w:bottom="1440" w:gutter="0" w:footer="0" w:header="0"/>
        </w:sectPr>
      </w:pP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5680" w:space="720"/>
            <w:col w:w="4980"/>
          </w:cols>
          <w:pgMar w:left="240" w:top="908" w:right="27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Shared power to vote or to direct the vote:</w:t>
      </w:r>
    </w:p>
    <w:p>
      <w:pPr>
        <w:sectPr>
          <w:pgSz w:w="11900" w:h="16838" w:orient="portrait"/>
          <w:cols w:equalWidth="0" w:num="1">
            <w:col w:w="11380"/>
          </w:cols>
          <w:pgMar w:left="240" w:top="908" w:right="27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1,893,265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1,893,265 shares</w:t>
      </w:r>
    </w:p>
    <w:p>
      <w:pPr>
        <w:spacing w:after="0" w:line="234" w:lineRule="exact"/>
        <w:rPr>
          <w:sz w:val="20"/>
          <w:szCs w:val="20"/>
          <w:color w:val="auto"/>
        </w:rPr>
      </w:pPr>
    </w:p>
    <w:p>
      <w:pPr>
        <w:sectPr>
          <w:pgSz w:w="11900" w:h="16838" w:orient="portrait"/>
          <w:cols w:equalWidth="0" w:num="2">
            <w:col w:w="5680" w:space="720"/>
            <w:col w:w="4980"/>
          </w:cols>
          <w:pgMar w:left="240" w:top="908" w:right="27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ectPr>
          <w:pgSz w:w="11900" w:h="16838" w:orient="portrait"/>
          <w:cols w:equalWidth="0" w:num="1">
            <w:col w:w="11380"/>
          </w:cols>
          <w:pgMar w:left="240" w:top="908" w:right="27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5680" w:space="720"/>
            <w:col w:w="4980"/>
          </w:cols>
          <w:pgMar w:left="240" w:top="908" w:right="27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ectPr>
          <w:pgSz w:w="11900" w:h="16838" w:orient="portrait"/>
          <w:cols w:equalWidth="0" w:num="1">
            <w:col w:w="11380"/>
          </w:cols>
          <w:pgMar w:left="240" w:top="908" w:right="27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1,894,665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1,894,665 shares</w:t>
      </w:r>
    </w:p>
    <w:p>
      <w:pPr>
        <w:spacing w:after="0" w:line="234" w:lineRule="exact"/>
        <w:rPr>
          <w:sz w:val="20"/>
          <w:szCs w:val="20"/>
          <w:color w:val="auto"/>
        </w:rPr>
      </w:pPr>
    </w:p>
    <w:p>
      <w:pPr>
        <w:sectPr>
          <w:pgSz w:w="11900" w:h="16838" w:orient="portrait"/>
          <w:cols w:equalWidth="0" w:num="2">
            <w:col w:w="5680" w:space="720"/>
            <w:col w:w="4980"/>
          </w:cols>
          <w:pgMar w:left="240" w:top="908" w:right="279" w:bottom="1440" w:gutter="0" w:footer="0" w:header="0"/>
          <w:type w:val="continuous"/>
        </w:sectPr>
      </w:pPr>
    </w:p>
    <w:p>
      <w:pPr>
        <w:spacing w:after="0" w:line="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David E. Shaw does not own any shares directly. By virtue of David E. Shaw’s position as President and sole shareholder of D. E. Shaw &amp; Co., Inc., which is the general partner of D. E. Shaw &amp; Co., L.P., which in turn is the manager and investment adviser of D. E. Shaw Valence Portfolios, L.L.C., the investment adviser of D. E. Shaw Oculus Portfolios, L.L.C., and the managing member of (i) D. E. Shaw Investment Management, L.L.C., (ii) D. E. Shaw Heliant Adviser, L.L.C., which in turn is the investment adviser of D. E. Shaw Kalon Portfolios, L.L.C. and D. E. Shaw Heliant Capital, L.L.C., and (iii) D. E. Shaw Adviser, L.L.C., which in turn is the investment adviser of D. E. Shaw Asymptote Portfolios, L.L.C., and by virtue of David E. Shaw’s position as President and sole shareholder of D. E. Shaw &amp; Co. II, Inc., which is the managing member of D. E. Shaw &amp; Co., L.L.C., which in turn is the manager of D. E. Shaw Oculus Portfolios, L.L.C. and the managing member of (i) D. E. Shaw Heliant Manager, L.L.C., which in turn is the manager of D. E. Shaw Kalon Portfolios, L.L.C. and D. E. Shaw Heliant Capital, L.L.C., and (ii) D. E. Shaw Manager, L.L.C., which in turn is the manager of D. E. Shaw Asymptote Portfolios, L.L.C., David E. Shaw may be deemed to have the shared power to vote or direct the vote of 1,893,265 shares, and the shared power to dispose or direct the disposition of 1,894,665 shares, the 1,894,665 shares as described above constituting 1.8% of the outstanding shares and, therefore, David E. Shaw may be deemed to be the beneficial owner of such shares. David E. Shaw disclaims beneficial ownership of such 1,894,665 shares.</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right="8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160" w:right="80" w:hanging="1147"/>
        <w:spacing w:after="0" w:line="261"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By signing below, each of D. E. Shaw &amp; Co., L.P. and David E. Shaw certify that, to the best of such reporting person’s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After reasonable inquiry and to the best of their knowledge and belief, the undersigned certify that the information set forth in this statement is true, complete and correct. A Power of Attorney, dated December 16, 2014, granted by David E. Shaw in favor of Nathan Thomas, is attached 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THE INVESTMENT ADVISERS ACT OF 1940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Anne Dinning,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Liftin,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acting individually, as my agent and attorney-in-fact, with full power of substitution, for the purpose of, from time to time, (i) executing in my name and/or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June 22, 2012,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u w:val="single" w:color="auto"/>
          <w:color w:val="auto"/>
        </w:rPr>
        <w:t>Exhibit 2</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shares, no par value, of Civeo Corporation, and that this Agreement be included as an Exhibit to such joint filing.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hereby executes this Agreement as of this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lowerLetter"/>
      <w:start w:val="1"/>
    </w:lvl>
    <w:lvl w:ilvl="1">
      <w:lvlJc w:val="left"/>
      <w:lvlText w:val="(%2)"/>
      <w:numFmt w:val="lowerLetter"/>
      <w:start w:val="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3"/>
    </w:lvl>
    <w:lvl w:ilvl="1">
      <w:lvlJc w:val="left"/>
      <w:lvlText w:val="%2"/>
      <w:numFmt w:val="upperLetter"/>
      <w:start w:val="1"/>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2019-12-17T06:21:25Z</dcterms:created>
  <dcterms:modified xsi:type="dcterms:W3CDTF">2019-12-17T06:21:25Z</dcterms:modified>
</cp:coreProperties>
</file>