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7"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16, 2019</w:t>
      </w:r>
    </w:p>
    <w:p>
      <w:pPr>
        <w:spacing w:after="0" w:line="28"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4"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3360" w:type="dxa"/>
            <w:vAlign w:val="bottom"/>
          </w:tcPr>
          <w:p>
            <w:pPr>
              <w:jc w:val="center"/>
              <w:ind w:right="824"/>
              <w:spacing w:after="0"/>
              <w:rPr>
                <w:sz w:val="20"/>
                <w:szCs w:val="20"/>
                <w:color w:val="auto"/>
              </w:rPr>
            </w:pPr>
            <w:r>
              <w:rPr>
                <w:rFonts w:ascii="Arial" w:cs="Arial" w:eastAsia="Arial" w:hAnsi="Arial"/>
                <w:sz w:val="22"/>
                <w:szCs w:val="22"/>
                <w:b w:val="1"/>
                <w:bCs w:val="1"/>
                <w:color w:val="auto"/>
                <w:w w:val="91"/>
              </w:rPr>
              <w:t>British Columbia, Canada</w:t>
            </w:r>
          </w:p>
        </w:tc>
        <w:tc>
          <w:tcPr>
            <w:tcW w:w="3380" w:type="dxa"/>
            <w:vAlign w:val="bottom"/>
          </w:tcPr>
          <w:p>
            <w:pPr>
              <w:jc w:val="center"/>
              <w:ind w:right="124"/>
              <w:spacing w:after="0"/>
              <w:rPr>
                <w:sz w:val="20"/>
                <w:szCs w:val="20"/>
                <w:color w:val="auto"/>
              </w:rPr>
            </w:pPr>
            <w:r>
              <w:rPr>
                <w:rFonts w:ascii="Arial" w:cs="Arial" w:eastAsia="Arial" w:hAnsi="Arial"/>
                <w:sz w:val="22"/>
                <w:szCs w:val="22"/>
                <w:b w:val="1"/>
                <w:bCs w:val="1"/>
                <w:color w:val="auto"/>
                <w:w w:val="89"/>
              </w:rPr>
              <w:t>1-36246</w:t>
            </w:r>
          </w:p>
        </w:tc>
        <w:tc>
          <w:tcPr>
            <w:tcW w:w="2500" w:type="dxa"/>
            <w:vAlign w:val="bottom"/>
          </w:tcPr>
          <w:p>
            <w:pPr>
              <w:jc w:val="center"/>
              <w:ind w:left="1044"/>
              <w:spacing w:after="0"/>
              <w:rPr>
                <w:sz w:val="20"/>
                <w:szCs w:val="20"/>
                <w:color w:val="auto"/>
              </w:rPr>
            </w:pPr>
            <w:r>
              <w:rPr>
                <w:rFonts w:ascii="Arial" w:cs="Arial" w:eastAsia="Arial" w:hAnsi="Arial"/>
                <w:sz w:val="22"/>
                <w:szCs w:val="22"/>
                <w:b w:val="1"/>
                <w:bCs w:val="1"/>
                <w:color w:val="auto"/>
                <w:w w:val="88"/>
              </w:rPr>
              <w:t>98-1253716</w:t>
            </w:r>
          </w:p>
        </w:tc>
      </w:tr>
      <w:tr>
        <w:trPr>
          <w:trHeight w:val="216"/>
        </w:trPr>
        <w:tc>
          <w:tcPr>
            <w:tcW w:w="3360" w:type="dxa"/>
            <w:vAlign w:val="bottom"/>
          </w:tcPr>
          <w:p>
            <w:pPr>
              <w:jc w:val="center"/>
              <w:ind w:right="844"/>
              <w:spacing w:after="0"/>
              <w:rPr>
                <w:sz w:val="20"/>
                <w:szCs w:val="20"/>
                <w:color w:val="auto"/>
              </w:rPr>
            </w:pPr>
            <w:r>
              <w:rPr>
                <w:rFonts w:ascii="Arial" w:cs="Arial" w:eastAsia="Arial" w:hAnsi="Arial"/>
                <w:sz w:val="18"/>
                <w:szCs w:val="18"/>
                <w:color w:val="auto"/>
                <w:w w:val="92"/>
              </w:rPr>
              <w:t>(State or other jurisdiction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44"/>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824"/>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64"/>
              <w:spacing w:after="0"/>
              <w:rPr>
                <w:sz w:val="20"/>
                <w:szCs w:val="20"/>
                <w:color w:val="auto"/>
              </w:rPr>
            </w:pPr>
            <w:r>
              <w:rPr>
                <w:rFonts w:ascii="Arial" w:cs="Arial" w:eastAsia="Arial" w:hAnsi="Arial"/>
                <w:sz w:val="18"/>
                <w:szCs w:val="18"/>
                <w:color w:val="auto"/>
                <w:w w:val="95"/>
              </w:rPr>
              <w:t>Identification No.)</w:t>
            </w:r>
          </w:p>
        </w:tc>
      </w:tr>
    </w:tbl>
    <w:p>
      <w:pPr>
        <w:spacing w:after="0" w:line="25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333 Clay Street, Suite 4980</w:t>
      </w:r>
    </w:p>
    <w:p>
      <w:pPr>
        <w:jc w:val="center"/>
        <w:ind w:left="340"/>
        <w:spacing w:after="0" w:line="235" w:lineRule="auto"/>
        <w:rPr>
          <w:sz w:val="20"/>
          <w:szCs w:val="20"/>
          <w:color w:val="auto"/>
        </w:rPr>
      </w:pPr>
      <w:r>
        <w:rPr>
          <w:rFonts w:ascii="Arial" w:cs="Arial" w:eastAsia="Arial" w:hAnsi="Arial"/>
          <w:sz w:val="22"/>
          <w:szCs w:val="22"/>
          <w:b w:val="1"/>
          <w:bCs w:val="1"/>
          <w:color w:val="auto"/>
        </w:rPr>
        <w:t>Houston, Texas 77002</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(Address and zip code of principal executive offices)</w:t>
      </w:r>
    </w:p>
    <w:p>
      <w:pPr>
        <w:spacing w:after="0" w:line="23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3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r>
        <w:trPr>
          <w:trHeight w:val="237"/>
        </w:trPr>
        <w:tc>
          <w:tcPr>
            <w:tcW w:w="3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400"/>
          </w:cols>
          <w:pgMar w:left="240" w:top="215" w:right="2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584" w:right="379" w:bottom="1440" w:gutter="0" w:footer="0" w:header="0"/>
        </w:sectPr>
      </w:pPr>
    </w:p>
    <w:bookmarkStart w:id="2" w:name="page3"/>
    <w:bookmarkEnd w:id="2"/>
    <w:p>
      <w:pPr>
        <w:ind w:left="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t>Item 5.07 Submission of Matters to a Vote of Security Holders</w:t>
      </w:r>
    </w:p>
    <w:p>
      <w:pPr>
        <w:spacing w:after="0" w:line="141"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At the 2019 Annual General Meeting of Shareholders held on May 16, 2019, the shareholders of Civeo Corporation (“Civeo”): (1) elected three Class II nominees to Civeo’s Board of Directors (the “Board”); (2) ratified the appointment of Ernst &amp; Young LLP as Civeo’s independent registered public accounting firm for the year ending December 31, 2019 and until the next annual general meeting of shareholders and authorized the directors of Civeo, acting through the Audit Committee, to determine the remuneration to be paid to Ernst &amp; Young LLP for 2019; and (3) voted, on an advisory basis, in favor of the compensation of the persons listed as named executive officers in Civeo’s proxy statement filed with the Securities and Exchange Commission on April 3, 2019. The proposals related to each matter are described in detail in the Proxy Statement. The voting results for each proposal are as follows: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Proposal 1 - To elect the three Class II nominees to the Board:</w:t>
      </w:r>
    </w:p>
    <w:p>
      <w:pPr>
        <w:spacing w:after="0" w:line="385"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2820" w:type="dxa"/>
            <w:vAlign w:val="bottom"/>
          </w:tcPr>
          <w:p>
            <w:pPr>
              <w:spacing w:after="0"/>
              <w:rPr>
                <w:sz w:val="22"/>
                <w:szCs w:val="22"/>
                <w:color w:val="auto"/>
              </w:rPr>
            </w:pPr>
          </w:p>
        </w:tc>
        <w:tc>
          <w:tcPr>
            <w:tcW w:w="242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92"/>
              </w:rPr>
              <w:t>For</w:t>
            </w:r>
          </w:p>
        </w:tc>
        <w:tc>
          <w:tcPr>
            <w:tcW w:w="2480" w:type="dxa"/>
            <w:vAlign w:val="bottom"/>
            <w:gridSpan w:val="2"/>
          </w:tcPr>
          <w:p>
            <w:pPr>
              <w:ind w:left="700"/>
              <w:spacing w:after="0"/>
              <w:rPr>
                <w:sz w:val="20"/>
                <w:szCs w:val="20"/>
                <w:color w:val="auto"/>
              </w:rPr>
            </w:pPr>
            <w:r>
              <w:rPr>
                <w:rFonts w:ascii="Arial" w:cs="Arial" w:eastAsia="Arial" w:hAnsi="Arial"/>
                <w:sz w:val="20"/>
                <w:szCs w:val="20"/>
                <w:b w:val="1"/>
                <w:bCs w:val="1"/>
                <w:color w:val="auto"/>
              </w:rPr>
              <w:t>Withheld</w:t>
            </w:r>
          </w:p>
        </w:tc>
        <w:tc>
          <w:tcPr>
            <w:tcW w:w="2320" w:type="dxa"/>
            <w:vAlign w:val="bottom"/>
          </w:tcPr>
          <w:p>
            <w:pPr>
              <w:jc w:val="right"/>
              <w:ind w:right="301"/>
              <w:spacing w:after="0"/>
              <w:rPr>
                <w:sz w:val="20"/>
                <w:szCs w:val="20"/>
                <w:color w:val="auto"/>
              </w:rPr>
            </w:pPr>
            <w:r>
              <w:rPr>
                <w:rFonts w:ascii="Arial" w:cs="Arial" w:eastAsia="Arial" w:hAnsi="Arial"/>
                <w:sz w:val="20"/>
                <w:szCs w:val="20"/>
                <w:b w:val="1"/>
                <w:bCs w:val="1"/>
                <w:color w:val="auto"/>
              </w:rPr>
              <w:t>Broker Non-Votes</w:t>
            </w:r>
          </w:p>
        </w:tc>
      </w:tr>
      <w:tr>
        <w:trPr>
          <w:trHeight w:val="23"/>
        </w:trPr>
        <w:tc>
          <w:tcPr>
            <w:tcW w:w="28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7"/>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Richard A. Navarre</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8"/>
              </w:rPr>
              <w:t>128,445,424</w:t>
            </w:r>
          </w:p>
        </w:tc>
        <w:tc>
          <w:tcPr>
            <w:tcW w:w="2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20"/>
                <w:szCs w:val="20"/>
                <w:color w:val="auto"/>
              </w:rPr>
              <w:t>2,979,519</w:t>
            </w:r>
          </w:p>
        </w:tc>
        <w:tc>
          <w:tcPr>
            <w:tcW w:w="2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20"/>
                <w:szCs w:val="20"/>
                <w:color w:val="auto"/>
              </w:rPr>
              <w:t>29,832,060</w:t>
            </w:r>
          </w:p>
        </w:tc>
      </w:tr>
      <w:tr>
        <w:trPr>
          <w:trHeight w:val="261"/>
        </w:trPr>
        <w:tc>
          <w:tcPr>
            <w:tcW w:w="2820" w:type="dxa"/>
            <w:vAlign w:val="bottom"/>
          </w:tcPr>
          <w:p>
            <w:pPr>
              <w:ind w:left="20"/>
              <w:spacing w:after="0"/>
              <w:rPr>
                <w:sz w:val="20"/>
                <w:szCs w:val="20"/>
                <w:color w:val="auto"/>
              </w:rPr>
            </w:pPr>
            <w:r>
              <w:rPr>
                <w:rFonts w:ascii="Arial" w:cs="Arial" w:eastAsia="Arial" w:hAnsi="Arial"/>
                <w:sz w:val="20"/>
                <w:szCs w:val="20"/>
                <w:color w:val="auto"/>
              </w:rPr>
              <w:t>Martin A. Lambert</w:t>
            </w:r>
          </w:p>
        </w:tc>
        <w:tc>
          <w:tcPr>
            <w:tcW w:w="2220" w:type="dxa"/>
            <w:vAlign w:val="bottom"/>
          </w:tcPr>
          <w:p>
            <w:pPr>
              <w:jc w:val="center"/>
              <w:spacing w:after="0"/>
              <w:rPr>
                <w:sz w:val="20"/>
                <w:szCs w:val="20"/>
                <w:color w:val="auto"/>
              </w:rPr>
            </w:pPr>
            <w:r>
              <w:rPr>
                <w:rFonts w:ascii="Arial" w:cs="Arial" w:eastAsia="Arial" w:hAnsi="Arial"/>
                <w:sz w:val="20"/>
                <w:szCs w:val="20"/>
                <w:color w:val="auto"/>
                <w:w w:val="88"/>
              </w:rPr>
              <w:t>129,439,771</w:t>
            </w:r>
          </w:p>
        </w:tc>
        <w:tc>
          <w:tcPr>
            <w:tcW w:w="200" w:type="dxa"/>
            <w:vAlign w:val="bottom"/>
          </w:tcPr>
          <w:p>
            <w:pPr>
              <w:spacing w:after="0"/>
              <w:rPr>
                <w:sz w:val="22"/>
                <w:szCs w:val="22"/>
                <w:color w:val="auto"/>
              </w:rPr>
            </w:pPr>
          </w:p>
        </w:tc>
        <w:tc>
          <w:tcPr>
            <w:tcW w:w="2200" w:type="dxa"/>
            <w:vAlign w:val="bottom"/>
          </w:tcPr>
          <w:p>
            <w:pPr>
              <w:ind w:left="700"/>
              <w:spacing w:after="0"/>
              <w:rPr>
                <w:sz w:val="20"/>
                <w:szCs w:val="20"/>
                <w:color w:val="auto"/>
              </w:rPr>
            </w:pPr>
            <w:r>
              <w:rPr>
                <w:rFonts w:ascii="Arial" w:cs="Arial" w:eastAsia="Arial" w:hAnsi="Arial"/>
                <w:sz w:val="20"/>
                <w:szCs w:val="20"/>
                <w:color w:val="auto"/>
              </w:rPr>
              <w:t>1,985,172</w:t>
            </w:r>
          </w:p>
        </w:tc>
        <w:tc>
          <w:tcPr>
            <w:tcW w:w="280" w:type="dxa"/>
            <w:vAlign w:val="bottom"/>
          </w:tcPr>
          <w:p>
            <w:pPr>
              <w:spacing w:after="0"/>
              <w:rPr>
                <w:sz w:val="22"/>
                <w:szCs w:val="22"/>
                <w:color w:val="auto"/>
              </w:rPr>
            </w:pPr>
          </w:p>
        </w:tc>
        <w:tc>
          <w:tcPr>
            <w:tcW w:w="2320" w:type="dxa"/>
            <w:vAlign w:val="bottom"/>
          </w:tcPr>
          <w:p>
            <w:pPr>
              <w:jc w:val="right"/>
              <w:ind w:right="721"/>
              <w:spacing w:after="0"/>
              <w:rPr>
                <w:sz w:val="20"/>
                <w:szCs w:val="20"/>
                <w:color w:val="auto"/>
              </w:rPr>
            </w:pPr>
            <w:r>
              <w:rPr>
                <w:rFonts w:ascii="Arial" w:cs="Arial" w:eastAsia="Arial" w:hAnsi="Arial"/>
                <w:sz w:val="20"/>
                <w:szCs w:val="20"/>
                <w:color w:val="auto"/>
              </w:rPr>
              <w:t>29,832,060</w:t>
            </w:r>
          </w:p>
        </w:tc>
      </w:tr>
      <w:tr>
        <w:trPr>
          <w:trHeight w:val="23"/>
        </w:trPr>
        <w:tc>
          <w:tcPr>
            <w:tcW w:w="28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61"/>
        </w:trPr>
        <w:tc>
          <w:tcPr>
            <w:tcW w:w="2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Constance B. Moore</w:t>
            </w:r>
          </w:p>
        </w:tc>
        <w:tc>
          <w:tcPr>
            <w:tcW w:w="2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8"/>
              </w:rPr>
              <w:t>129,444,163</w:t>
            </w:r>
          </w:p>
        </w:tc>
        <w:tc>
          <w:tcPr>
            <w:tcW w:w="200" w:type="dxa"/>
            <w:vAlign w:val="bottom"/>
            <w:shd w:val="clear" w:color="auto" w:fill="CCEEFF"/>
          </w:tcPr>
          <w:p>
            <w:pPr>
              <w:spacing w:after="0"/>
              <w:rPr>
                <w:sz w:val="22"/>
                <w:szCs w:val="22"/>
                <w:color w:val="auto"/>
              </w:rPr>
            </w:pPr>
          </w:p>
        </w:tc>
        <w:tc>
          <w:tcPr>
            <w:tcW w:w="2200" w:type="dxa"/>
            <w:vAlign w:val="bottom"/>
            <w:shd w:val="clear" w:color="auto" w:fill="CCEEFF"/>
          </w:tcPr>
          <w:p>
            <w:pPr>
              <w:ind w:left="700"/>
              <w:spacing w:after="0"/>
              <w:rPr>
                <w:sz w:val="20"/>
                <w:szCs w:val="20"/>
                <w:color w:val="auto"/>
              </w:rPr>
            </w:pPr>
            <w:r>
              <w:rPr>
                <w:rFonts w:ascii="Arial" w:cs="Arial" w:eastAsia="Arial" w:hAnsi="Arial"/>
                <w:sz w:val="20"/>
                <w:szCs w:val="20"/>
                <w:color w:val="auto"/>
              </w:rPr>
              <w:t>1,980,780</w:t>
            </w:r>
          </w:p>
        </w:tc>
        <w:tc>
          <w:tcPr>
            <w:tcW w:w="280" w:type="dxa"/>
            <w:vAlign w:val="bottom"/>
            <w:shd w:val="clear" w:color="auto" w:fill="CCEEFF"/>
          </w:tcPr>
          <w:p>
            <w:pPr>
              <w:spacing w:after="0"/>
              <w:rPr>
                <w:sz w:val="22"/>
                <w:szCs w:val="22"/>
                <w:color w:val="auto"/>
              </w:rPr>
            </w:pPr>
          </w:p>
        </w:tc>
        <w:tc>
          <w:tcPr>
            <w:tcW w:w="2320" w:type="dxa"/>
            <w:vAlign w:val="bottom"/>
            <w:shd w:val="clear" w:color="auto" w:fill="CCEEFF"/>
          </w:tcPr>
          <w:p>
            <w:pPr>
              <w:jc w:val="right"/>
              <w:ind w:right="721"/>
              <w:spacing w:after="0"/>
              <w:rPr>
                <w:sz w:val="20"/>
                <w:szCs w:val="20"/>
                <w:color w:val="auto"/>
              </w:rPr>
            </w:pPr>
            <w:r>
              <w:rPr>
                <w:rFonts w:ascii="Arial" w:cs="Arial" w:eastAsia="Arial" w:hAnsi="Arial"/>
                <w:sz w:val="20"/>
                <w:szCs w:val="20"/>
                <w:color w:val="auto"/>
              </w:rPr>
              <w:t>29,832,060</w:t>
            </w:r>
          </w:p>
        </w:tc>
      </w:tr>
      <w:tr>
        <w:trPr>
          <w:trHeight w:val="23"/>
        </w:trPr>
        <w:tc>
          <w:tcPr>
            <w:tcW w:w="28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Proposal 2 - To ratify the appointment of Ernst &amp; Young LLP as Civeo’s independent registered public accounting firm for the year ending December 31, 2019 and until the next annual general meeting of shareholders and to authorize the directors of Civeo, acting through the Audit Committee, to determine the remuneration to be paid to Ernst &amp; Young LLP for 2019:</w:t>
      </w:r>
    </w:p>
    <w:p>
      <w:pPr>
        <w:spacing w:after="0" w:line="356" w:lineRule="exact"/>
        <w:rPr>
          <w:sz w:val="20"/>
          <w:szCs w:val="20"/>
          <w:color w:val="auto"/>
        </w:rPr>
      </w:pPr>
    </w:p>
    <w:tbl>
      <w:tblPr>
        <w:tblLayout w:type="fixed"/>
        <w:tblInd w:w="2020" w:type="dxa"/>
        <w:tblCellMar>
          <w:top w:w="0" w:type="dxa"/>
          <w:left w:w="0" w:type="dxa"/>
          <w:bottom w:w="0" w:type="dxa"/>
          <w:right w:w="0" w:type="dxa"/>
        </w:tblCellMar>
      </w:tblPr>
      <w:tr>
        <w:trPr>
          <w:trHeight w:val="256"/>
        </w:trPr>
        <w:tc>
          <w:tcPr>
            <w:tcW w:w="22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99"/>
              </w:rPr>
              <w:t>For</w:t>
            </w:r>
          </w:p>
        </w:tc>
        <w:tc>
          <w:tcPr>
            <w:tcW w:w="268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4"/>
              </w:rPr>
              <w:t>Withheld</w:t>
            </w:r>
          </w:p>
        </w:tc>
        <w:tc>
          <w:tcPr>
            <w:tcW w:w="25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Broker Non-Votes</w:t>
            </w:r>
          </w:p>
        </w:tc>
      </w:tr>
      <w:tr>
        <w:trPr>
          <w:trHeight w:val="23"/>
        </w:trPr>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54"/>
        </w:trPr>
        <w:tc>
          <w:tcPr>
            <w:tcW w:w="200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160,788,520</w:t>
            </w:r>
          </w:p>
        </w:tc>
        <w:tc>
          <w:tcPr>
            <w:tcW w:w="220" w:type="dxa"/>
            <w:vAlign w:val="bottom"/>
            <w:shd w:val="clear" w:color="auto" w:fill="CCEEFF"/>
          </w:tcPr>
          <w:p>
            <w:pPr>
              <w:spacing w:after="0"/>
              <w:rPr>
                <w:sz w:val="22"/>
                <w:szCs w:val="22"/>
                <w:color w:val="auto"/>
              </w:rPr>
            </w:pPr>
          </w:p>
        </w:tc>
        <w:tc>
          <w:tcPr>
            <w:tcW w:w="2300" w:type="dxa"/>
            <w:vAlign w:val="bottom"/>
            <w:shd w:val="clear" w:color="auto" w:fill="CCEEFF"/>
          </w:tcPr>
          <w:p>
            <w:pPr>
              <w:jc w:val="right"/>
              <w:ind w:right="721"/>
              <w:spacing w:after="0"/>
              <w:rPr>
                <w:sz w:val="20"/>
                <w:szCs w:val="20"/>
                <w:color w:val="auto"/>
              </w:rPr>
            </w:pPr>
            <w:r>
              <w:rPr>
                <w:rFonts w:ascii="Arial" w:cs="Arial" w:eastAsia="Arial" w:hAnsi="Arial"/>
                <w:sz w:val="20"/>
                <w:szCs w:val="20"/>
                <w:color w:val="auto"/>
              </w:rPr>
              <w:t>468,483</w:t>
            </w:r>
          </w:p>
        </w:tc>
        <w:tc>
          <w:tcPr>
            <w:tcW w:w="380" w:type="dxa"/>
            <w:vAlign w:val="bottom"/>
            <w:shd w:val="clear" w:color="auto" w:fill="CCEEFF"/>
          </w:tcPr>
          <w:p>
            <w:pPr>
              <w:spacing w:after="0"/>
              <w:rPr>
                <w:sz w:val="22"/>
                <w:szCs w:val="22"/>
                <w:color w:val="auto"/>
              </w:rPr>
            </w:pPr>
          </w:p>
        </w:tc>
        <w:tc>
          <w:tcPr>
            <w:tcW w:w="2280" w:type="dxa"/>
            <w:vAlign w:val="bottom"/>
            <w:shd w:val="clear" w:color="auto" w:fill="CCEEFF"/>
          </w:tcPr>
          <w:p>
            <w:pPr>
              <w:jc w:val="right"/>
              <w:ind w:right="981"/>
              <w:spacing w:after="0"/>
              <w:rPr>
                <w:sz w:val="20"/>
                <w:szCs w:val="20"/>
                <w:color w:val="auto"/>
              </w:rPr>
            </w:pPr>
            <w:r>
              <w:rPr>
                <w:rFonts w:ascii="Arial" w:cs="Arial" w:eastAsia="Arial" w:hAnsi="Arial"/>
                <w:sz w:val="20"/>
                <w:szCs w:val="20"/>
                <w:color w:val="auto"/>
              </w:rPr>
              <w:t>0</w:t>
            </w:r>
          </w:p>
        </w:tc>
        <w:tc>
          <w:tcPr>
            <w:tcW w:w="220" w:type="dxa"/>
            <w:vAlign w:val="bottom"/>
            <w:shd w:val="clear" w:color="auto" w:fill="CCEEFF"/>
          </w:tcPr>
          <w:p>
            <w:pPr>
              <w:spacing w:after="0"/>
              <w:rPr>
                <w:sz w:val="22"/>
                <w:szCs w:val="22"/>
                <w:color w:val="auto"/>
              </w:rPr>
            </w:pPr>
          </w:p>
        </w:tc>
      </w:tr>
      <w:tr>
        <w:trPr>
          <w:trHeight w:val="23"/>
        </w:trPr>
        <w:tc>
          <w:tcPr>
            <w:tcW w:w="2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Proposal 3 - To approve, on an advisory basis, the compensation of the named executive officers:</w:t>
      </w:r>
    </w:p>
    <w:p>
      <w:pPr>
        <w:spacing w:after="0" w:line="385" w:lineRule="exact"/>
        <w:rPr>
          <w:sz w:val="20"/>
          <w:szCs w:val="20"/>
          <w:color w:val="auto"/>
        </w:rPr>
      </w:pPr>
    </w:p>
    <w:tbl>
      <w:tblPr>
        <w:tblLayout w:type="fixed"/>
        <w:tblInd w:w="400" w:type="dxa"/>
        <w:tblCellMar>
          <w:top w:w="0" w:type="dxa"/>
          <w:left w:w="0" w:type="dxa"/>
          <w:bottom w:w="0" w:type="dxa"/>
          <w:right w:w="0" w:type="dxa"/>
        </w:tblCellMar>
      </w:tblPr>
      <w:tr>
        <w:trPr>
          <w:trHeight w:val="256"/>
        </w:trPr>
        <w:tc>
          <w:tcPr>
            <w:tcW w:w="234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9"/>
              </w:rPr>
              <w:t>For</w:t>
            </w:r>
          </w:p>
        </w:tc>
        <w:tc>
          <w:tcPr>
            <w:tcW w:w="3100" w:type="dxa"/>
            <w:vAlign w:val="bottom"/>
            <w:gridSpan w:val="2"/>
          </w:tcPr>
          <w:p>
            <w:pPr>
              <w:ind w:left="1020"/>
              <w:spacing w:after="0"/>
              <w:rPr>
                <w:sz w:val="20"/>
                <w:szCs w:val="20"/>
                <w:color w:val="auto"/>
              </w:rPr>
            </w:pPr>
            <w:r>
              <w:rPr>
                <w:rFonts w:ascii="Arial" w:cs="Arial" w:eastAsia="Arial" w:hAnsi="Arial"/>
                <w:sz w:val="20"/>
                <w:szCs w:val="20"/>
                <w:b w:val="1"/>
                <w:bCs w:val="1"/>
                <w:color w:val="auto"/>
              </w:rPr>
              <w:t>Against</w:t>
            </w:r>
          </w:p>
        </w:tc>
        <w:tc>
          <w:tcPr>
            <w:tcW w:w="2260" w:type="dxa"/>
            <w:vAlign w:val="bottom"/>
          </w:tcPr>
          <w:p>
            <w:pPr>
              <w:jc w:val="center"/>
              <w:ind w:right="141"/>
              <w:spacing w:after="0"/>
              <w:rPr>
                <w:sz w:val="20"/>
                <w:szCs w:val="20"/>
                <w:color w:val="auto"/>
              </w:rPr>
            </w:pPr>
            <w:r>
              <w:rPr>
                <w:rFonts w:ascii="Arial" w:cs="Arial" w:eastAsia="Arial" w:hAnsi="Arial"/>
                <w:sz w:val="20"/>
                <w:szCs w:val="20"/>
                <w:b w:val="1"/>
                <w:bCs w:val="1"/>
                <w:color w:val="auto"/>
                <w:w w:val="89"/>
              </w:rPr>
              <w:t>Abstain</w:t>
            </w:r>
          </w:p>
        </w:tc>
        <w:tc>
          <w:tcPr>
            <w:tcW w:w="2920" w:type="dxa"/>
            <w:vAlign w:val="bottom"/>
          </w:tcPr>
          <w:p>
            <w:pPr>
              <w:jc w:val="center"/>
              <w:ind w:left="101"/>
              <w:spacing w:after="0"/>
              <w:rPr>
                <w:sz w:val="20"/>
                <w:szCs w:val="20"/>
                <w:color w:val="auto"/>
              </w:rPr>
            </w:pPr>
            <w:r>
              <w:rPr>
                <w:rFonts w:ascii="Arial" w:cs="Arial" w:eastAsia="Arial" w:hAnsi="Arial"/>
                <w:sz w:val="20"/>
                <w:szCs w:val="20"/>
                <w:b w:val="1"/>
                <w:bCs w:val="1"/>
                <w:color w:val="auto"/>
                <w:w w:val="89"/>
              </w:rPr>
              <w:t>Broker Non-Votes</w:t>
            </w:r>
          </w:p>
        </w:tc>
      </w:tr>
      <w:tr>
        <w:trPr>
          <w:trHeight w:val="23"/>
        </w:trPr>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54"/>
        </w:trPr>
        <w:tc>
          <w:tcPr>
            <w:tcW w:w="202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100,579,596</w:t>
            </w:r>
          </w:p>
        </w:tc>
        <w:tc>
          <w:tcPr>
            <w:tcW w:w="320" w:type="dxa"/>
            <w:vAlign w:val="bottom"/>
            <w:shd w:val="clear" w:color="auto" w:fill="CCEEFF"/>
          </w:tcPr>
          <w:p>
            <w:pPr>
              <w:spacing w:after="0"/>
              <w:rPr>
                <w:sz w:val="22"/>
                <w:szCs w:val="22"/>
                <w:color w:val="auto"/>
              </w:rPr>
            </w:pPr>
          </w:p>
        </w:tc>
        <w:tc>
          <w:tcPr>
            <w:tcW w:w="2680" w:type="dxa"/>
            <w:vAlign w:val="bottom"/>
            <w:shd w:val="clear" w:color="auto" w:fill="CCEEFF"/>
          </w:tcPr>
          <w:p>
            <w:pPr>
              <w:ind w:left="1020"/>
              <w:spacing w:after="0"/>
              <w:rPr>
                <w:sz w:val="20"/>
                <w:szCs w:val="20"/>
                <w:color w:val="auto"/>
              </w:rPr>
            </w:pPr>
            <w:r>
              <w:rPr>
                <w:rFonts w:ascii="Arial" w:cs="Arial" w:eastAsia="Arial" w:hAnsi="Arial"/>
                <w:sz w:val="20"/>
                <w:szCs w:val="20"/>
                <w:color w:val="auto"/>
              </w:rPr>
              <w:t>540,921</w:t>
            </w:r>
          </w:p>
        </w:tc>
        <w:tc>
          <w:tcPr>
            <w:tcW w:w="4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701"/>
              <w:spacing w:after="0"/>
              <w:rPr>
                <w:sz w:val="20"/>
                <w:szCs w:val="20"/>
                <w:color w:val="auto"/>
              </w:rPr>
            </w:pPr>
            <w:r>
              <w:rPr>
                <w:rFonts w:ascii="Arial" w:cs="Arial" w:eastAsia="Arial" w:hAnsi="Arial"/>
                <w:sz w:val="20"/>
                <w:szCs w:val="20"/>
                <w:color w:val="auto"/>
              </w:rPr>
              <w:t>30,304,425</w:t>
            </w:r>
          </w:p>
        </w:tc>
        <w:tc>
          <w:tcPr>
            <w:tcW w:w="2920" w:type="dxa"/>
            <w:vAlign w:val="bottom"/>
            <w:shd w:val="clear" w:color="auto" w:fill="CCEEFF"/>
          </w:tcPr>
          <w:p>
            <w:pPr>
              <w:jc w:val="right"/>
              <w:ind w:right="821"/>
              <w:spacing w:after="0"/>
              <w:rPr>
                <w:sz w:val="20"/>
                <w:szCs w:val="20"/>
                <w:color w:val="auto"/>
              </w:rPr>
            </w:pPr>
            <w:r>
              <w:rPr>
                <w:rFonts w:ascii="Arial" w:cs="Arial" w:eastAsia="Arial" w:hAnsi="Arial"/>
                <w:sz w:val="20"/>
                <w:szCs w:val="20"/>
                <w:color w:val="auto"/>
              </w:rPr>
              <w:t>29,832,061</w:t>
            </w:r>
          </w:p>
        </w:tc>
      </w:tr>
      <w:tr>
        <w:trPr>
          <w:trHeight w:val="23"/>
        </w:trPr>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522"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May 21, 2019</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w:t>
      </w:r>
      <w:r>
        <w:rPr>
          <w:rFonts w:ascii="Arial" w:cs="Arial" w:eastAsia="Arial" w:hAnsi="Arial"/>
          <w:sz w:val="22"/>
          <w:szCs w:val="22"/>
          <w:color w:val="auto"/>
        </w:rPr>
        <w:t xml:space="preserve"> </w:t>
      </w:r>
      <w:r>
        <w:rPr>
          <w:rFonts w:ascii="Arial" w:cs="Arial" w:eastAsia="Arial" w:hAnsi="Arial"/>
          <w:sz w:val="22"/>
          <w:szCs w:val="22"/>
          <w:color w:val="FFFFFF"/>
        </w:rPr>
        <w:t>,</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Frank C. Steininger</w:t>
      </w:r>
    </w:p>
    <w:p>
      <w:pPr>
        <w:spacing w:after="0" w:line="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 Officer and Treasurer</w:t>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2019-12-02T17:59:53Z</dcterms:created>
  <dcterms:modified xsi:type="dcterms:W3CDTF">2019-12-02T17:59:53Z</dcterms:modified>
</cp:coreProperties>
</file>