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3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71094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9460" cy="1714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17878Y108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71094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9460" cy="1714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February 2,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71094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9460" cy="17145"/>
                    </a:xfrm>
                    <a:prstGeom prst="rect">
                      <a:avLst/>
                    </a:prstGeom>
                    <a:noFill/>
                  </pic:spPr>
                </pic:pic>
              </a:graphicData>
            </a:graphic>
          </wp:anchor>
        </w:drawing>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2160" w:hanging="207"/>
        <w:spacing w:after="0"/>
        <w:tabs>
          <w:tab w:leader="none" w:pos="21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2160" w:hanging="207"/>
        <w:spacing w:after="0"/>
        <w:tabs>
          <w:tab w:leader="none" w:pos="21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2160" w:hanging="207"/>
        <w:spacing w:after="0"/>
        <w:tabs>
          <w:tab w:leader="none" w:pos="216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84" w:lineRule="exact"/>
        <w:rPr>
          <w:rFonts w:ascii="MS PGothic" w:cs="MS PGothic" w:eastAsia="MS PGothic" w:hAnsi="MS PGothic"/>
          <w:sz w:val="18"/>
          <w:szCs w:val="18"/>
          <w:color w:val="auto"/>
        </w:rPr>
      </w:pPr>
    </w:p>
    <w:p>
      <w:pPr>
        <w:ind w:right="200"/>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324"/>
        </w:trPr>
        <w:tc>
          <w:tcPr>
            <w:tcW w:w="43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5"/>
                <w:szCs w:val="25"/>
                <w:b w:val="1"/>
                <w:bCs w:val="1"/>
                <w:color w:val="auto"/>
              </w:rPr>
              <w:t>CUSIP No. 17878Y108</w:t>
            </w:r>
          </w:p>
        </w:tc>
        <w:tc>
          <w:tcPr>
            <w:tcW w:w="2600" w:type="dxa"/>
            <w:vAlign w:val="bottom"/>
          </w:tcPr>
          <w:p>
            <w:pPr>
              <w:ind w:left="2140"/>
              <w:spacing w:after="0"/>
              <w:rPr>
                <w:sz w:val="20"/>
                <w:szCs w:val="20"/>
                <w:color w:val="auto"/>
              </w:rPr>
            </w:pPr>
            <w:r>
              <w:rPr>
                <w:rFonts w:ascii="Arial" w:cs="Arial" w:eastAsia="Arial" w:hAnsi="Arial"/>
                <w:sz w:val="25"/>
                <w:szCs w:val="25"/>
                <w:b w:val="1"/>
                <w:bCs w:val="1"/>
                <w:color w:val="auto"/>
                <w:w w:val="93"/>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6457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6457315"/>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p>
      <w:pPr>
        <w:spacing w:after="0" w:line="26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NAMES OF REPORTING PERSONS</w:t>
      </w:r>
    </w:p>
    <w:p>
      <w:pPr>
        <w:spacing w:after="0" w:line="63" w:lineRule="exact"/>
        <w:rPr>
          <w:sz w:val="20"/>
          <w:szCs w:val="20"/>
          <w:color w:val="auto"/>
        </w:rPr>
      </w:pPr>
    </w:p>
    <w:p>
      <w:pPr>
        <w:ind w:left="1440" w:right="2760" w:hanging="817"/>
        <w:spacing w:after="0" w:line="180" w:lineRule="auto"/>
        <w:tabs>
          <w:tab w:leader="none" w:pos="1431" w:val="left"/>
        </w:tabs>
        <w:numPr>
          <w:ilvl w:val="0"/>
          <w:numId w:val="4"/>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Brookfield Asset Management, Inc.</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620"/>
        <w:spacing w:after="0"/>
        <w:rPr>
          <w:sz w:val="20"/>
          <w:szCs w:val="20"/>
          <w:color w:val="auto"/>
        </w:rPr>
      </w:pPr>
      <w:r>
        <w:rPr>
          <w:rFonts w:ascii="Arial" w:cs="Arial" w:eastAsia="Arial" w:hAnsi="Arial"/>
          <w:sz w:val="32"/>
          <w:szCs w:val="32"/>
          <w:b w:val="1"/>
          <w:bCs w:val="1"/>
          <w:color w:val="auto"/>
        </w:rPr>
        <w:t>2</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SEC USE ONLY</w:t>
      </w:r>
    </w:p>
    <w:p>
      <w:pPr>
        <w:ind w:left="620"/>
        <w:spacing w:after="0"/>
        <w:rPr>
          <w:sz w:val="20"/>
          <w:szCs w:val="20"/>
          <w:color w:val="auto"/>
        </w:rPr>
      </w:pPr>
      <w:r>
        <w:rPr>
          <w:rFonts w:ascii="Arial" w:cs="Arial" w:eastAsia="Arial" w:hAnsi="Arial"/>
          <w:sz w:val="32"/>
          <w:szCs w:val="32"/>
          <w:b w:val="1"/>
          <w:bCs w:val="1"/>
          <w:color w:val="auto"/>
        </w:rPr>
        <w:t>3</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40" w:hanging="817"/>
        <w:spacing w:after="0" w:line="182" w:lineRule="auto"/>
        <w:tabs>
          <w:tab w:leader="none" w:pos="1440" w:val="left"/>
        </w:tabs>
        <w:numPr>
          <w:ilvl w:val="0"/>
          <w:numId w:val="5"/>
        </w:numPr>
        <w:rPr>
          <w:rFonts w:ascii="Arial" w:cs="Arial" w:eastAsia="Arial" w:hAnsi="Arial"/>
          <w:sz w:val="50"/>
          <w:szCs w:val="50"/>
          <w:b w:val="1"/>
          <w:bCs w:val="1"/>
          <w:color w:val="auto"/>
          <w:vertAlign w:val="superscript"/>
        </w:rPr>
      </w:pPr>
      <w:r>
        <w:rPr>
          <w:rFonts w:ascii="Arial" w:cs="Arial" w:eastAsia="Arial" w:hAnsi="Arial"/>
          <w:sz w:val="16"/>
          <w:szCs w:val="16"/>
          <w:color w:val="auto"/>
        </w:rPr>
        <w:t>Ontario, Canada</w:t>
      </w:r>
    </w:p>
    <w:p>
      <w:pPr>
        <w:spacing w:after="0" w:line="206"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4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5</w:t>
            </w:r>
          </w:p>
        </w:tc>
        <w:tc>
          <w:tcPr>
            <w:tcW w:w="2560" w:type="dxa"/>
            <w:vAlign w:val="bottom"/>
          </w:tcPr>
          <w:p>
            <w:pPr>
              <w:ind w:left="1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85"/>
        </w:trPr>
        <w:tc>
          <w:tcPr>
            <w:tcW w:w="204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25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9"/>
        </w:trPr>
        <w:tc>
          <w:tcPr>
            <w:tcW w:w="2040" w:type="dxa"/>
            <w:vAlign w:val="bottom"/>
          </w:tcPr>
          <w:p>
            <w:pPr>
              <w:spacing w:after="0"/>
              <w:rPr>
                <w:sz w:val="24"/>
                <w:szCs w:val="24"/>
                <w:color w:val="auto"/>
              </w:rPr>
            </w:pPr>
          </w:p>
        </w:tc>
        <w:tc>
          <w:tcPr>
            <w:tcW w:w="4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2560" w:type="dxa"/>
            <w:vAlign w:val="bottom"/>
          </w:tcPr>
          <w:p>
            <w:pPr>
              <w:ind w:left="1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4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NUMBER OF SHARES</w:t>
            </w:r>
          </w:p>
        </w:tc>
        <w:tc>
          <w:tcPr>
            <w:tcW w:w="480" w:type="dxa"/>
            <w:vAlign w:val="bottom"/>
            <w:vMerge w:val="continue"/>
          </w:tcPr>
          <w:p>
            <w:pPr>
              <w:spacing w:after="0"/>
              <w:rPr>
                <w:sz w:val="19"/>
                <w:szCs w:val="19"/>
                <w:color w:val="auto"/>
              </w:rPr>
            </w:pPr>
          </w:p>
        </w:tc>
        <w:tc>
          <w:tcPr>
            <w:tcW w:w="2560" w:type="dxa"/>
            <w:vAlign w:val="bottom"/>
            <w:vMerge w:val="restart"/>
          </w:tcPr>
          <w:p>
            <w:pPr>
              <w:ind w:left="160"/>
              <w:spacing w:after="0"/>
              <w:rPr>
                <w:sz w:val="20"/>
                <w:szCs w:val="20"/>
                <w:color w:val="auto"/>
              </w:rPr>
            </w:pPr>
            <w:r>
              <w:rPr>
                <w:rFonts w:ascii="Arial" w:cs="Arial" w:eastAsia="Arial" w:hAnsi="Arial"/>
                <w:sz w:val="18"/>
                <w:szCs w:val="18"/>
                <w:color w:val="auto"/>
              </w:rPr>
              <w:t>6,282,928</w:t>
            </w:r>
          </w:p>
        </w:tc>
        <w:tc>
          <w:tcPr>
            <w:tcW w:w="0" w:type="dxa"/>
            <w:vAlign w:val="bottom"/>
          </w:tcPr>
          <w:p>
            <w:pPr>
              <w:spacing w:after="0"/>
              <w:rPr>
                <w:sz w:val="1"/>
                <w:szCs w:val="1"/>
                <w:color w:val="auto"/>
              </w:rPr>
            </w:pPr>
          </w:p>
        </w:tc>
      </w:tr>
      <w:tr>
        <w:trPr>
          <w:trHeight w:val="216"/>
        </w:trPr>
        <w:tc>
          <w:tcPr>
            <w:tcW w:w="2040" w:type="dxa"/>
            <w:vAlign w:val="bottom"/>
          </w:tcPr>
          <w:p>
            <w:pPr>
              <w:jc w:val="center"/>
              <w:ind w:right="70"/>
              <w:spacing w:after="0"/>
              <w:rPr>
                <w:sz w:val="20"/>
                <w:szCs w:val="20"/>
                <w:color w:val="auto"/>
              </w:rPr>
            </w:pPr>
            <w:r>
              <w:rPr>
                <w:rFonts w:ascii="Arial" w:cs="Arial" w:eastAsia="Arial" w:hAnsi="Arial"/>
                <w:sz w:val="18"/>
                <w:szCs w:val="18"/>
                <w:b w:val="1"/>
                <w:bCs w:val="1"/>
                <w:color w:val="auto"/>
              </w:rPr>
              <w:t>BENEFICIALLY</w:t>
            </w:r>
          </w:p>
        </w:tc>
        <w:tc>
          <w:tcPr>
            <w:tcW w:w="480" w:type="dxa"/>
            <w:vAlign w:val="bottom"/>
          </w:tcPr>
          <w:p>
            <w:pPr>
              <w:spacing w:after="0"/>
              <w:rPr>
                <w:sz w:val="18"/>
                <w:szCs w:val="18"/>
                <w:color w:val="auto"/>
              </w:rPr>
            </w:pP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jc w:val="center"/>
              <w:ind w:right="70"/>
              <w:spacing w:after="0"/>
              <w:rPr>
                <w:sz w:val="20"/>
                <w:szCs w:val="20"/>
                <w:color w:val="auto"/>
              </w:rPr>
            </w:pPr>
            <w:r>
              <w:rPr>
                <w:rFonts w:ascii="Arial" w:cs="Arial" w:eastAsia="Arial" w:hAnsi="Arial"/>
                <w:sz w:val="18"/>
                <w:szCs w:val="18"/>
                <w:b w:val="1"/>
                <w:bCs w:val="1"/>
                <w:color w:val="auto"/>
              </w:rPr>
              <w:t>OWNED BY EACH</w:t>
            </w:r>
          </w:p>
        </w:tc>
        <w:tc>
          <w:tcPr>
            <w:tcW w:w="480" w:type="dxa"/>
            <w:vAlign w:val="bottom"/>
          </w:tcPr>
          <w:p>
            <w:pPr>
              <w:spacing w:after="0"/>
              <w:rPr>
                <w:sz w:val="18"/>
                <w:szCs w:val="18"/>
                <w:color w:val="auto"/>
              </w:rPr>
            </w:pPr>
          </w:p>
        </w:tc>
        <w:tc>
          <w:tcPr>
            <w:tcW w:w="256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99"/>
              </w:rPr>
              <w:t>SOLE DISPOSITIVE POWER</w:t>
            </w:r>
          </w:p>
        </w:tc>
        <w:tc>
          <w:tcPr>
            <w:tcW w:w="0" w:type="dxa"/>
            <w:vAlign w:val="bottom"/>
          </w:tcPr>
          <w:p>
            <w:pPr>
              <w:spacing w:after="0"/>
              <w:rPr>
                <w:sz w:val="1"/>
                <w:szCs w:val="1"/>
                <w:color w:val="auto"/>
              </w:rPr>
            </w:pPr>
          </w:p>
        </w:tc>
      </w:tr>
      <w:tr>
        <w:trPr>
          <w:trHeight w:val="167"/>
        </w:trPr>
        <w:tc>
          <w:tcPr>
            <w:tcW w:w="204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8"/>
              </w:rPr>
              <w:t>REPORTING PERSON</w:t>
            </w:r>
          </w:p>
        </w:tc>
        <w:tc>
          <w:tcPr>
            <w:tcW w:w="4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2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25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0"/>
        </w:trPr>
        <w:tc>
          <w:tcPr>
            <w:tcW w:w="204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rPr>
              <w:t>WITH</w:t>
            </w:r>
          </w:p>
        </w:tc>
        <w:tc>
          <w:tcPr>
            <w:tcW w:w="480" w:type="dxa"/>
            <w:vAlign w:val="bottom"/>
            <w:vMerge w:val="continue"/>
          </w:tcPr>
          <w:p>
            <w:pPr>
              <w:spacing w:after="0"/>
              <w:rPr>
                <w:sz w:val="15"/>
                <w:szCs w:val="15"/>
                <w:color w:val="auto"/>
              </w:rPr>
            </w:pPr>
          </w:p>
        </w:tc>
        <w:tc>
          <w:tcPr>
            <w:tcW w:w="2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25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SHARED DISPOSITIVE POWER</w:t>
      </w:r>
    </w:p>
    <w:p>
      <w:pPr>
        <w:ind w:left="2780" w:hanging="469"/>
        <w:spacing w:after="0" w:line="182" w:lineRule="auto"/>
        <w:tabs>
          <w:tab w:leader="none" w:pos="2780" w:val="left"/>
        </w:tabs>
        <w:numPr>
          <w:ilvl w:val="0"/>
          <w:numId w:val="6"/>
        </w:numPr>
        <w:rPr>
          <w:rFonts w:ascii="Arial" w:cs="Arial" w:eastAsia="Arial" w:hAnsi="Arial"/>
          <w:sz w:val="50"/>
          <w:szCs w:val="50"/>
          <w:b w:val="1"/>
          <w:bCs w:val="1"/>
          <w:color w:val="auto"/>
          <w:vertAlign w:val="superscript"/>
        </w:rPr>
      </w:pPr>
      <w:r>
        <w:rPr>
          <w:rFonts w:ascii="Arial" w:cs="Arial" w:eastAsia="Arial" w:hAnsi="Arial"/>
          <w:sz w:val="16"/>
          <w:szCs w:val="16"/>
          <w:color w:val="auto"/>
        </w:rPr>
        <w:t>6,282,928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w:t>
      </w:r>
      <w:r>
        <w:rPr>
          <w:rFonts w:ascii="MS PGothic" w:cs="MS PGothic" w:eastAsia="MS PGothic" w:hAnsi="MS PGothic"/>
          <w:sz w:val="16"/>
          <w:szCs w:val="16"/>
          <w:color w:val="auto"/>
        </w:rPr>
        <w:t>☐</w:t>
      </w:r>
    </w:p>
    <w:p>
      <w:pPr>
        <w:spacing w:after="0" w:line="9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(b)</w:t>
      </w:r>
      <w:r>
        <w:rPr>
          <w:rFonts w:ascii="MS PGothic" w:cs="MS PGothic" w:eastAsia="MS PGothic" w:hAnsi="MS PGothic"/>
          <w:sz w:val="16"/>
          <w:szCs w:val="16"/>
          <w:color w:val="auto"/>
        </w:rPr>
        <w:t>☒</w:t>
      </w:r>
    </w:p>
    <w:p>
      <w:pPr>
        <w:spacing w:after="0" w:line="5053" w:lineRule="exact"/>
        <w:rPr>
          <w:sz w:val="20"/>
          <w:szCs w:val="20"/>
          <w:color w:val="auto"/>
        </w:rPr>
      </w:pPr>
    </w:p>
    <w:p>
      <w:pPr>
        <w:sectPr>
          <w:pgSz w:w="11900" w:h="16838" w:orient="portrait"/>
          <w:cols w:equalWidth="0" w:num="2">
            <w:col w:w="10080" w:space="720"/>
            <w:col w:w="620"/>
          </w:cols>
          <w:pgMar w:left="240" w:top="609" w:right="239" w:bottom="1440" w:gutter="0" w:footer="0" w:header="0"/>
          <w:type w:val="continuous"/>
        </w:sectPr>
      </w:pPr>
    </w:p>
    <w:p>
      <w:pPr>
        <w:ind w:left="1420"/>
        <w:spacing w:after="0"/>
        <w:rPr>
          <w:sz w:val="20"/>
          <w:szCs w:val="20"/>
          <w:color w:val="auto"/>
        </w:rPr>
      </w:pPr>
      <w:r>
        <w:rPr>
          <w:rFonts w:ascii="Arial" w:cs="Arial" w:eastAsia="Arial" w:hAnsi="Arial"/>
          <w:sz w:val="18"/>
          <w:szCs w:val="18"/>
          <w:b w:val="1"/>
          <w:bCs w:val="1"/>
          <w:color w:val="auto"/>
        </w:rPr>
        <w:t>AGGREGATE AMOUNT BENEFICIALLY OWNED BY EACH REPORTING PERSON</w:t>
      </w:r>
    </w:p>
    <w:p>
      <w:pPr>
        <w:ind w:left="1440" w:hanging="817"/>
        <w:spacing w:after="0" w:line="182" w:lineRule="auto"/>
        <w:tabs>
          <w:tab w:leader="none" w:pos="1440" w:val="left"/>
        </w:tabs>
        <w:numPr>
          <w:ilvl w:val="0"/>
          <w:numId w:val="7"/>
        </w:numPr>
        <w:rPr>
          <w:rFonts w:ascii="Arial" w:cs="Arial" w:eastAsia="Arial" w:hAnsi="Arial"/>
          <w:sz w:val="50"/>
          <w:szCs w:val="50"/>
          <w:b w:val="1"/>
          <w:bCs w:val="1"/>
          <w:color w:val="auto"/>
          <w:vertAlign w:val="superscript"/>
        </w:rPr>
      </w:pPr>
      <w:r>
        <w:rPr>
          <w:rFonts w:ascii="Arial" w:cs="Arial" w:eastAsia="Arial" w:hAnsi="Arial"/>
          <w:sz w:val="16"/>
          <w:szCs w:val="16"/>
          <w:color w:val="auto"/>
        </w:rPr>
        <w:t>6,282,928</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bl>
      <w:tblPr>
        <w:tblLayout w:type="fixed"/>
        <w:tblInd w:w="0" w:type="dxa"/>
        <w:tblCellMar>
          <w:top w:w="0" w:type="dxa"/>
          <w:left w:w="0" w:type="dxa"/>
          <w:bottom w:w="0" w:type="dxa"/>
          <w:right w:w="0" w:type="dxa"/>
        </w:tblCellMar>
      </w:tblPr>
      <w:tr>
        <w:trPr>
          <w:trHeight w:val="383"/>
        </w:trPr>
        <w:tc>
          <w:tcPr>
            <w:tcW w:w="1140" w:type="dxa"/>
            <w:vAlign w:val="bottom"/>
          </w:tcPr>
          <w:p>
            <w:pPr>
              <w:jc w:val="right"/>
              <w:ind w:right="118"/>
              <w:spacing w:after="0"/>
              <w:rPr>
                <w:sz w:val="20"/>
                <w:szCs w:val="20"/>
                <w:color w:val="auto"/>
              </w:rPr>
            </w:pPr>
            <w:r>
              <w:rPr>
                <w:rFonts w:ascii="Arial" w:cs="Arial" w:eastAsia="Arial" w:hAnsi="Arial"/>
                <w:sz w:val="32"/>
                <w:szCs w:val="32"/>
                <w:b w:val="1"/>
                <w:bCs w:val="1"/>
                <w:color w:val="auto"/>
              </w:rPr>
              <w:t>10</w:t>
            </w:r>
          </w:p>
        </w:tc>
        <w:tc>
          <w:tcPr>
            <w:tcW w:w="10280" w:type="dxa"/>
            <w:vAlign w:val="bottom"/>
            <w:vMerge w:val="restart"/>
          </w:tcPr>
          <w:p>
            <w:pPr>
              <w:ind w:left="98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74"/>
        </w:trPr>
        <w:tc>
          <w:tcPr>
            <w:tcW w:w="1140" w:type="dxa"/>
            <w:vAlign w:val="bottom"/>
          </w:tcPr>
          <w:p>
            <w:pPr>
              <w:spacing w:after="0"/>
              <w:rPr>
                <w:sz w:val="6"/>
                <w:szCs w:val="6"/>
                <w:color w:val="auto"/>
              </w:rPr>
            </w:pPr>
          </w:p>
        </w:tc>
        <w:tc>
          <w:tcPr>
            <w:tcW w:w="10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140" w:type="dxa"/>
            <w:vAlign w:val="bottom"/>
            <w:tcBorders>
              <w:bottom w:val="single" w:sz="8" w:color="auto"/>
            </w:tcBorders>
          </w:tcPr>
          <w:p>
            <w:pPr>
              <w:spacing w:after="0"/>
              <w:rPr>
                <w:sz w:val="12"/>
                <w:szCs w:val="12"/>
                <w:color w:val="auto"/>
              </w:rPr>
            </w:pPr>
          </w:p>
        </w:tc>
        <w:tc>
          <w:tcPr>
            <w:tcW w:w="10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14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11</w:t>
            </w:r>
          </w:p>
        </w:tc>
        <w:tc>
          <w:tcPr>
            <w:tcW w:w="10280" w:type="dxa"/>
            <w:vAlign w:val="bottom"/>
          </w:tcPr>
          <w:p>
            <w:pPr>
              <w:ind w:left="28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140" w:type="dxa"/>
            <w:vAlign w:val="bottom"/>
            <w:vMerge w:val="continue"/>
          </w:tcPr>
          <w:p>
            <w:pPr>
              <w:spacing w:after="0"/>
              <w:rPr>
                <w:sz w:val="24"/>
                <w:szCs w:val="24"/>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4.8% (1)</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42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36"/>
          <w:szCs w:val="36"/>
          <w:color w:val="auto"/>
          <w:vertAlign w:val="subscript"/>
        </w:rPr>
        <w:t>CO</w:t>
      </w:r>
    </w:p>
    <w:p>
      <w:pPr>
        <w:spacing w:after="0" w:line="200" w:lineRule="exact"/>
        <w:rPr>
          <w:sz w:val="20"/>
          <w:szCs w:val="20"/>
          <w:color w:val="auto"/>
        </w:rPr>
      </w:pPr>
    </w:p>
    <w:p>
      <w:pPr>
        <w:spacing w:after="0" w:line="228" w:lineRule="exact"/>
        <w:rPr>
          <w:sz w:val="20"/>
          <w:szCs w:val="20"/>
          <w:color w:val="auto"/>
        </w:rPr>
      </w:pPr>
    </w:p>
    <w:p>
      <w:pPr>
        <w:ind w:left="560" w:right="100" w:hanging="552"/>
        <w:spacing w:after="0" w:line="255"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131,089,347 shares of common stock, no par value (“Common Stock”) outstanding, as reflected in the Issuer’s February 2, 2017 Supplement to its August 22, 2016 Prospectus, as filed with the U.S. Securities and Exchange Commission (“SEC”) on February 3, 2017 (indicating that the total amount of Common Stock outstanding after the Issuer’s public offering, and the full exercise of the underwriters’ over-allotment option, would be 131,089,347 shares), and the Issuer’s Form 8-K dated February 7, 2017, as filed with the SEC on February 7, 2017 (indicating that the underwriters had fully exercised their option to purchase additional shares in the over-allotment, and that the offering was expected to close on February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324"/>
        </w:trPr>
        <w:tc>
          <w:tcPr>
            <w:tcW w:w="40" w:type="dxa"/>
            <w:vAlign w:val="bottom"/>
            <w:tcBorders>
              <w:right w:val="single" w:sz="8" w:color="auto"/>
            </w:tcBorders>
          </w:tcPr>
          <w:p>
            <w:pPr>
              <w:spacing w:after="0"/>
              <w:rPr>
                <w:sz w:val="24"/>
                <w:szCs w:val="24"/>
                <w:color w:val="auto"/>
              </w:rPr>
            </w:pPr>
          </w:p>
        </w:tc>
        <w:tc>
          <w:tcPr>
            <w:tcW w:w="43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25"/>
                <w:szCs w:val="25"/>
                <w:b w:val="1"/>
                <w:bCs w:val="1"/>
                <w:color w:val="auto"/>
              </w:rPr>
              <w:t>CUSIP No. 17878Y108</w:t>
            </w:r>
          </w:p>
        </w:tc>
        <w:tc>
          <w:tcPr>
            <w:tcW w:w="1080" w:type="dxa"/>
            <w:vAlign w:val="bottom"/>
          </w:tcPr>
          <w:p>
            <w:pPr>
              <w:spacing w:after="0"/>
              <w:rPr>
                <w:sz w:val="24"/>
                <w:szCs w:val="24"/>
                <w:color w:val="auto"/>
              </w:rPr>
            </w:pPr>
          </w:p>
        </w:tc>
        <w:tc>
          <w:tcPr>
            <w:tcW w:w="5860" w:type="dxa"/>
            <w:vAlign w:val="bottom"/>
          </w:tcPr>
          <w:p>
            <w:pPr>
              <w:jc w:val="right"/>
              <w:ind w:right="4238"/>
              <w:spacing w:after="0"/>
              <w:rPr>
                <w:sz w:val="20"/>
                <w:szCs w:val="20"/>
                <w:color w:val="auto"/>
              </w:rPr>
            </w:pPr>
            <w:r>
              <w:rPr>
                <w:rFonts w:ascii="Arial" w:cs="Arial" w:eastAsia="Arial" w:hAnsi="Arial"/>
                <w:sz w:val="25"/>
                <w:szCs w:val="25"/>
                <w:b w:val="1"/>
                <w:bCs w:val="1"/>
                <w:color w:val="auto"/>
              </w:rPr>
              <w:t>13G</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4060" w:type="dxa"/>
            <w:vAlign w:val="bottom"/>
            <w:tcBorders>
              <w:bottom w:val="single" w:sz="8" w:color="auto"/>
            </w:tcBorders>
            <w:gridSpan w:val="2"/>
          </w:tcPr>
          <w:p>
            <w:pPr>
              <w:spacing w:after="0"/>
              <w:rPr>
                <w:sz w:val="21"/>
                <w:szCs w:val="21"/>
                <w:color w:val="auto"/>
              </w:rPr>
            </w:pPr>
          </w:p>
        </w:tc>
        <w:tc>
          <w:tcPr>
            <w:tcW w:w="58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6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NAMES OF REPORTING PERSONS</w:t>
            </w:r>
          </w:p>
        </w:tc>
        <w:tc>
          <w:tcPr>
            <w:tcW w:w="5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340" w:type="dxa"/>
            <w:vAlign w:val="bottom"/>
            <w:vMerge w:val="restart"/>
          </w:tcPr>
          <w:p>
            <w:pPr>
              <w:jc w:val="right"/>
              <w:ind w:right="447"/>
              <w:spacing w:after="0"/>
              <w:rPr>
                <w:sz w:val="20"/>
                <w:szCs w:val="20"/>
                <w:color w:val="auto"/>
              </w:rPr>
            </w:pPr>
            <w:r>
              <w:rPr>
                <w:rFonts w:ascii="Arial" w:cs="Arial" w:eastAsia="Arial" w:hAnsi="Arial"/>
                <w:sz w:val="32"/>
                <w:szCs w:val="32"/>
                <w:b w:val="1"/>
                <w:bCs w:val="1"/>
                <w:color w:val="auto"/>
              </w:rPr>
              <w:t>1</w:t>
            </w:r>
          </w:p>
        </w:tc>
        <w:tc>
          <w:tcPr>
            <w:tcW w:w="9920" w:type="dxa"/>
            <w:vAlign w:val="bottom"/>
            <w:gridSpan w:val="3"/>
          </w:tcPr>
          <w:p>
            <w:pPr>
              <w:ind w:left="40"/>
              <w:spacing w:after="0"/>
              <w:rPr>
                <w:sz w:val="20"/>
                <w:szCs w:val="20"/>
                <w:color w:val="auto"/>
              </w:rPr>
            </w:pPr>
            <w:r>
              <w:rPr>
                <w:rFonts w:ascii="Arial" w:cs="Arial" w:eastAsia="Arial" w:hAnsi="Arial"/>
                <w:sz w:val="18"/>
                <w:szCs w:val="18"/>
                <w:b w:val="1"/>
                <w:bCs w:val="1"/>
                <w:color w:val="auto"/>
              </w:rPr>
              <w:t>I.R.S. IDENTIFICATION NOS. OF ABOVE PERSONS (ENTITIES ONLY)</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4060" w:type="dxa"/>
            <w:vAlign w:val="bottom"/>
            <w:gridSpan w:val="2"/>
            <w:vMerge w:val="restart"/>
          </w:tcPr>
          <w:p>
            <w:pPr>
              <w:ind w:left="60"/>
              <w:spacing w:after="0"/>
              <w:rPr>
                <w:sz w:val="20"/>
                <w:szCs w:val="20"/>
                <w:color w:val="auto"/>
              </w:rPr>
            </w:pPr>
            <w:r>
              <w:rPr>
                <w:rFonts w:ascii="Arial" w:cs="Arial" w:eastAsia="Arial" w:hAnsi="Arial"/>
                <w:sz w:val="18"/>
                <w:szCs w:val="18"/>
                <w:color w:val="auto"/>
              </w:rPr>
              <w:t>Partners Limited</w:t>
            </w:r>
          </w:p>
        </w:tc>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60" w:type="dxa"/>
            <w:vAlign w:val="bottom"/>
            <w:gridSpan w:val="2"/>
            <w:vMerge w:val="continue"/>
          </w:tcPr>
          <w:p>
            <w:pPr>
              <w:spacing w:after="0"/>
              <w:rPr>
                <w:sz w:val="16"/>
                <w:szCs w:val="16"/>
                <w:color w:val="auto"/>
              </w:rPr>
            </w:pPr>
          </w:p>
        </w:tc>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gridSpan w:val="2"/>
          </w:tcPr>
          <w:p>
            <w:pPr>
              <w:spacing w:after="0"/>
              <w:rPr>
                <w:sz w:val="14"/>
                <w:szCs w:val="14"/>
                <w:color w:val="auto"/>
              </w:rPr>
            </w:pPr>
          </w:p>
        </w:tc>
        <w:tc>
          <w:tcPr>
            <w:tcW w:w="5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40" w:type="dxa"/>
            <w:vAlign w:val="bottom"/>
            <w:vMerge w:val="restart"/>
          </w:tcPr>
          <w:p>
            <w:pPr>
              <w:jc w:val="right"/>
              <w:ind w:right="447"/>
              <w:spacing w:after="0"/>
              <w:rPr>
                <w:sz w:val="20"/>
                <w:szCs w:val="20"/>
                <w:color w:val="auto"/>
              </w:rPr>
            </w:pPr>
            <w:r>
              <w:rPr>
                <w:rFonts w:ascii="Arial" w:cs="Arial" w:eastAsia="Arial" w:hAnsi="Arial"/>
                <w:sz w:val="32"/>
                <w:szCs w:val="32"/>
                <w:b w:val="1"/>
                <w:bCs w:val="1"/>
                <w:color w:val="auto"/>
              </w:rPr>
              <w:t>2</w:t>
            </w:r>
          </w:p>
        </w:tc>
        <w:tc>
          <w:tcPr>
            <w:tcW w:w="9920" w:type="dxa"/>
            <w:vAlign w:val="bottom"/>
            <w:gridSpan w:val="3"/>
          </w:tcPr>
          <w:p>
            <w:pPr>
              <w:ind w:left="4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2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60" w:type="dxa"/>
            <w:vAlign w:val="bottom"/>
          </w:tcPr>
          <w:p>
            <w:pPr>
              <w:jc w:val="right"/>
              <w:ind w:right="38"/>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jc w:val="right"/>
              <w:ind w:right="38"/>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1340" w:type="dxa"/>
            <w:vAlign w:val="bottom"/>
            <w:vMerge w:val="restart"/>
          </w:tcPr>
          <w:p>
            <w:pPr>
              <w:jc w:val="right"/>
              <w:ind w:right="447"/>
              <w:spacing w:after="0"/>
              <w:rPr>
                <w:sz w:val="20"/>
                <w:szCs w:val="20"/>
                <w:color w:val="auto"/>
              </w:rPr>
            </w:pPr>
            <w:r>
              <w:rPr>
                <w:rFonts w:ascii="Arial" w:cs="Arial" w:eastAsia="Arial" w:hAnsi="Arial"/>
                <w:sz w:val="32"/>
                <w:szCs w:val="32"/>
                <w:b w:val="1"/>
                <w:bCs w:val="1"/>
                <w:color w:val="auto"/>
              </w:rPr>
              <w:t>3</w:t>
            </w:r>
          </w:p>
        </w:tc>
        <w:tc>
          <w:tcPr>
            <w:tcW w:w="4060" w:type="dxa"/>
            <w:vAlign w:val="bottom"/>
            <w:gridSpan w:val="2"/>
            <w:shd w:val="clear" w:color="auto" w:fill="BFBFBF"/>
          </w:tcPr>
          <w:p>
            <w:pPr>
              <w:ind w:left="40"/>
              <w:spacing w:after="0"/>
              <w:rPr>
                <w:sz w:val="20"/>
                <w:szCs w:val="20"/>
                <w:color w:val="auto"/>
              </w:rPr>
            </w:pPr>
            <w:r>
              <w:rPr>
                <w:rFonts w:ascii="Arial" w:cs="Arial" w:eastAsia="Arial" w:hAnsi="Arial"/>
                <w:sz w:val="18"/>
                <w:szCs w:val="18"/>
                <w:b w:val="1"/>
                <w:bCs w:val="1"/>
                <w:color w:val="auto"/>
              </w:rPr>
              <w:t>SEC USE ONLY</w:t>
            </w:r>
          </w:p>
        </w:tc>
        <w:tc>
          <w:tcPr>
            <w:tcW w:w="586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2980" w:type="dxa"/>
            <w:vAlign w:val="bottom"/>
            <w:tcBorders>
              <w:right w:val="single" w:sz="8" w:color="BFBFBF"/>
            </w:tcBorders>
            <w:shd w:val="clear" w:color="auto" w:fill="BFBFBF"/>
          </w:tcPr>
          <w:p>
            <w:pPr>
              <w:spacing w:after="0"/>
              <w:rPr>
                <w:sz w:val="24"/>
                <w:szCs w:val="24"/>
                <w:color w:val="auto"/>
              </w:rPr>
            </w:pPr>
          </w:p>
        </w:tc>
        <w:tc>
          <w:tcPr>
            <w:tcW w:w="1080" w:type="dxa"/>
            <w:vAlign w:val="bottom"/>
            <w:shd w:val="clear" w:color="auto" w:fill="BFBFBF"/>
          </w:tcPr>
          <w:p>
            <w:pPr>
              <w:spacing w:after="0"/>
              <w:rPr>
                <w:sz w:val="24"/>
                <w:szCs w:val="24"/>
                <w:color w:val="auto"/>
              </w:rPr>
            </w:pPr>
          </w:p>
        </w:tc>
        <w:tc>
          <w:tcPr>
            <w:tcW w:w="586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980" w:type="dxa"/>
            <w:vAlign w:val="bottom"/>
            <w:tcBorders>
              <w:right w:val="single" w:sz="8" w:color="BFBFBF"/>
            </w:tcBorders>
            <w:shd w:val="clear" w:color="auto" w:fill="BFBFBF"/>
          </w:tcPr>
          <w:p>
            <w:pPr>
              <w:spacing w:after="0"/>
              <w:rPr>
                <w:sz w:val="23"/>
                <w:szCs w:val="23"/>
                <w:color w:val="auto"/>
              </w:rPr>
            </w:pPr>
          </w:p>
        </w:tc>
        <w:tc>
          <w:tcPr>
            <w:tcW w:w="1080" w:type="dxa"/>
            <w:vAlign w:val="bottom"/>
            <w:shd w:val="clear" w:color="auto" w:fill="BFBFBF"/>
          </w:tcPr>
          <w:p>
            <w:pPr>
              <w:spacing w:after="0"/>
              <w:rPr>
                <w:sz w:val="23"/>
                <w:szCs w:val="23"/>
                <w:color w:val="auto"/>
              </w:rPr>
            </w:pPr>
          </w:p>
        </w:tc>
        <w:tc>
          <w:tcPr>
            <w:tcW w:w="586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-1740535</wp:posOffset>
            </wp:positionV>
            <wp:extent cx="7246620" cy="6457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64573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40" w:hanging="817"/>
        <w:spacing w:after="0" w:line="182" w:lineRule="auto"/>
        <w:tabs>
          <w:tab w:leader="none" w:pos="1440" w:val="left"/>
        </w:tabs>
        <w:numPr>
          <w:ilvl w:val="0"/>
          <w:numId w:val="9"/>
        </w:numPr>
        <w:rPr>
          <w:rFonts w:ascii="Arial" w:cs="Arial" w:eastAsia="Arial" w:hAnsi="Arial"/>
          <w:sz w:val="50"/>
          <w:szCs w:val="50"/>
          <w:b w:val="1"/>
          <w:bCs w:val="1"/>
          <w:color w:val="auto"/>
          <w:vertAlign w:val="superscript"/>
        </w:rPr>
      </w:pPr>
      <w:r>
        <w:rPr>
          <w:rFonts w:ascii="Arial" w:cs="Arial" w:eastAsia="Arial" w:hAnsi="Arial"/>
          <w:sz w:val="16"/>
          <w:szCs w:val="16"/>
          <w:color w:val="auto"/>
        </w:rPr>
        <w:t>Ontario, Canada</w:t>
      </w:r>
    </w:p>
    <w:p>
      <w:pPr>
        <w:spacing w:after="0" w:line="206"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5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5</w:t>
            </w:r>
          </w:p>
        </w:tc>
        <w:tc>
          <w:tcPr>
            <w:tcW w:w="8800" w:type="dxa"/>
            <w:vAlign w:val="bottom"/>
          </w:tcPr>
          <w:p>
            <w:pPr>
              <w:ind w:left="1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85"/>
        </w:trPr>
        <w:tc>
          <w:tcPr>
            <w:tcW w:w="194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p>
        </w:tc>
        <w:tc>
          <w:tcPr>
            <w:tcW w:w="5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800" w:type="dxa"/>
            <w:vAlign w:val="bottom"/>
          </w:tcPr>
          <w:p>
            <w:pPr>
              <w:ind w:left="1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580" w:type="dxa"/>
            <w:vAlign w:val="bottom"/>
            <w:vMerge w:val="continue"/>
          </w:tcPr>
          <w:p>
            <w:pPr>
              <w:spacing w:after="0"/>
              <w:rPr>
                <w:sz w:val="19"/>
                <w:szCs w:val="19"/>
                <w:color w:val="auto"/>
              </w:rPr>
            </w:pPr>
          </w:p>
        </w:tc>
        <w:tc>
          <w:tcPr>
            <w:tcW w:w="8800" w:type="dxa"/>
            <w:vAlign w:val="bottom"/>
            <w:vMerge w:val="restart"/>
          </w:tcPr>
          <w:p>
            <w:pPr>
              <w:ind w:left="160"/>
              <w:spacing w:after="0"/>
              <w:rPr>
                <w:sz w:val="20"/>
                <w:szCs w:val="20"/>
                <w:color w:val="auto"/>
              </w:rPr>
            </w:pPr>
            <w:r>
              <w:rPr>
                <w:rFonts w:ascii="Arial" w:cs="Arial" w:eastAsia="Arial" w:hAnsi="Arial"/>
                <w:sz w:val="18"/>
                <w:szCs w:val="18"/>
                <w:color w:val="auto"/>
              </w:rPr>
              <w:t>6,282,928</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580" w:type="dxa"/>
            <w:vAlign w:val="bottom"/>
          </w:tcPr>
          <w:p>
            <w:pPr>
              <w:spacing w:after="0"/>
              <w:rPr>
                <w:sz w:val="18"/>
                <w:szCs w:val="18"/>
                <w:color w:val="auto"/>
              </w:rPr>
            </w:pPr>
          </w:p>
        </w:tc>
        <w:tc>
          <w:tcPr>
            <w:tcW w:w="8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9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580" w:type="dxa"/>
            <w:vAlign w:val="bottom"/>
            <w:tcBorders>
              <w:bottom w:val="single" w:sz="8" w:color="auto"/>
            </w:tcBorders>
          </w:tcPr>
          <w:p>
            <w:pPr>
              <w:spacing w:after="0"/>
              <w:rPr>
                <w:sz w:val="10"/>
                <w:szCs w:val="10"/>
                <w:color w:val="auto"/>
              </w:rPr>
            </w:pPr>
          </w:p>
        </w:tc>
        <w:tc>
          <w:tcPr>
            <w:tcW w:w="8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9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88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1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5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9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8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0"/>
        </w:trPr>
        <w:tc>
          <w:tcPr>
            <w:tcW w:w="19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580" w:type="dxa"/>
            <w:vAlign w:val="bottom"/>
            <w:vMerge w:val="continue"/>
          </w:tcPr>
          <w:p>
            <w:pPr>
              <w:spacing w:after="0"/>
              <w:rPr>
                <w:sz w:val="15"/>
                <w:szCs w:val="15"/>
                <w:color w:val="auto"/>
              </w:rPr>
            </w:pPr>
          </w:p>
        </w:tc>
        <w:tc>
          <w:tcPr>
            <w:tcW w:w="8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9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88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SHARED DISPOSITIVE POWER</w:t>
      </w:r>
    </w:p>
    <w:p>
      <w:pPr>
        <w:ind w:left="2780" w:hanging="469"/>
        <w:spacing w:after="0" w:line="182" w:lineRule="auto"/>
        <w:tabs>
          <w:tab w:leader="none" w:pos="2780" w:val="left"/>
        </w:tabs>
        <w:numPr>
          <w:ilvl w:val="0"/>
          <w:numId w:val="10"/>
        </w:numPr>
        <w:rPr>
          <w:rFonts w:ascii="Arial" w:cs="Arial" w:eastAsia="Arial" w:hAnsi="Arial"/>
          <w:sz w:val="50"/>
          <w:szCs w:val="50"/>
          <w:b w:val="1"/>
          <w:bCs w:val="1"/>
          <w:color w:val="auto"/>
          <w:vertAlign w:val="superscript"/>
        </w:rPr>
      </w:pPr>
      <w:r>
        <w:rPr>
          <w:rFonts w:ascii="Arial" w:cs="Arial" w:eastAsia="Arial" w:hAnsi="Arial"/>
          <w:sz w:val="16"/>
          <w:szCs w:val="16"/>
          <w:color w:val="auto"/>
        </w:rPr>
        <w:t>6,282,928</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AGGREGATE AMOUNT BENEFICIALLY OWNED BY EACH REPORTING PERSON</w:t>
      </w:r>
    </w:p>
    <w:p>
      <w:pPr>
        <w:ind w:left="1440" w:hanging="817"/>
        <w:spacing w:after="0" w:line="182" w:lineRule="auto"/>
        <w:tabs>
          <w:tab w:leader="none" w:pos="1440" w:val="left"/>
        </w:tabs>
        <w:numPr>
          <w:ilvl w:val="0"/>
          <w:numId w:val="11"/>
        </w:numPr>
        <w:rPr>
          <w:rFonts w:ascii="Arial" w:cs="Arial" w:eastAsia="Arial" w:hAnsi="Arial"/>
          <w:sz w:val="50"/>
          <w:szCs w:val="50"/>
          <w:b w:val="1"/>
          <w:bCs w:val="1"/>
          <w:color w:val="auto"/>
          <w:vertAlign w:val="superscript"/>
        </w:rPr>
      </w:pPr>
      <w:r>
        <w:rPr>
          <w:rFonts w:ascii="Arial" w:cs="Arial" w:eastAsia="Arial" w:hAnsi="Arial"/>
          <w:sz w:val="16"/>
          <w:szCs w:val="16"/>
          <w:color w:val="auto"/>
        </w:rPr>
        <w:t>6,282,928</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bl>
      <w:tblPr>
        <w:tblLayout w:type="fixed"/>
        <w:tblInd w:w="0" w:type="dxa"/>
        <w:tblCellMar>
          <w:top w:w="0" w:type="dxa"/>
          <w:left w:w="0" w:type="dxa"/>
          <w:bottom w:w="0" w:type="dxa"/>
          <w:right w:w="0" w:type="dxa"/>
        </w:tblCellMar>
      </w:tblPr>
      <w:tr>
        <w:trPr>
          <w:trHeight w:val="383"/>
        </w:trPr>
        <w:tc>
          <w:tcPr>
            <w:tcW w:w="1140" w:type="dxa"/>
            <w:vAlign w:val="bottom"/>
          </w:tcPr>
          <w:p>
            <w:pPr>
              <w:jc w:val="right"/>
              <w:ind w:right="118"/>
              <w:spacing w:after="0"/>
              <w:rPr>
                <w:sz w:val="20"/>
                <w:szCs w:val="20"/>
                <w:color w:val="auto"/>
              </w:rPr>
            </w:pPr>
            <w:r>
              <w:rPr>
                <w:rFonts w:ascii="Arial" w:cs="Arial" w:eastAsia="Arial" w:hAnsi="Arial"/>
                <w:sz w:val="32"/>
                <w:szCs w:val="32"/>
                <w:b w:val="1"/>
                <w:bCs w:val="1"/>
                <w:color w:val="auto"/>
              </w:rPr>
              <w:t>10</w:t>
            </w:r>
          </w:p>
        </w:tc>
        <w:tc>
          <w:tcPr>
            <w:tcW w:w="10280" w:type="dxa"/>
            <w:vAlign w:val="bottom"/>
            <w:vMerge w:val="restart"/>
          </w:tcPr>
          <w:p>
            <w:pPr>
              <w:ind w:left="98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74"/>
        </w:trPr>
        <w:tc>
          <w:tcPr>
            <w:tcW w:w="1140" w:type="dxa"/>
            <w:vAlign w:val="bottom"/>
          </w:tcPr>
          <w:p>
            <w:pPr>
              <w:spacing w:after="0"/>
              <w:rPr>
                <w:sz w:val="6"/>
                <w:szCs w:val="6"/>
                <w:color w:val="auto"/>
              </w:rPr>
            </w:pPr>
          </w:p>
        </w:tc>
        <w:tc>
          <w:tcPr>
            <w:tcW w:w="10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140" w:type="dxa"/>
            <w:vAlign w:val="bottom"/>
            <w:tcBorders>
              <w:bottom w:val="single" w:sz="8" w:color="auto"/>
            </w:tcBorders>
          </w:tcPr>
          <w:p>
            <w:pPr>
              <w:spacing w:after="0"/>
              <w:rPr>
                <w:sz w:val="12"/>
                <w:szCs w:val="12"/>
                <w:color w:val="auto"/>
              </w:rPr>
            </w:pPr>
          </w:p>
        </w:tc>
        <w:tc>
          <w:tcPr>
            <w:tcW w:w="10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14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11</w:t>
            </w:r>
          </w:p>
        </w:tc>
        <w:tc>
          <w:tcPr>
            <w:tcW w:w="10280" w:type="dxa"/>
            <w:vAlign w:val="bottom"/>
          </w:tcPr>
          <w:p>
            <w:pPr>
              <w:ind w:left="28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140" w:type="dxa"/>
            <w:vAlign w:val="bottom"/>
            <w:vMerge w:val="continue"/>
          </w:tcPr>
          <w:p>
            <w:pPr>
              <w:spacing w:after="0"/>
              <w:rPr>
                <w:sz w:val="24"/>
                <w:szCs w:val="24"/>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4.8% (1)</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42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36"/>
          <w:szCs w:val="36"/>
          <w:color w:val="auto"/>
          <w:vertAlign w:val="subscript"/>
        </w:rPr>
        <w:t>CO</w:t>
      </w:r>
    </w:p>
    <w:p>
      <w:pPr>
        <w:spacing w:after="0" w:line="200" w:lineRule="exact"/>
        <w:rPr>
          <w:sz w:val="20"/>
          <w:szCs w:val="20"/>
          <w:color w:val="auto"/>
        </w:rPr>
      </w:pPr>
    </w:p>
    <w:p>
      <w:pPr>
        <w:spacing w:after="0" w:line="228" w:lineRule="exact"/>
        <w:rPr>
          <w:sz w:val="20"/>
          <w:szCs w:val="20"/>
          <w:color w:val="auto"/>
        </w:rPr>
      </w:pPr>
    </w:p>
    <w:p>
      <w:pPr>
        <w:ind w:left="560" w:right="100" w:hanging="552"/>
        <w:spacing w:after="0" w:line="255" w:lineRule="auto"/>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131,089,347 shares of common stock, no par value (“Common Stock”) outstanding, as reflected in the Issuer’s February 2, 2017 Supplement to its August 22, 2016 Prospectus, as filed with the U.S. Securities and Exchange Commission (“SEC”) on February 3, 2017 (indicating that the total amount of Common Stock outstanding after the Issuer’s public offering, and the full exercise of the underwriters’ over-allotment option, would be 131,089,347 shares), and the Issuer’s Form 8-K dated February 7, 2017, as filed with the SEC on February 7, 2017 (indicating that the underwriters had fully exercised their option to purchase additional shares in the over-allotment, and that the offering was expected to close on February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551815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3" w:name="page4"/>
    <w:bookmarkEnd w:id="3"/>
    <w:p>
      <w:pPr>
        <w:spacing w:after="0"/>
        <w:tabs>
          <w:tab w:leader="none" w:pos="940" w:val="left"/>
        </w:tabs>
        <w:rPr>
          <w:sz w:val="20"/>
          <w:szCs w:val="20"/>
          <w:color w:val="auto"/>
        </w:rPr>
      </w:pPr>
      <w:r>
        <w:rPr>
          <w:rFonts w:ascii="Arial" w:cs="Arial" w:eastAsia="Arial" w:hAnsi="Arial"/>
          <w:sz w:val="18"/>
          <w:szCs w:val="18"/>
          <w:b w:val="1"/>
          <w:bCs w:val="1"/>
          <w:color w:val="auto"/>
        </w:rPr>
        <w:t>Item 1. (a)</w:t>
      </w:r>
      <w:r>
        <w:rPr>
          <w:sz w:val="20"/>
          <w:szCs w:val="20"/>
          <w:color w:val="auto"/>
        </w:rPr>
        <w:tab/>
      </w:r>
      <w:r>
        <w:rPr>
          <w:rFonts w:ascii="Arial" w:cs="Arial" w:eastAsia="Arial" w:hAnsi="Arial"/>
          <w:sz w:val="16"/>
          <w:szCs w:val="16"/>
          <w:b w:val="1"/>
          <w:bCs w:val="1"/>
          <w:color w:val="auto"/>
        </w:rPr>
        <w:t>Name of Issuer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 (b)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Three Allen Center, 333 Clay Street, Suite 4980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3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 (a)</w:t>
      </w:r>
      <w:r>
        <w:rPr>
          <w:sz w:val="20"/>
          <w:szCs w:val="20"/>
          <w:color w:val="auto"/>
        </w:rPr>
        <w:tab/>
      </w:r>
      <w:r>
        <w:rPr>
          <w:rFonts w:ascii="Arial" w:cs="Arial" w:eastAsia="Arial" w:hAnsi="Arial"/>
          <w:sz w:val="16"/>
          <w:szCs w:val="16"/>
          <w:b w:val="1"/>
          <w:bCs w:val="1"/>
          <w:color w:val="auto"/>
        </w:rPr>
        <w:t>Name of Person Filing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This Schedule 13G is being filed on behalf of the following persons (the “Reporting Persons”)*:</w:t>
      </w:r>
    </w:p>
    <w:p>
      <w:pPr>
        <w:spacing w:after="0" w:line="252"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Brookfield Asset Management, Inc.; and</w:t>
      </w:r>
    </w:p>
    <w:p>
      <w:pPr>
        <w:spacing w:after="0" w:line="23" w:lineRule="exact"/>
        <w:rPr>
          <w:rFonts w:ascii="Arial" w:cs="Arial" w:eastAsia="Arial" w:hAnsi="Arial"/>
          <w:sz w:val="18"/>
          <w:szCs w:val="18"/>
          <w:color w:val="auto"/>
        </w:rPr>
      </w:pPr>
    </w:p>
    <w:p>
      <w:pPr>
        <w:ind w:left="420" w:hanging="412"/>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Partners Limited.</w:t>
      </w:r>
    </w:p>
    <w:p>
      <w:pPr>
        <w:spacing w:after="0" w:line="2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*Attached as Exhibit A is a copy of an agreement among the Reporting Persons that this Schedule 13G is being filed on behalf of each of them.</w:t>
      </w:r>
    </w:p>
    <w:p>
      <w:pPr>
        <w:spacing w:after="0" w:line="20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 (b)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Brookfield Asset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181 Bay Street, Brookfield Place,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M5J 2T3, Canada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Partners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181 Bay Street, Brookfield Place,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M5J 2T3, Canada</w:t>
      </w:r>
    </w:p>
    <w:p>
      <w:pPr>
        <w:spacing w:after="0" w:line="23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 (c)</w:t>
      </w:r>
      <w:r>
        <w:rPr>
          <w:sz w:val="20"/>
          <w:szCs w:val="20"/>
          <w:color w:val="auto"/>
        </w:rPr>
        <w:tab/>
      </w:r>
      <w:r>
        <w:rPr>
          <w:rFonts w:ascii="Arial" w:cs="Arial" w:eastAsia="Arial" w:hAnsi="Arial"/>
          <w:sz w:val="16"/>
          <w:szCs w:val="16"/>
          <w:b w:val="1"/>
          <w:bCs w:val="1"/>
          <w:color w:val="auto"/>
        </w:rPr>
        <w:t>Citizenship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Item 4 of the attached cover pages.</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 (d)</w:t>
      </w:r>
      <w:r>
        <w:rPr>
          <w:sz w:val="20"/>
          <w:szCs w:val="20"/>
          <w:color w:val="auto"/>
        </w:rPr>
        <w:tab/>
      </w:r>
      <w:r>
        <w:rPr>
          <w:rFonts w:ascii="Arial" w:cs="Arial" w:eastAsia="Arial" w:hAnsi="Arial"/>
          <w:sz w:val="15"/>
          <w:szCs w:val="15"/>
          <w:b w:val="1"/>
          <w:bCs w:val="1"/>
          <w:color w:val="auto"/>
        </w:rPr>
        <w:t>Title of Class of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Common Stock, no par value (“Common Stock”)</w:t>
      </w:r>
    </w:p>
    <w:p>
      <w:pPr>
        <w:spacing w:after="0" w:line="24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 (e)</w:t>
      </w:r>
      <w:r>
        <w:rPr>
          <w:sz w:val="20"/>
          <w:szCs w:val="20"/>
          <w:color w:val="auto"/>
        </w:rPr>
        <w:tab/>
      </w:r>
      <w:r>
        <w:rPr>
          <w:rFonts w:ascii="Arial" w:cs="Arial" w:eastAsia="Arial" w:hAnsi="Arial"/>
          <w:sz w:val="17"/>
          <w:szCs w:val="17"/>
          <w:b w:val="1"/>
          <w:bCs w:val="1"/>
          <w:color w:val="auto"/>
        </w:rPr>
        <w:t>CUSIP Number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17878Y108</w:t>
      </w:r>
    </w:p>
    <w:p>
      <w:pPr>
        <w:spacing w:after="0" w:line="24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6"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See Item 9 of the attached cover pages.</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See Item 11 of the attached cover pages.</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jc w:val="both"/>
        <w:ind w:left="740" w:right="7600" w:hanging="354"/>
        <w:spacing w:after="0" w:line="563" w:lineRule="auto"/>
        <w:tabs>
          <w:tab w:leader="none" w:pos="7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Sole power to vote or to direct the vote: See Item 5 of the attached cover pages.</w:t>
      </w:r>
    </w:p>
    <w:p>
      <w:pPr>
        <w:spacing w:after="0" w:line="1" w:lineRule="exact"/>
        <w:rPr>
          <w:rFonts w:ascii="Arial" w:cs="Arial" w:eastAsia="Arial" w:hAnsi="Arial"/>
          <w:sz w:val="16"/>
          <w:szCs w:val="16"/>
          <w:color w:val="auto"/>
        </w:rPr>
      </w:pPr>
    </w:p>
    <w:p>
      <w:pPr>
        <w:ind w:left="740" w:right="7420" w:hanging="354"/>
        <w:spacing w:after="0" w:line="563" w:lineRule="auto"/>
        <w:tabs>
          <w:tab w:leader="none" w:pos="7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Shared power to vote or to direct the vote: See Item 6 of the attached cover pages.</w:t>
      </w:r>
    </w:p>
    <w:p>
      <w:pPr>
        <w:spacing w:after="0" w:line="1" w:lineRule="exact"/>
        <w:rPr>
          <w:rFonts w:ascii="Arial" w:cs="Arial" w:eastAsia="Arial" w:hAnsi="Arial"/>
          <w:sz w:val="16"/>
          <w:szCs w:val="16"/>
          <w:color w:val="auto"/>
        </w:rPr>
      </w:pPr>
    </w:p>
    <w:p>
      <w:pPr>
        <w:ind w:left="740" w:right="6900" w:hanging="354"/>
        <w:spacing w:after="0" w:line="563" w:lineRule="auto"/>
        <w:tabs>
          <w:tab w:leader="none" w:pos="7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See Item 7 of the attached cover pages.</w:t>
      </w:r>
    </w:p>
    <w:p>
      <w:pPr>
        <w:spacing w:after="0" w:line="1" w:lineRule="exact"/>
        <w:rPr>
          <w:rFonts w:ascii="Arial" w:cs="Arial" w:eastAsia="Arial" w:hAnsi="Arial"/>
          <w:sz w:val="16"/>
          <w:szCs w:val="16"/>
          <w:color w:val="auto"/>
        </w:rPr>
      </w:pPr>
    </w:p>
    <w:p>
      <w:pPr>
        <w:ind w:left="740" w:right="6720" w:hanging="354"/>
        <w:spacing w:after="0" w:line="624" w:lineRule="auto"/>
        <w:tabs>
          <w:tab w:leader="none" w:pos="7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See Item 8 of the attached cover pages.</w:t>
      </w:r>
    </w:p>
    <w:p>
      <w:pPr>
        <w:sectPr>
          <w:pgSz w:w="11900" w:h="16838" w:orient="portrait"/>
          <w:cols w:equalWidth="0" w:num="1">
            <w:col w:w="11200"/>
          </w:cols>
          <w:pgMar w:left="240" w:top="121" w:right="459" w:bottom="0" w:gutter="0" w:footer="0" w:header="0"/>
        </w:sectPr>
      </w:pPr>
    </w:p>
    <w:bookmarkStart w:id="4" w:name="page5"/>
    <w:bookmarkEnd w:id="4"/>
    <w:p>
      <w:pPr>
        <w:jc w:val="both"/>
        <w:ind w:right="20"/>
        <w:spacing w:after="0" w:line="277" w:lineRule="auto"/>
        <w:rPr>
          <w:sz w:val="20"/>
          <w:szCs w:val="20"/>
          <w:color w:val="auto"/>
        </w:rPr>
      </w:pPr>
      <w:r>
        <w:rPr>
          <w:rFonts w:ascii="Arial" w:cs="Arial" w:eastAsia="Arial" w:hAnsi="Arial"/>
          <w:sz w:val="18"/>
          <w:szCs w:val="18"/>
          <w:color w:val="auto"/>
        </w:rPr>
        <w:t>Brookfield Asset Management, Inc. (“BAM”) is the indirect owner of investment advisers to various funds or accounts that are the record owners of the shares of Common Stock reported herein and, as a result, BAM may be deemed to beneficially own such shares.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Partners Limited is the sole owner of BAM’s Class B Limited Voting Shares and therefore may be deemed to share beneficial ownership of the shares of Common Stock reported herein.</w:t>
      </w:r>
    </w:p>
    <w:p>
      <w:pPr>
        <w:spacing w:after="0" w:line="19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9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2017</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BROOKFIELD ASSET MANAGEMENT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A.J. Silber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A.J. Silber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Vice-President, Legal Affairs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PARTNERS LIMITED</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Brian D.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Brian D. Lawson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9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the signatories of the Statement on Schedule 13G to which this Joint Filing Agreement is attached, hereby agree that such statement is, and any amendments thereto filed by any of us will be, filed on behalf of each of us pursuant to and in accordance with Rule 13d-1(k)(1) under the Securities Exchange Act of 1934, as amended.</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2017</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BROOKFIELD ASSET MANAGEMENT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A.J. Silber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A.J. Silber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Vice-President, Legal Affairs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PARTNERS LIMITED</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Brian D.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Brian D. Lawson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lvl w:ilvl="1">
      <w:lvlJc w:val="left"/>
      <w:lvlText w:val="☐"/>
      <w:numFmt w:val="bullet"/>
      <w:start w:val="1"/>
    </w:lvl>
  </w:abstractNum>
  <w:abstractNum w:abstractNumId="3">
    <w:nsid w:val="5BD062C2"/>
    <w:multiLevelType w:val="hybridMultilevel"/>
    <w:lvl w:ilvl="0">
      <w:lvlJc w:val="left"/>
      <w:lvlText w:val="1"/>
      <w:numFmt w:val="bullet"/>
      <w:start w:val="1"/>
    </w:lvl>
  </w:abstractNum>
  <w:abstractNum w:abstractNumId="4">
    <w:nsid w:val="12200854"/>
    <w:multiLevelType w:val="hybridMultilevel"/>
    <w:lvl w:ilvl="0">
      <w:lvlJc w:val="left"/>
      <w:lvlText w:val="4"/>
      <w:numFmt w:val="bullet"/>
      <w:start w:val="1"/>
    </w:lvl>
  </w:abstractNum>
  <w:abstractNum w:abstractNumId="5">
    <w:nsid w:val="4DB127F8"/>
    <w:multiLevelType w:val="hybridMultilevel"/>
    <w:lvl w:ilvl="0">
      <w:lvlJc w:val="left"/>
      <w:lvlText w:val="8"/>
      <w:numFmt w:val="bullet"/>
      <w:start w:val="1"/>
    </w:lvl>
  </w:abstractNum>
  <w:abstractNum w:abstractNumId="6">
    <w:nsid w:val="216231B"/>
    <w:multiLevelType w:val="hybridMultilevel"/>
    <w:lvl w:ilvl="0">
      <w:lvlJc w:val="left"/>
      <w:lvlText w:val="9"/>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4"/>
      <w:numFmt w:val="bullet"/>
      <w:start w:val="1"/>
    </w:lvl>
  </w:abstractNum>
  <w:abstractNum w:abstractNumId="9">
    <w:nsid w:val="66EF438D"/>
    <w:multiLevelType w:val="hybridMultilevel"/>
    <w:lvl w:ilvl="0">
      <w:lvlJc w:val="left"/>
      <w:lvlText w:val="8"/>
      <w:numFmt w:val="bullet"/>
      <w:start w:val="1"/>
    </w:lvl>
  </w:abstractNum>
  <w:abstractNum w:abstractNumId="10">
    <w:nsid w:val="140E0F76"/>
    <w:multiLevelType w:val="hybridMultilevel"/>
    <w:lvl w:ilvl="0">
      <w:lvlJc w:val="left"/>
      <w:lvlText w:val="9"/>
      <w:numFmt w:val="bullet"/>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lowerRoman"/>
      <w:start w:val="1"/>
    </w:lvl>
  </w:abstractNum>
  <w:abstractNum w:abstractNumId="13">
    <w:nsid w:val="DED7263"/>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2019-12-16T07:39:41Z</dcterms:created>
  <dcterms:modified xsi:type="dcterms:W3CDTF">2019-12-16T07:39:41Z</dcterms:modified>
</cp:coreProperties>
</file>