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7"/>
          <w:szCs w:val="17"/>
          <w:color w:val="0000FF"/>
        </w:rPr>
        <w:t>Vice President and Controller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3,199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10,880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4"/>
              </w:rPr>
              <w:t>D</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3,199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7,681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306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7,375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02/25/2021</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3,199</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3,199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12,859</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-3531870</wp:posOffset>
            </wp:positionV>
            <wp:extent cx="7033260" cy="3541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41395"/>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grant date. 3,199 shares vested on February 25, 2021.</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03/01/2021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2021-03-01T17:00:54Z</dcterms:created>
  <dcterms:modified xsi:type="dcterms:W3CDTF">2021-03-01T17:00:54Z</dcterms:modified>
</cp:coreProperties>
</file>