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February 28, 2022</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63"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6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285"/>
        <w:spacing w:after="0" w:line="253" w:lineRule="auto"/>
        <w:rPr>
          <w:sz w:val="20"/>
          <w:szCs w:val="20"/>
          <w:color w:val="auto"/>
        </w:rPr>
      </w:pPr>
      <w:r>
        <w:rPr>
          <w:rFonts w:ascii="Arial" w:cs="Arial" w:eastAsia="Arial" w:hAnsi="Arial"/>
          <w:sz w:val="22"/>
          <w:szCs w:val="22"/>
          <w:color w:val="auto"/>
        </w:rPr>
        <w:t>On February 28, 2022, Civeo Corporation (“Civeo”) issued a press release announcing its financial condition and results of operations as of and for the quarter and year ended December 31, 2021.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48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36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 xml:space="preserve">Press Release dated February </w:t>
              </w:r>
            </w:hyperlink>
            <w:r>
              <w:rPr>
                <w:rFonts w:ascii="Arial" w:cs="Arial" w:eastAsia="Arial" w:hAnsi="Arial"/>
                <w:sz w:val="22"/>
                <w:szCs w:val="22"/>
                <w:color w:val="0000FF"/>
                <w:w w:val="85"/>
              </w:rPr>
              <w:t>28, 2022</w:t>
            </w:r>
          </w:p>
        </w:tc>
        <w:tc>
          <w:tcPr>
            <w:tcW w:w="612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2171"/>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-2151380</wp:posOffset>
            </wp:positionV>
            <wp:extent cx="34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28, 2022</w:t>
      </w:r>
    </w:p>
    <w:p>
      <w:pPr>
        <w:spacing w:after="0" w:line="254"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Fourth Quarter and Full Year 2021 Results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&amp; Full Year 2021 Highlights:</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revenues of $159.8 million, net income of $9.8 million and operating cash flow of $25.3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Fourth quarter Adjusted EBITDA of $34.5 million and free cash flow of $26.1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net leverage ratio to 1.49x as of December 31, 2021 from 1.86x as of September 30, 2021;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$88.5 million of operating cash flow and $87.3 million of free cash flow for the full year 2021;</w:t>
      </w:r>
    </w:p>
    <w:p>
      <w:pPr>
        <w:spacing w:after="0" w:line="252"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HOUSTON and CALGARY, February 28, 2022 (BUSINESS WIRE) -- Civeo Corporation (NYSE:CVEO) today reported financial and operating results for the fourth quarter and year ended December 31, 2021.</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“Despite pandemic-related headwinds throughout 2021, Civeo continued to operate safely, generate significant free cash flow, and substantially reduce our total debt balance as well as our net leverage ratio. We also replaced and refinanced our entire credit agreement, which extends the maturity of all of our debt outstanding to September 2025, and announced a share repurchase program,” said Bradley J. Dodson, Civeo's President and Chief Executive Officer.</w:t>
      </w:r>
    </w:p>
    <w:p>
      <w:pPr>
        <w:spacing w:after="0" w:line="231"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Mr. Dodson continued, “I am proud of the Civeo team's execution and perseverance in this tough operating environment that helped us generate full-year operating cash flow of over $85 million. Our 2021 results and accomplishments were a testament to the hard work of our team and the winning combination of our diversified revenue profile and our continued capital discipline.”</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Mr. Dodson added, “Our strategic investment in diversifying our revenue profile over the last few years has paid off again in 2021 as we have experienced volatility across our business segments related to the pandemic, international trade disputes and substantial commodity price fluctuations. We will continue to seek opportunities to expand our customer base and geographic footprint to reduce volatility in our free cash flow generation as we continue to reduce our leverage, improving our financial and strategic flexibility.”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2021 Results</w:t>
      </w:r>
    </w:p>
    <w:p>
      <w:pPr>
        <w:spacing w:after="0" w:line="15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the fourth quarter of 2021, Civeo generated revenues of $ 159.8 million and reported net income of $9.8 million, or $0.58 per diluted share. During the fourth quarter of 2021, Civeo produced operating cash flow of $25.3 million, Adjusted EBITDA of $34.5 million and free cash flow of $26.1 million.</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By comparison, in the fourth quarter of 2020, Civeo generated revenues of $133.4 million and reported a net loss of $2.3 million, or $0.16 per share. During the fourth quarter of 2020, Civeo produced operating cash flow of $36.7 million, Adjusted EBITDA of $23.7 million and free cash flow of $33.2 million.</w:t>
      </w:r>
    </w:p>
    <w:p>
      <w:pPr>
        <w:spacing w:after="0" w:line="13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Overall, the increase in revenues and Adjusted EBITDA in the fourth quarter of 2021 compared to 2020 was primarily due to an increase in Canadian occupancy and Canadian mobile camp activity, partially offset by decreased Australian village billed rooms. Adjusted EBITDA was also positively impacted by a $3.8 million gain on sale of assets from the fourth quarter 2021 sale of our West Permian lodge, partially offset by a year-over-year increase in labor costs in Australia.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2021 Results</w:t>
      </w:r>
    </w:p>
    <w:p>
      <w:pPr>
        <w:spacing w:after="0" w:line="13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For the full year 2021, the Company reported revenues of $594.5 million and a net loss of $0.6 million, or $0.04 per share. Adjusted EBITDA for the full year 2021 was $109.1 million. This compared to revenues of $529.7 million and a net loss of $136.1 million, or $9.64 per share, for the full year 2020. The loss in 2020 resulted in part from $144.1 million in goodwill and asset impairments, partially offset by $4.7 million of income associated with the settlement of a representations and warranties claim. Adjusted EBITDA was $108.1 million in 2020. Results for the full year of</w:t>
      </w:r>
    </w:p>
    <w:p>
      <w:pPr>
        <w:sectPr>
          <w:pgSz w:w="11900" w:h="16838" w:orient="portrait"/>
          <w:cols w:equalWidth="0" w:num="1">
            <w:col w:w="11240"/>
          </w:cols>
          <w:pgMar w:left="320" w:top="895" w:right="339" w:bottom="1440" w:gutter="0" w:footer="0" w:header="0"/>
        </w:sectPr>
      </w:pPr>
    </w:p>
    <w:bookmarkStart w:id="5" w:name="page6"/>
    <w:bookmarkEnd w:id="5"/>
    <w:p>
      <w:pPr>
        <w:ind w:right="160"/>
        <w:spacing w:after="0" w:line="235" w:lineRule="auto"/>
        <w:rPr>
          <w:sz w:val="20"/>
          <w:szCs w:val="20"/>
          <w:color w:val="auto"/>
        </w:rPr>
      </w:pPr>
      <w:r>
        <w:rPr>
          <w:rFonts w:ascii="Arial" w:cs="Arial" w:eastAsia="Arial" w:hAnsi="Arial"/>
          <w:sz w:val="18"/>
          <w:szCs w:val="18"/>
          <w:color w:val="auto"/>
        </w:rPr>
        <w:t>2021 reflect the impact of a strengthened Australian and Canadian dollar relative to the U.S. dollar, which increased revenues and Adjusted EBITDA by $40.6 million and $9.8 million, respectively.</w:t>
      </w:r>
    </w:p>
    <w:p>
      <w:pPr>
        <w:spacing w:after="0" w:line="22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modest increase in Adjusted EBITDA in 2021 as compared to 2020 was largely driven by increased mobile camp activity in our Canadian segment, as well as the favorable currency impact noted above, partially offset by decreased billed rooms and increased labor costs across the Australian segment.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2021 to the results for the fourth quarter of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fourth quarter of 2021, the Canada segment generated revenues of $92.2 million, operating income of $6.9 million and Adjusted EBITDA of $23.1 million, compared to revenues of $65.5 million, operating loss of $4.1 million and Adjusted EBITDA of $13.8 million in the fourth quarter of 2020. Results from the fourth quarter of 2021 reflect the impact of a strengthened Canadian dollar relative to the U.S. dollar, which increased revenues and Adjusted EBITDA by $3.1 million and $0.8 million, respectively.</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a constant currency basis, the Canadian segment experienced a 36% period-over-period increase in revenues driven by (1) a 25% year-over-year increase in billed rooms and (2) increased mobile camp work related to pipeline construction. Adjusted EBITDA for the Canadian segment increased 68% year-over-year primarily due to the aforementioned dynamics and operating leverage.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During the fourth quarter of 2021, the Australia segment generated revenues of $62.3 million, operating income of $2.2 million and Adjusted EBITDA of $13.6 million, compared to revenues of $63.7 million, operating income of $3.6 million and Adjusted EBITDA of $17.2 million in the fourth quarter of 2020.</w:t>
      </w:r>
    </w:p>
    <w:p>
      <w:pPr>
        <w:spacing w:after="0" w:line="23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On a constant currency basis, the Australian segment experienced a 2% period-over-period decrease in revenues driven by decreased occupancy at our Bowen Basin villages. Australian village occupancy decreased 3% year-over-year largely due to continued uncertainty created by the China/Australia trade dispute and COVID-19. Adjusted EBITDA from the Australian segment decreased 21% year-over-year due to lower village occupancy as well as increased labor costs which were largely the result of COVID related travel and border restrictions.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U.S. segment generated revenues of $5.3 million, operating loss of $3.0 million and Adjusted EBITDA of $3.3 million in the fourth quarter of 2021, compared to revenues of $ 4.2 million, operating loss of $3.2 million and an Adjusted EBITDA loss of $1.4 million in the fourth quarter of 2020. The revenue and Adjusted EBITDA increase was primarily due to increased activity in our lodges and offshore business, as well as the aforementioned gain on the sale of our West Permian Lodge.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As of December 31, 2021, Civeo had total liquidity of approximately $92.8 million, consisting of $86.5 million available under its revolving credit facilities and $6.3 million of cash on hand.</w:t>
      </w:r>
    </w:p>
    <w:p>
      <w:pPr>
        <w:spacing w:after="0" w:line="11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Civeo’s total debt outstanding on December 31, 2021 was $175.1 million, a $20.1 million decrease since September 30, 2021 and a $76.0 million decrease from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net leverage ratio to 1.49x as of December 31, 2021 from 1.86x as of September 30, 2021.</w:t>
      </w:r>
    </w:p>
    <w:p>
      <w:pPr>
        <w:spacing w:after="0" w:line="14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During 2021, Civeo invested $15.6 million in capital expenditures, up from $10.1 million during 2020. This increase is primarily due to increased Canadian lodge maintenance coupled with increased Canadian pipeline-related capital expenditures.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2022 Guidance</w:t>
      </w:r>
    </w:p>
    <w:p>
      <w:pPr>
        <w:spacing w:after="0" w:line="14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the full year of 2022, Civeo expects revenues of $600.0 million to $615.0 million, EBITDA of $90.0 million to $95.0 million and capital expenditures of $20.0 million to $25.0 million.</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Civeo will host a conference call to discuss its fourth quarter 2021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13727269#. A replay will be available after the call by dialing (844) 512-2921 in the United States or (412) 317-6671 internationally and using the conference ID 1372769#.</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27 lodges and villages in Canada, Australia and the U.S., with an aggregate of over 28,000 rooms. Civeo is publicly traded under the symbol CVEO on the New York Stock Exchange. For more information, please visit Civeo's website at www.civeo.com.</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needs,and ability to pay down debt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9" w:lineRule="exact"/>
        <w:rPr>
          <w:sz w:val="20"/>
          <w:szCs w:val="20"/>
          <w:color w:val="auto"/>
        </w:rPr>
      </w:pPr>
    </w:p>
    <w:p>
      <w:pPr>
        <w:jc w:val="both"/>
        <w:ind w:right="380"/>
        <w:spacing w:after="0" w:line="245"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certain other unusual or non-operating items. Free cash flow is a non-GAAP financial measure that is defined as net cash flows provided by operating activities less capital expenditures plus proceeds from asset sales.</w:t>
      </w:r>
    </w:p>
    <w:p>
      <w:pPr>
        <w:spacing w:after="0" w:line="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See “Non-GAAP Reconciliation” below for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ectPr>
          <w:pgSz w:w="11900" w:h="16838" w:orient="portrait"/>
          <w:cols w:equalWidth="0" w:num="1">
            <w:col w:w="11240"/>
          </w:cols>
          <w:pgMar w:left="320" w:top="130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32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23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5"/>
        </w:trPr>
        <w:tc>
          <w:tcPr>
            <w:tcW w:w="38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521"/>
        </w:trPr>
        <w:tc>
          <w:tcPr>
            <w:tcW w:w="388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159,794</w:t>
            </w:r>
          </w:p>
        </w:tc>
        <w:tc>
          <w:tcPr>
            <w:tcW w:w="1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133,378</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594,463</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529,729</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117,220</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98,208</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436,462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382,088</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14,396</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14,767</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60,600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53,656</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20,173</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24,020</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83,101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96,547</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7,935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144,120</w:t>
            </w:r>
          </w:p>
        </w:tc>
        <w:tc>
          <w:tcPr>
            <w:tcW w:w="0" w:type="dxa"/>
            <w:vAlign w:val="bottom"/>
          </w:tcPr>
          <w:p>
            <w:pPr>
              <w:spacing w:after="0"/>
              <w:rPr>
                <w:sz w:val="1"/>
                <w:szCs w:val="1"/>
                <w:color w:val="auto"/>
              </w:rPr>
            </w:pPr>
          </w:p>
        </w:tc>
      </w:tr>
      <w:tr>
        <w:trPr>
          <w:trHeight w:val="269"/>
        </w:trPr>
        <w:tc>
          <w:tcPr>
            <w:tcW w:w="3880" w:type="dxa"/>
            <w:vAlign w:val="bottom"/>
          </w:tcPr>
          <w:p>
            <w:pPr>
              <w:ind w:left="120"/>
              <w:spacing w:after="0"/>
              <w:rPr>
                <w:sz w:val="20"/>
                <w:szCs w:val="20"/>
                <w:color w:val="auto"/>
              </w:rPr>
            </w:pPr>
            <w:r>
              <w:rPr>
                <w:rFonts w:ascii="Arial" w:cs="Arial" w:eastAsia="Arial" w:hAnsi="Arial"/>
                <w:sz w:val="14"/>
                <w:szCs w:val="14"/>
                <w:color w:val="auto"/>
              </w:rPr>
              <w:t>Other operating expense/(income)</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313</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151,980</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136,746</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588,411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676,917</w:t>
            </w: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7,814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(3,368)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6,052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(147,188)</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(3,035)</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(3,592)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(12,964)</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(16,687)</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7,133</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3,614</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13,199</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20,823</w:t>
            </w:r>
          </w:p>
        </w:tc>
        <w:tc>
          <w:tcPr>
            <w:tcW w:w="0" w:type="dxa"/>
            <w:vAlign w:val="bottom"/>
          </w:tcPr>
          <w:p>
            <w:pPr>
              <w:spacing w:after="0"/>
              <w:rPr>
                <w:sz w:val="1"/>
                <w:szCs w:val="1"/>
                <w:color w:val="auto"/>
              </w:rPr>
            </w:pPr>
          </w:p>
        </w:tc>
      </w:tr>
      <w:tr>
        <w:trPr>
          <w:trHeight w:val="252"/>
        </w:trPr>
        <w:tc>
          <w:tcPr>
            <w:tcW w:w="388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11,912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(3,346)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5,873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(143,415)</w:t>
            </w:r>
          </w:p>
        </w:tc>
        <w:tc>
          <w:tcPr>
            <w:tcW w:w="0" w:type="dxa"/>
            <w:vAlign w:val="bottom"/>
          </w:tcPr>
          <w:p>
            <w:pPr>
              <w:spacing w:after="0"/>
              <w:rPr>
                <w:sz w:val="1"/>
                <w:szCs w:val="1"/>
                <w:color w:val="auto"/>
              </w:rPr>
            </w:pPr>
          </w:p>
        </w:tc>
      </w:tr>
      <w:tr>
        <w:trPr>
          <w:trHeight w:val="268"/>
        </w:trPr>
        <w:tc>
          <w:tcPr>
            <w:tcW w:w="388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2,126</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(3,376)</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10,635</w:t>
            </w: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10,890</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2,497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(132,780)</w:t>
            </w:r>
          </w:p>
        </w:tc>
        <w:tc>
          <w:tcPr>
            <w:tcW w:w="0" w:type="dxa"/>
            <w:vAlign w:val="bottom"/>
          </w:tcPr>
          <w:p>
            <w:pPr>
              <w:spacing w:after="0"/>
              <w:rPr>
                <w:sz w:val="1"/>
                <w:szCs w:val="1"/>
                <w:color w:val="auto"/>
              </w:rPr>
            </w:pPr>
          </w:p>
        </w:tc>
      </w:tr>
      <w:tr>
        <w:trPr>
          <w:trHeight w:val="269"/>
        </w:trPr>
        <w:tc>
          <w:tcPr>
            <w:tcW w:w="388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613</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556</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1,147</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1,470</w:t>
            </w:r>
          </w:p>
        </w:tc>
        <w:tc>
          <w:tcPr>
            <w:tcW w:w="0" w:type="dxa"/>
            <w:vAlign w:val="bottom"/>
          </w:tcPr>
          <w:p>
            <w:pPr>
              <w:spacing w:after="0"/>
              <w:rPr>
                <w:sz w:val="1"/>
                <w:szCs w:val="1"/>
                <w:color w:val="auto"/>
              </w:rPr>
            </w:pPr>
          </w:p>
        </w:tc>
      </w:tr>
      <w:tr>
        <w:trPr>
          <w:trHeight w:val="251"/>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10,277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1,350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(134,250)</w:t>
            </w:r>
          </w:p>
        </w:tc>
        <w:tc>
          <w:tcPr>
            <w:tcW w:w="0" w:type="dxa"/>
            <w:vAlign w:val="bottom"/>
          </w:tcPr>
          <w:p>
            <w:pPr>
              <w:spacing w:after="0"/>
              <w:rPr>
                <w:sz w:val="1"/>
                <w:szCs w:val="1"/>
                <w:color w:val="auto"/>
              </w:rPr>
            </w:pPr>
          </w:p>
        </w:tc>
      </w:tr>
      <w:tr>
        <w:trPr>
          <w:trHeight w:val="268"/>
        </w:trPr>
        <w:tc>
          <w:tcPr>
            <w:tcW w:w="388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1,925</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9,792</w:t>
            </w:r>
          </w:p>
        </w:tc>
        <w:tc>
          <w:tcPr>
            <w:tcW w:w="18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(2,252)</w:t>
            </w:r>
          </w:p>
        </w:tc>
        <w:tc>
          <w:tcPr>
            <w:tcW w:w="24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(575)</w:t>
            </w:r>
          </w:p>
        </w:tc>
        <w:tc>
          <w:tcPr>
            <w:tcW w:w="200" w:type="dxa"/>
            <w:vAlign w:val="bottom"/>
          </w:tcPr>
          <w:p>
            <w:pPr>
              <w:spacing w:after="0"/>
              <w:rPr>
                <w:sz w:val="16"/>
                <w:szCs w:val="16"/>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(136,137)</w:t>
            </w:r>
          </w:p>
        </w:tc>
        <w:tc>
          <w:tcPr>
            <w:tcW w:w="0" w:type="dxa"/>
            <w:vAlign w:val="bottom"/>
          </w:tcPr>
          <w:p>
            <w:pPr>
              <w:spacing w:after="0"/>
              <w:rPr>
                <w:sz w:val="1"/>
                <w:szCs w:val="1"/>
                <w:color w:val="auto"/>
              </w:rPr>
            </w:pPr>
          </w:p>
        </w:tc>
      </w:tr>
      <w:tr>
        <w:trPr>
          <w:trHeight w:val="149"/>
        </w:trPr>
        <w:tc>
          <w:tcPr>
            <w:tcW w:w="3880" w:type="dxa"/>
            <w:vAlign w:val="bottom"/>
          </w:tcPr>
          <w:p>
            <w:pPr>
              <w:spacing w:after="0" w:line="144" w:lineRule="exact"/>
              <w:rPr>
                <w:sz w:val="20"/>
                <w:szCs w:val="20"/>
                <w:color w:val="auto"/>
              </w:rPr>
            </w:pPr>
            <w:r>
              <w:rPr>
                <w:rFonts w:ascii="Arial" w:cs="Arial" w:eastAsia="Arial" w:hAnsi="Arial"/>
                <w:sz w:val="14"/>
                <w:szCs w:val="14"/>
                <w:color w:val="auto"/>
              </w:rPr>
              <w:t>common shareholders</w:t>
            </w: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240" w:type="dxa"/>
            <w:vAlign w:val="bottom"/>
            <w:gridSpan w:val="4"/>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20"/>
                <w:szCs w:val="20"/>
                <w:color w:val="auto"/>
              </w:rPr>
            </w:pPr>
            <w:r>
              <w:rPr>
                <w:rFonts w:ascii="Arial" w:cs="Arial" w:eastAsia="Arial" w:hAnsi="Arial"/>
                <w:sz w:val="14"/>
                <w:szCs w:val="14"/>
                <w:color w:val="auto"/>
              </w:rPr>
              <w:t>shareholders: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0.59</w:t>
            </w:r>
          </w:p>
        </w:tc>
        <w:tc>
          <w:tcPr>
            <w:tcW w:w="18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(0.16)</w:t>
            </w:r>
          </w:p>
        </w:tc>
        <w:tc>
          <w:tcPr>
            <w:tcW w:w="2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0.58</w:t>
            </w:r>
          </w:p>
        </w:tc>
        <w:tc>
          <w:tcPr>
            <w:tcW w:w="18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(0.16)</w:t>
            </w:r>
          </w:p>
        </w:tc>
        <w:tc>
          <w:tcPr>
            <w:tcW w:w="2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422"/>
        </w:trPr>
        <w:tc>
          <w:tcPr>
            <w:tcW w:w="3880" w:type="dxa"/>
            <w:vAlign w:val="bottom"/>
          </w:tcPr>
          <w:p>
            <w:pPr>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14,165</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14,161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14,232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14,129</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14,289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14,161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14,232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14,129</w:t>
            </w:r>
          </w:p>
        </w:tc>
        <w:tc>
          <w:tcPr>
            <w:tcW w:w="0" w:type="dxa"/>
            <w:vAlign w:val="bottom"/>
          </w:tcPr>
          <w:p>
            <w:pPr>
              <w:spacing w:after="0"/>
              <w:rPr>
                <w:sz w:val="1"/>
                <w:szCs w:val="1"/>
                <w:color w:val="auto"/>
              </w:rPr>
            </w:pPr>
          </w:p>
        </w:tc>
      </w:tr>
    </w:tbl>
    <w:p>
      <w:pPr>
        <w:sectPr>
          <w:pgSz w:w="11900" w:h="16838" w:orient="portrait"/>
          <w:cols w:equalWidth="0" w:num="1">
            <w:col w:w="10240"/>
          </w:cols>
          <w:pgMar w:left="320" w:top="1300" w:right="1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1" w:lineRule="exact"/>
        <w:rPr>
          <w:sz w:val="20"/>
          <w:szCs w:val="20"/>
          <w:color w:val="auto"/>
        </w:rPr>
      </w:pPr>
    </w:p>
    <w:tbl>
      <w:tblPr>
        <w:tblLayout w:type="fixed"/>
        <w:tblInd w:w="980" w:type="dxa"/>
        <w:tblCellMar>
          <w:top w:w="0" w:type="dxa"/>
          <w:left w:w="0" w:type="dxa"/>
          <w:bottom w:w="0" w:type="dxa"/>
          <w:right w:w="0" w:type="dxa"/>
        </w:tblCellMar>
      </w:tblPr>
      <w:tr>
        <w:trPr>
          <w:trHeight w:val="218"/>
        </w:trPr>
        <w:tc>
          <w:tcPr>
            <w:tcW w:w="382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6,282</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114,859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89,782</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6,468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11,762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17,822</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13,185</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157,193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119,213</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389,996</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8,204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93,642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99,749</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18,327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22,606</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5,372</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3,626</w:t>
            </w:r>
          </w:p>
        </w:tc>
        <w:tc>
          <w:tcPr>
            <w:tcW w:w="0" w:type="dxa"/>
            <w:vAlign w:val="bottom"/>
          </w:tcPr>
          <w:p>
            <w:pPr>
              <w:spacing w:after="0"/>
              <w:rPr>
                <w:sz w:val="1"/>
                <w:szCs w:val="1"/>
                <w:color w:val="auto"/>
              </w:rPr>
            </w:pPr>
          </w:p>
        </w:tc>
      </w:tr>
      <w:tr>
        <w:trPr>
          <w:trHeight w:val="226"/>
        </w:trPr>
        <w:tc>
          <w:tcPr>
            <w:tcW w:w="38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672,734</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1"/>
        </w:trPr>
        <w:tc>
          <w:tcPr>
            <w:tcW w:w="3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49,321</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42,056</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33,564</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27,349</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30,576</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18,479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4,807</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136,918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116,765</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142,602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896</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15,429</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19,834</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13,778</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14,897</w:t>
            </w:r>
          </w:p>
        </w:tc>
        <w:tc>
          <w:tcPr>
            <w:tcW w:w="0" w:type="dxa"/>
            <w:vAlign w:val="bottom"/>
          </w:tcPr>
          <w:p>
            <w:pPr>
              <w:spacing w:after="0"/>
              <w:rPr>
                <w:sz w:val="1"/>
                <w:szCs w:val="1"/>
                <w:color w:val="auto"/>
              </w:rPr>
            </w:pPr>
          </w:p>
        </w:tc>
      </w:tr>
      <w:tr>
        <w:trPr>
          <w:trHeight w:val="247"/>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309,623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365,496</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61,941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60,016</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1,582,442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1,578,315</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(912,951)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(907,727)</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(8,050)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73"/>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(361,883)</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(348,989)</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361,499</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374,685</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50"/>
        </w:trPr>
        <w:tc>
          <w:tcPr>
            <w:tcW w:w="38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363,111</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375,357</w:t>
            </w:r>
          </w:p>
        </w:tc>
        <w:tc>
          <w:tcPr>
            <w:tcW w:w="0" w:type="dxa"/>
            <w:vAlign w:val="bottom"/>
          </w:tcPr>
          <w:p>
            <w:pPr>
              <w:spacing w:after="0"/>
              <w:rPr>
                <w:sz w:val="1"/>
                <w:szCs w:val="1"/>
                <w:color w:val="auto"/>
              </w:rPr>
            </w:pPr>
          </w:p>
        </w:tc>
      </w:tr>
      <w:tr>
        <w:trPr>
          <w:trHeight w:val="226"/>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672,734</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132" w:lineRule="exact"/>
        <w:rPr>
          <w:sz w:val="20"/>
          <w:szCs w:val="20"/>
          <w:color w:val="auto"/>
        </w:rPr>
      </w:pPr>
    </w:p>
    <w:p>
      <w:pPr>
        <w:jc w:val="center"/>
        <w:ind w:left="5940"/>
        <w:spacing w:after="0"/>
        <w:rPr>
          <w:sz w:val="20"/>
          <w:szCs w:val="20"/>
          <w:color w:val="auto"/>
        </w:rPr>
      </w:pPr>
      <w:r>
        <w:rPr>
          <w:rFonts w:ascii="Arial" w:cs="Arial" w:eastAsia="Arial" w:hAnsi="Arial"/>
          <w:sz w:val="16"/>
          <w:szCs w:val="16"/>
          <w:b w:val="1"/>
          <w:bCs w:val="1"/>
          <w:color w:val="auto"/>
        </w:rPr>
        <w:t>TWELVE MONTHS ENDED</w:t>
      </w:r>
    </w:p>
    <w:p>
      <w:pPr>
        <w:jc w:val="center"/>
        <w:ind w:left="5940"/>
        <w:spacing w:after="0"/>
        <w:rPr>
          <w:sz w:val="20"/>
          <w:szCs w:val="20"/>
          <w:color w:val="auto"/>
        </w:rPr>
      </w:pPr>
      <w:r>
        <w:rPr>
          <w:rFonts w:ascii="Arial" w:cs="Arial" w:eastAsia="Arial" w:hAnsi="Arial"/>
          <w:sz w:val="16"/>
          <w:szCs w:val="16"/>
          <w:b w:val="1"/>
          <w:bCs w:val="1"/>
          <w:color w:val="auto"/>
        </w:rPr>
        <w:t>DECEMBER 31,</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r>
      <w:tr>
        <w:trPr>
          <w:trHeight w:val="398"/>
        </w:trPr>
        <w:tc>
          <w:tcPr>
            <w:tcW w:w="59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2,497</w:t>
            </w:r>
          </w:p>
        </w:tc>
        <w:tc>
          <w:tcPr>
            <w:tcW w:w="180" w:type="dxa"/>
            <w:vAlign w:val="bottom"/>
          </w:tcPr>
          <w:p>
            <w:pPr>
              <w:spacing w:after="0"/>
              <w:rPr>
                <w:sz w:val="23"/>
                <w:szCs w:val="23"/>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(132,780)</w:t>
            </w:r>
          </w:p>
        </w:tc>
      </w:tr>
      <w:tr>
        <w:trPr>
          <w:trHeight w:val="224"/>
        </w:trPr>
        <w:tc>
          <w:tcPr>
            <w:tcW w:w="594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95"/>
        </w:trPr>
        <w:tc>
          <w:tcPr>
            <w:tcW w:w="5940" w:type="dxa"/>
            <w:vAlign w:val="bottom"/>
          </w:tcPr>
          <w:p>
            <w:pPr>
              <w:spacing w:after="0"/>
              <w:rPr>
                <w:sz w:val="20"/>
                <w:szCs w:val="20"/>
                <w:color w:val="auto"/>
              </w:rPr>
            </w:pPr>
            <w:r>
              <w:rPr>
                <w:rFonts w:ascii="Arial" w:cs="Arial" w:eastAsia="Arial" w:hAnsi="Arial"/>
                <w:sz w:val="16"/>
                <w:szCs w:val="16"/>
                <w:color w:val="auto"/>
              </w:rPr>
              <w:t>activities: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83,101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96,547</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144,120</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3,070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(11,122)</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4,127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6,066</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(6,188)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(2,905)</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Provision for loss on receivables, net of recoveries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2,200</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(2,873)</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(28,131)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13,679</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15,435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6,890</w:t>
            </w:r>
          </w:p>
        </w:tc>
      </w:tr>
      <w:tr>
        <w:trPr>
          <w:trHeight w:val="270"/>
        </w:trPr>
        <w:tc>
          <w:tcPr>
            <w:tcW w:w="594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73"/>
        </w:trPr>
        <w:tc>
          <w:tcPr>
            <w:tcW w:w="594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4,485</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88,534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117,361</w:t>
            </w:r>
          </w:p>
        </w:tc>
      </w:tr>
      <w:tr>
        <w:trPr>
          <w:trHeight w:val="418"/>
        </w:trPr>
        <w:tc>
          <w:tcPr>
            <w:tcW w:w="59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(15,571)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(10,083)</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14,306</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3,690</w:t>
            </w:r>
          </w:p>
        </w:tc>
      </w:tr>
      <w:tr>
        <w:trPr>
          <w:trHeight w:val="273"/>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4,619</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used in investing activities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419"/>
        </w:trPr>
        <w:tc>
          <w:tcPr>
            <w:tcW w:w="59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(125,483)</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(39,855)</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49,157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(70,310)</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(2,583)</w:t>
            </w:r>
          </w:p>
        </w:tc>
      </w:tr>
      <w:tr>
        <w:trPr>
          <w:trHeight w:val="270"/>
        </w:trPr>
        <w:tc>
          <w:tcPr>
            <w:tcW w:w="594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594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r>
      <w:tr>
        <w:trPr>
          <w:trHeight w:val="247"/>
        </w:trPr>
        <w:tc>
          <w:tcPr>
            <w:tcW w:w="5940" w:type="dxa"/>
            <w:vAlign w:val="bottom"/>
          </w:tcPr>
          <w:p>
            <w:pPr>
              <w:ind w:left="32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(86,507)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(114,206)</w:t>
            </w:r>
          </w:p>
        </w:tc>
      </w:tr>
      <w:tr>
        <w:trPr>
          <w:trHeight w:val="422"/>
        </w:trPr>
        <w:tc>
          <w:tcPr>
            <w:tcW w:w="59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w:t>
            </w:r>
          </w:p>
        </w:tc>
      </w:tr>
      <w:tr>
        <w:trPr>
          <w:trHeight w:val="247"/>
        </w:trPr>
        <w:tc>
          <w:tcPr>
            <w:tcW w:w="594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2,824</w:t>
            </w:r>
          </w:p>
        </w:tc>
      </w:tr>
      <w:tr>
        <w:trPr>
          <w:trHeight w:val="421"/>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3,331</w:t>
            </w:r>
          </w:p>
        </w:tc>
      </w:tr>
      <w:tr>
        <w:trPr>
          <w:trHeight w:val="226"/>
        </w:trPr>
        <w:tc>
          <w:tcPr>
            <w:tcW w:w="59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6,282</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r>
      <w:tr>
        <w:trPr>
          <w:trHeight w:val="21"/>
        </w:trPr>
        <w:tc>
          <w:tcPr>
            <w:tcW w:w="5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200"/>
          </w:cols>
          <w:pgMar w:left="1360" w:top="1377" w:right="1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92"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6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15"/>
        </w:trPr>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260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50"/>
        </w:trPr>
        <w:tc>
          <w:tcPr>
            <w:tcW w:w="25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92,155</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65,530</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321,378</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269,649</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62,300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63,673</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251,074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234,542</w:t>
            </w:r>
          </w:p>
        </w:tc>
        <w:tc>
          <w:tcPr>
            <w:tcW w:w="0" w:type="dxa"/>
            <w:vAlign w:val="bottom"/>
          </w:tcPr>
          <w:p>
            <w:pPr>
              <w:spacing w:after="0"/>
              <w:rPr>
                <w:sz w:val="1"/>
                <w:szCs w:val="1"/>
                <w:color w:val="auto"/>
              </w:rPr>
            </w:pPr>
          </w:p>
        </w:tc>
      </w:tr>
      <w:tr>
        <w:trPr>
          <w:trHeight w:val="273"/>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5,339</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4,175</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22,011</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25,538</w:t>
            </w:r>
          </w:p>
        </w:tc>
        <w:tc>
          <w:tcPr>
            <w:tcW w:w="0" w:type="dxa"/>
            <w:vAlign w:val="bottom"/>
          </w:tcPr>
          <w:p>
            <w:pPr>
              <w:spacing w:after="0"/>
              <w:rPr>
                <w:sz w:val="1"/>
                <w:szCs w:val="1"/>
                <w:color w:val="auto"/>
              </w:rPr>
            </w:pPr>
          </w:p>
        </w:tc>
      </w:tr>
      <w:tr>
        <w:trPr>
          <w:trHeight w:val="226"/>
        </w:trPr>
        <w:tc>
          <w:tcPr>
            <w:tcW w:w="25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159,794</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133,378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594,463</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529,729</w:t>
            </w:r>
          </w:p>
        </w:tc>
        <w:tc>
          <w:tcPr>
            <w:tcW w:w="0" w:type="dxa"/>
            <w:vAlign w:val="bottom"/>
          </w:tcPr>
          <w:p>
            <w:pPr>
              <w:spacing w:after="0"/>
              <w:rPr>
                <w:sz w:val="1"/>
                <w:szCs w:val="1"/>
                <w:color w:val="auto"/>
              </w:rPr>
            </w:pPr>
          </w:p>
        </w:tc>
      </w:tr>
      <w:tr>
        <w:trPr>
          <w:trHeight w:val="21"/>
        </w:trPr>
        <w:tc>
          <w:tcPr>
            <w:tcW w:w="25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23,125</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13,755</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76,326</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(65,221)</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13,570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17,190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48,727</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73,666</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(16,345)</w:t>
            </w:r>
          </w:p>
        </w:tc>
        <w:tc>
          <w:tcPr>
            <w:tcW w:w="0" w:type="dxa"/>
            <w:vAlign w:val="bottom"/>
          </w:tcPr>
          <w:p>
            <w:pPr>
              <w:spacing w:after="0"/>
              <w:rPr>
                <w:sz w:val="1"/>
                <w:szCs w:val="1"/>
                <w:color w:val="auto"/>
              </w:rPr>
            </w:pPr>
          </w:p>
        </w:tc>
      </w:tr>
      <w:tr>
        <w:trPr>
          <w:trHeight w:val="273"/>
        </w:trPr>
        <w:tc>
          <w:tcPr>
            <w:tcW w:w="25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(25,663)</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(23,388)</w:t>
            </w:r>
          </w:p>
        </w:tc>
        <w:tc>
          <w:tcPr>
            <w:tcW w:w="0" w:type="dxa"/>
            <w:vAlign w:val="bottom"/>
          </w:tcPr>
          <w:p>
            <w:pPr>
              <w:spacing w:after="0"/>
              <w:rPr>
                <w:sz w:val="1"/>
                <w:szCs w:val="1"/>
                <w:color w:val="auto"/>
              </w:rPr>
            </w:pPr>
          </w:p>
        </w:tc>
      </w:tr>
      <w:tr>
        <w:trPr>
          <w:trHeight w:val="226"/>
        </w:trPr>
        <w:tc>
          <w:tcPr>
            <w:tcW w:w="256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23,710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101,205</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(31,288)</w:t>
            </w:r>
          </w:p>
        </w:tc>
        <w:tc>
          <w:tcPr>
            <w:tcW w:w="0" w:type="dxa"/>
            <w:vAlign w:val="bottom"/>
          </w:tcPr>
          <w:p>
            <w:pPr>
              <w:spacing w:after="0"/>
              <w:rPr>
                <w:sz w:val="1"/>
                <w:szCs w:val="1"/>
                <w:color w:val="auto"/>
              </w:rPr>
            </w:pPr>
          </w:p>
        </w:tc>
      </w:tr>
      <w:tr>
        <w:trPr>
          <w:trHeight w:val="21"/>
        </w:trPr>
        <w:tc>
          <w:tcPr>
            <w:tcW w:w="25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1"/>
        </w:trPr>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23,125</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13,755</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76,326</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61,770</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13,570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17,190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56,662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73,666</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3,283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(3,906)</w:t>
            </w:r>
          </w:p>
        </w:tc>
        <w:tc>
          <w:tcPr>
            <w:tcW w:w="0" w:type="dxa"/>
            <w:vAlign w:val="bottom"/>
          </w:tcPr>
          <w:p>
            <w:pPr>
              <w:spacing w:after="0"/>
              <w:rPr>
                <w:sz w:val="1"/>
                <w:szCs w:val="1"/>
                <w:color w:val="auto"/>
              </w:rPr>
            </w:pPr>
          </w:p>
        </w:tc>
      </w:tr>
      <w:tr>
        <w:trPr>
          <w:trHeight w:val="273"/>
        </w:trPr>
        <w:tc>
          <w:tcPr>
            <w:tcW w:w="25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(25,663)</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(23,388)</w:t>
            </w:r>
          </w:p>
        </w:tc>
        <w:tc>
          <w:tcPr>
            <w:tcW w:w="0" w:type="dxa"/>
            <w:vAlign w:val="bottom"/>
          </w:tcPr>
          <w:p>
            <w:pPr>
              <w:spacing w:after="0"/>
              <w:rPr>
                <w:sz w:val="1"/>
                <w:szCs w:val="1"/>
                <w:color w:val="auto"/>
              </w:rPr>
            </w:pPr>
          </w:p>
        </w:tc>
      </w:tr>
      <w:tr>
        <w:trPr>
          <w:trHeight w:val="226"/>
        </w:trPr>
        <w:tc>
          <w:tcPr>
            <w:tcW w:w="256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23,710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109,140</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108,142</w:t>
            </w:r>
          </w:p>
        </w:tc>
        <w:tc>
          <w:tcPr>
            <w:tcW w:w="0" w:type="dxa"/>
            <w:vAlign w:val="bottom"/>
          </w:tcPr>
          <w:p>
            <w:pPr>
              <w:spacing w:after="0"/>
              <w:rPr>
                <w:sz w:val="1"/>
                <w:szCs w:val="1"/>
                <w:color w:val="auto"/>
              </w:rPr>
            </w:pPr>
          </w:p>
        </w:tc>
      </w:tr>
      <w:tr>
        <w:trPr>
          <w:trHeight w:val="20"/>
        </w:trPr>
        <w:tc>
          <w:tcPr>
            <w:tcW w:w="25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Canada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6,892</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(4,092)</w:t>
            </w:r>
          </w:p>
        </w:tc>
        <w:tc>
          <w:tcPr>
            <w:tcW w:w="200" w:type="dxa"/>
            <w:vAlign w:val="bottom"/>
          </w:tcPr>
          <w:p>
            <w:pPr>
              <w:spacing w:after="0"/>
              <w:rPr>
                <w:sz w:val="23"/>
                <w:szCs w:val="23"/>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12,816</w:t>
            </w:r>
          </w:p>
        </w:tc>
        <w:tc>
          <w:tcPr>
            <w:tcW w:w="2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(146,435)</w:t>
            </w:r>
          </w:p>
        </w:tc>
        <w:tc>
          <w:tcPr>
            <w:tcW w:w="0" w:type="dxa"/>
            <w:vAlign w:val="bottom"/>
          </w:tcPr>
          <w:p>
            <w:pPr>
              <w:spacing w:after="0"/>
              <w:rPr>
                <w:sz w:val="1"/>
                <w:szCs w:val="1"/>
                <w:color w:val="auto"/>
              </w:rPr>
            </w:pPr>
          </w:p>
        </w:tc>
      </w:tr>
      <w:tr>
        <w:trPr>
          <w:trHeight w:val="270"/>
        </w:trPr>
        <w:tc>
          <w:tcPr>
            <w:tcW w:w="256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3,559</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7,303</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27,804</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(8,869)</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(23,151)</w:t>
            </w:r>
          </w:p>
        </w:tc>
        <w:tc>
          <w:tcPr>
            <w:tcW w:w="0" w:type="dxa"/>
            <w:vAlign w:val="bottom"/>
          </w:tcPr>
          <w:p>
            <w:pPr>
              <w:spacing w:after="0"/>
              <w:rPr>
                <w:sz w:val="1"/>
                <w:szCs w:val="1"/>
                <w:color w:val="auto"/>
              </w:rPr>
            </w:pPr>
          </w:p>
        </w:tc>
      </w:tr>
      <w:tr>
        <w:trPr>
          <w:trHeight w:val="270"/>
        </w:trPr>
        <w:tc>
          <w:tcPr>
            <w:tcW w:w="25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1,730</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w:t>
            </w:r>
          </w:p>
        </w:tc>
        <w:tc>
          <w:tcPr>
            <w:tcW w:w="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(5,406)</w:t>
            </w:r>
          </w:p>
        </w:tc>
        <w:tc>
          <w:tcPr>
            <w:tcW w:w="0" w:type="dxa"/>
            <w:vAlign w:val="bottom"/>
          </w:tcPr>
          <w:p>
            <w:pPr>
              <w:spacing w:after="0"/>
              <w:rPr>
                <w:sz w:val="1"/>
                <w:szCs w:val="1"/>
                <w:color w:val="auto"/>
              </w:rPr>
            </w:pPr>
          </w:p>
        </w:tc>
      </w:tr>
      <w:tr>
        <w:trPr>
          <w:trHeight w:val="163"/>
        </w:trPr>
        <w:tc>
          <w:tcPr>
            <w:tcW w:w="2560" w:type="dxa"/>
            <w:vAlign w:val="bottom"/>
          </w:tcPr>
          <w:p>
            <w:pPr>
              <w:ind w:left="460"/>
              <w:spacing w:after="0" w:line="164" w:lineRule="exact"/>
              <w:rPr>
                <w:sz w:val="20"/>
                <w:szCs w:val="20"/>
                <w:color w:val="auto"/>
              </w:rPr>
            </w:pPr>
            <w:r>
              <w:rPr>
                <w:rFonts w:ascii="Arial" w:cs="Arial" w:eastAsia="Arial" w:hAnsi="Arial"/>
                <w:sz w:val="16"/>
                <w:szCs w:val="16"/>
                <w:color w:val="auto"/>
              </w:rPr>
              <w:t>Total operating income</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7,814</w:t>
            </w:r>
          </w:p>
        </w:tc>
        <w:tc>
          <w:tcPr>
            <w:tcW w:w="2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(3,368)</w:t>
            </w:r>
          </w:p>
        </w:tc>
        <w:tc>
          <w:tcPr>
            <w:tcW w:w="2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6,052</w:t>
            </w:r>
          </w:p>
        </w:tc>
        <w:tc>
          <w:tcPr>
            <w:tcW w:w="20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(147,188)</w:t>
            </w:r>
          </w:p>
        </w:tc>
        <w:tc>
          <w:tcPr>
            <w:tcW w:w="0" w:type="dxa"/>
            <w:vAlign w:val="bottom"/>
          </w:tcPr>
          <w:p>
            <w:pPr>
              <w:spacing w:after="0"/>
              <w:rPr>
                <w:sz w:val="1"/>
                <w:szCs w:val="1"/>
                <w:color w:val="auto"/>
              </w:rPr>
            </w:pPr>
          </w:p>
        </w:tc>
      </w:tr>
      <w:tr>
        <w:trPr>
          <w:trHeight w:val="179"/>
        </w:trPr>
        <w:tc>
          <w:tcPr>
            <w:tcW w:w="2560" w:type="dxa"/>
            <w:vAlign w:val="bottom"/>
          </w:tcPr>
          <w:p>
            <w:pPr>
              <w:spacing w:after="0" w:line="174" w:lineRule="exact"/>
              <w:rPr>
                <w:sz w:val="20"/>
                <w:szCs w:val="20"/>
                <w:color w:val="auto"/>
              </w:rPr>
            </w:pPr>
            <w:r>
              <w:rPr>
                <w:rFonts w:ascii="Arial" w:cs="Arial" w:eastAsia="Arial" w:hAnsi="Arial"/>
                <w:sz w:val="16"/>
                <w:szCs w:val="16"/>
                <w:color w:val="auto"/>
              </w:rPr>
              <w:t>(loss)</w:t>
            </w: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1" w:right="1440"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51" w:lineRule="exact"/>
        <w:rPr>
          <w:sz w:val="20"/>
          <w:szCs w:val="20"/>
          <w:color w:val="auto"/>
        </w:rPr>
      </w:pPr>
    </w:p>
    <w:tbl>
      <w:tblPr>
        <w:tblLayout w:type="fixed"/>
        <w:tblInd w:w="2332"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0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9"/>
              </w:rPr>
              <w:t>DECEMBER 31,</w:t>
            </w:r>
          </w:p>
        </w:tc>
      </w:tr>
      <w:tr>
        <w:trPr>
          <w:trHeight w:val="268"/>
        </w:trPr>
        <w:tc>
          <w:tcPr>
            <w:tcW w:w="18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517"/>
        </w:trPr>
        <w:tc>
          <w:tcPr>
            <w:tcW w:w="1800" w:type="dxa"/>
            <w:vAlign w:val="bottom"/>
          </w:tcPr>
          <w:p>
            <w:pPr>
              <w:spacing w:after="0"/>
              <w:rPr>
                <w:sz w:val="20"/>
                <w:szCs w:val="20"/>
                <w:color w:val="auto"/>
              </w:rPr>
            </w:pPr>
            <w:r>
              <w:rPr>
                <w:rFonts w:ascii="Arial" w:cs="Arial" w:eastAsia="Arial" w:hAnsi="Arial"/>
                <w:sz w:val="16"/>
                <w:szCs w:val="16"/>
                <w:color w:val="auto"/>
              </w:rPr>
              <w:t>EBITDA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34,507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23,710</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101,205</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200"/>
              <w:spacing w:after="0"/>
              <w:rPr>
                <w:sz w:val="20"/>
                <w:szCs w:val="20"/>
                <w:color w:val="auto"/>
              </w:rPr>
            </w:pPr>
            <w:r>
              <w:rPr>
                <w:rFonts w:ascii="Arial" w:cs="Arial" w:eastAsia="Arial" w:hAnsi="Arial"/>
                <w:sz w:val="16"/>
                <w:szCs w:val="16"/>
                <w:color w:val="auto"/>
              </w:rPr>
              <w:t>(31,288)</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Adjusted EBITDA (1)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34,507</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23,710</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109,140</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160"/>
              <w:spacing w:after="0"/>
              <w:rPr>
                <w:sz w:val="20"/>
                <w:szCs w:val="20"/>
                <w:color w:val="auto"/>
              </w:rPr>
            </w:pPr>
            <w:r>
              <w:rPr>
                <w:rFonts w:ascii="Arial" w:cs="Arial" w:eastAsia="Arial" w:hAnsi="Arial"/>
                <w:sz w:val="16"/>
                <w:szCs w:val="16"/>
                <w:color w:val="auto"/>
              </w:rPr>
              <w:t>108,142</w:t>
            </w:r>
          </w:p>
        </w:tc>
      </w:tr>
      <w:tr>
        <w:trPr>
          <w:trHeight w:val="270"/>
        </w:trPr>
        <w:tc>
          <w:tcPr>
            <w:tcW w:w="1800" w:type="dxa"/>
            <w:vAlign w:val="bottom"/>
          </w:tcPr>
          <w:p>
            <w:pPr>
              <w:spacing w:after="0"/>
              <w:rPr>
                <w:sz w:val="20"/>
                <w:szCs w:val="20"/>
                <w:color w:val="auto"/>
              </w:rPr>
            </w:pPr>
            <w:r>
              <w:rPr>
                <w:rFonts w:ascii="Arial" w:cs="Arial" w:eastAsia="Arial" w:hAnsi="Arial"/>
                <w:sz w:val="16"/>
                <w:szCs w:val="16"/>
                <w:color w:val="auto"/>
              </w:rPr>
              <w:t>Free Cash Flow (2)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26,128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33,201</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87,269</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160"/>
              <w:spacing w:after="0"/>
              <w:rPr>
                <w:sz w:val="20"/>
                <w:szCs w:val="20"/>
                <w:color w:val="auto"/>
              </w:rPr>
            </w:pPr>
            <w:r>
              <w:rPr>
                <w:rFonts w:ascii="Arial" w:cs="Arial" w:eastAsia="Arial" w:hAnsi="Arial"/>
                <w:sz w:val="16"/>
                <w:szCs w:val="16"/>
                <w:color w:val="auto"/>
              </w:rPr>
              <w:t>110,968</w:t>
            </w:r>
          </w:p>
        </w:tc>
      </w:tr>
    </w:tbl>
    <w:p>
      <w:pPr>
        <w:spacing w:after="0" w:line="345" w:lineRule="exact"/>
        <w:rPr>
          <w:sz w:val="20"/>
          <w:szCs w:val="20"/>
          <w:color w:val="auto"/>
        </w:rPr>
      </w:pPr>
    </w:p>
    <w:p>
      <w:pPr>
        <w:ind w:left="332" w:hanging="332"/>
        <w:spacing w:after="0" w:line="248"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 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1" w:lineRule="exact"/>
        <w:rPr>
          <w:rFonts w:ascii="Arial" w:cs="Arial" w:eastAsia="Arial" w:hAnsi="Arial"/>
          <w:sz w:val="16"/>
          <w:szCs w:val="16"/>
          <w:color w:val="auto"/>
        </w:rPr>
      </w:pPr>
    </w:p>
    <w:p>
      <w:pPr>
        <w:ind w:left="332" w:right="22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266" w:lineRule="exact"/>
        <w:rPr>
          <w:sz w:val="20"/>
          <w:szCs w:val="20"/>
          <w:color w:val="auto"/>
        </w:rPr>
      </w:pPr>
    </w:p>
    <w:tbl>
      <w:tblPr>
        <w:tblLayout w:type="fixed"/>
        <w:tblInd w:w="1372"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DECEMBER 31,</w:t>
            </w:r>
          </w:p>
        </w:tc>
      </w:tr>
      <w:tr>
        <w:trPr>
          <w:trHeight w:val="265"/>
        </w:trPr>
        <w:tc>
          <w:tcPr>
            <w:tcW w:w="36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433"/>
        </w:trPr>
        <w:tc>
          <w:tcPr>
            <w:tcW w:w="360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3600" w:type="dxa"/>
            <w:vAlign w:val="bottom"/>
          </w:tcPr>
          <w:p>
            <w:pPr>
              <w:spacing w:after="0"/>
              <w:rPr>
                <w:sz w:val="20"/>
                <w:szCs w:val="20"/>
                <w:color w:val="auto"/>
              </w:rPr>
            </w:pPr>
            <w:r>
              <w:rPr>
                <w:rFonts w:ascii="Arial" w:cs="Arial" w:eastAsia="Arial" w:hAnsi="Arial"/>
                <w:sz w:val="16"/>
                <w:szCs w:val="16"/>
                <w:color w:val="auto"/>
              </w:rPr>
              <w:t>Corporation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10,277</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(1,776)</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60" w:type="dxa"/>
            <w:vAlign w:val="bottom"/>
          </w:tcPr>
          <w:p>
            <w:pPr>
              <w:spacing w:after="0"/>
              <w:rPr>
                <w:sz w:val="16"/>
                <w:szCs w:val="16"/>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(134,250)</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1,022</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(2,126)</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3,376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(10,635)</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20,173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24,020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83,101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96,547</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73"/>
        </w:trPr>
        <w:tc>
          <w:tcPr>
            <w:tcW w:w="3600" w:type="dxa"/>
            <w:vAlign w:val="bottom"/>
          </w:tcPr>
          <w:p>
            <w:pPr>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3,035</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3,592</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12,964</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16,687</w:t>
            </w:r>
          </w:p>
        </w:tc>
      </w:tr>
      <w:tr>
        <w:trPr>
          <w:trHeight w:val="247"/>
        </w:trPr>
        <w:tc>
          <w:tcPr>
            <w:tcW w:w="3600" w:type="dxa"/>
            <w:vAlign w:val="bottom"/>
          </w:tcPr>
          <w:p>
            <w:pPr>
              <w:ind w:left="220"/>
              <w:spacing w:after="0"/>
              <w:rPr>
                <w:sz w:val="20"/>
                <w:szCs w:val="20"/>
                <w:color w:val="auto"/>
              </w:rPr>
            </w:pPr>
            <w:r>
              <w:rPr>
                <w:rFonts w:ascii="Arial" w:cs="Arial" w:eastAsia="Arial" w:hAnsi="Arial"/>
                <w:sz w:val="16"/>
                <w:szCs w:val="16"/>
                <w:color w:val="auto"/>
              </w:rPr>
              <w:t>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23,710</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101,205</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(31,288)</w:t>
            </w:r>
          </w:p>
        </w:tc>
      </w:tr>
      <w:tr>
        <w:trPr>
          <w:trHeight w:val="250"/>
        </w:trPr>
        <w:tc>
          <w:tcPr>
            <w:tcW w:w="3600" w:type="dxa"/>
            <w:vAlign w:val="bottom"/>
          </w:tcPr>
          <w:p>
            <w:pPr>
              <w:spacing w:after="0"/>
              <w:rPr>
                <w:sz w:val="20"/>
                <w:szCs w:val="20"/>
                <w:color w:val="auto"/>
              </w:rPr>
            </w:pPr>
            <w:r>
              <w:rPr>
                <w:rFonts w:ascii="Arial" w:cs="Arial" w:eastAsia="Arial" w:hAnsi="Arial"/>
                <w:sz w:val="16"/>
                <w:szCs w:val="16"/>
                <w:color w:val="auto"/>
              </w:rPr>
              <w:t>Adjustments to EBITDA</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36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1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7,935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50,514</w:t>
            </w:r>
          </w:p>
        </w:tc>
      </w:tr>
      <w:tr>
        <w:trPr>
          <w:trHeight w:val="270"/>
        </w:trPr>
        <w:tc>
          <w:tcPr>
            <w:tcW w:w="3600" w:type="dxa"/>
            <w:vAlign w:val="bottom"/>
          </w:tcPr>
          <w:p>
            <w:pPr>
              <w:ind w:left="200"/>
              <w:spacing w:after="0"/>
              <w:rPr>
                <w:sz w:val="20"/>
                <w:szCs w:val="20"/>
                <w:color w:val="auto"/>
              </w:rPr>
            </w:pPr>
            <w:r>
              <w:rPr>
                <w:rFonts w:ascii="Arial" w:cs="Arial" w:eastAsia="Arial" w:hAnsi="Arial"/>
                <w:sz w:val="16"/>
                <w:szCs w:val="16"/>
                <w:color w:val="auto"/>
              </w:rPr>
              <w:t>Impairment of goodwill (b)</w:t>
            </w:r>
          </w:p>
        </w:tc>
        <w:tc>
          <w:tcPr>
            <w:tcW w:w="1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93,606</w:t>
            </w:r>
          </w:p>
        </w:tc>
      </w:tr>
      <w:tr>
        <w:trPr>
          <w:trHeight w:val="183"/>
        </w:trPr>
        <w:tc>
          <w:tcPr>
            <w:tcW w:w="3600" w:type="dxa"/>
            <w:vAlign w:val="bottom"/>
          </w:tcPr>
          <w:p>
            <w:pPr>
              <w:ind w:left="220"/>
              <w:spacing w:after="0"/>
              <w:rPr>
                <w:sz w:val="20"/>
                <w:szCs w:val="20"/>
                <w:color w:val="auto"/>
              </w:rPr>
            </w:pPr>
            <w:r>
              <w:rPr>
                <w:rFonts w:ascii="Arial" w:cs="Arial" w:eastAsia="Arial" w:hAnsi="Arial"/>
                <w:sz w:val="16"/>
                <w:szCs w:val="16"/>
                <w:color w:val="auto"/>
              </w:rPr>
              <w:t>Representations and warranties settlement</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3600" w:type="dxa"/>
            <w:vAlign w:val="bottom"/>
          </w:tcPr>
          <w:p>
            <w:pPr>
              <w:spacing w:after="0"/>
              <w:rPr>
                <w:sz w:val="20"/>
                <w:szCs w:val="20"/>
                <w:color w:val="auto"/>
              </w:rPr>
            </w:pPr>
            <w:r>
              <w:rPr>
                <w:rFonts w:ascii="Arial" w:cs="Arial" w:eastAsia="Arial" w:hAnsi="Arial"/>
                <w:sz w:val="16"/>
                <w:szCs w:val="16"/>
                <w:color w:val="auto"/>
              </w:rPr>
              <w:t>(c)</w:t>
            </w:r>
          </w:p>
        </w:tc>
        <w:tc>
          <w:tcPr>
            <w:tcW w:w="16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(4,690)</w:t>
            </w:r>
          </w:p>
        </w:tc>
      </w:tr>
      <w:tr>
        <w:trPr>
          <w:trHeight w:val="226"/>
        </w:trPr>
        <w:tc>
          <w:tcPr>
            <w:tcW w:w="36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34,507</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23,710</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109,140</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108,142</w:t>
            </w: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652" w:right="80" w:hanging="328"/>
        <w:spacing w:after="0" w:line="253"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second quarter of 2021 and the first quarter of 2020. In the second quarter of 2021, we recorded a pre-tax loss related to the impairment of long-lived assets in our Australian segment of $7.9 million, which is included in Impairment expense on the unaudited statements of operations.</w:t>
      </w:r>
    </w:p>
    <w:p>
      <w:pPr>
        <w:spacing w:after="0" w:line="228" w:lineRule="exact"/>
        <w:rPr>
          <w:rFonts w:ascii="Arial" w:cs="Arial" w:eastAsia="Arial" w:hAnsi="Arial"/>
          <w:sz w:val="16"/>
          <w:szCs w:val="16"/>
          <w:color w:val="auto"/>
        </w:rPr>
      </w:pPr>
    </w:p>
    <w:p>
      <w:pPr>
        <w:ind w:left="652"/>
        <w:spacing w:after="0" w:line="253" w:lineRule="auto"/>
        <w:rPr>
          <w:rFonts w:ascii="Arial" w:cs="Arial" w:eastAsia="Arial" w:hAnsi="Arial"/>
          <w:sz w:val="16"/>
          <w:szCs w:val="16"/>
          <w:color w:val="auto"/>
        </w:rPr>
      </w:pPr>
      <w:r>
        <w:rPr>
          <w:rFonts w:ascii="Arial" w:cs="Arial" w:eastAsia="Arial" w:hAnsi="Arial"/>
          <w:sz w:val="16"/>
          <w:szCs w:val="16"/>
          <w:color w:val="auto"/>
        </w:rPr>
        <w:t>In the first quarter of 2020, we recorded a pre-tax loss related to the impairment of long-lived assets in our Canadian segment of $38.1 million and a pre-tax loss related to the impairment of long-lived assets in our U.S. segment of $12.4 million, which is included in Impairment expense on the unaudited statements of operations.</w:t>
      </w:r>
    </w:p>
    <w:p>
      <w:pPr>
        <w:sectPr>
          <w:pgSz w:w="11900" w:h="16838" w:orient="portrait"/>
          <w:cols w:equalWidth="0" w:num="1">
            <w:col w:w="11212"/>
          </w:cols>
          <w:pgMar w:left="328" w:top="891" w:right="359" w:bottom="1440" w:gutter="0" w:footer="0" w:header="0"/>
        </w:sectPr>
      </w:pPr>
    </w:p>
    <w:bookmarkStart w:id="12" w:name="page13"/>
    <w:bookmarkEnd w:id="12"/>
    <w:p>
      <w:pPr>
        <w:ind w:left="652" w:right="100" w:hanging="328"/>
        <w:spacing w:after="0" w:line="260"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recorded in the first quarter of 2020. The $93.6 million impairment is related to our Canada reporting unit and is included in Impairment expense on the statements of operations.</w:t>
      </w:r>
    </w:p>
    <w:p>
      <w:pPr>
        <w:spacing w:after="0" w:line="222" w:lineRule="exact"/>
        <w:rPr>
          <w:rFonts w:ascii="Arial" w:cs="Arial" w:eastAsia="Arial" w:hAnsi="Arial"/>
          <w:sz w:val="16"/>
          <w:szCs w:val="16"/>
          <w:color w:val="auto"/>
        </w:rPr>
      </w:pPr>
    </w:p>
    <w:p>
      <w:pPr>
        <w:ind w:left="652" w:right="120" w:hanging="328"/>
        <w:spacing w:after="0" w:line="260"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second quarter of 2020, we recorded $4.7 million of income associated with the settlement of a representations and warranties claim related to the Noralta acquisition, which is included in Other income on the unaudited statements of operations.</w:t>
      </w:r>
    </w:p>
    <w:p>
      <w:pPr>
        <w:spacing w:after="0" w:line="222" w:lineRule="exact"/>
        <w:rPr>
          <w:rFonts w:ascii="Arial" w:cs="Arial" w:eastAsia="Arial" w:hAnsi="Arial"/>
          <w:sz w:val="16"/>
          <w:szCs w:val="16"/>
          <w:color w:val="auto"/>
        </w:rPr>
      </w:pPr>
    </w:p>
    <w:p>
      <w:pPr>
        <w:ind w:left="332" w:hanging="332"/>
        <w:spacing w:after="0" w:line="24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34" w:lineRule="exact"/>
        <w:rPr>
          <w:rFonts w:ascii="Arial" w:cs="Arial" w:eastAsia="Arial" w:hAnsi="Arial"/>
          <w:sz w:val="16"/>
          <w:szCs w:val="16"/>
          <w:color w:val="auto"/>
        </w:rPr>
      </w:pPr>
    </w:p>
    <w:p>
      <w:pPr>
        <w:ind w:left="332" w:right="76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6"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6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DECEMBER 31,</w:t>
            </w:r>
          </w:p>
        </w:tc>
      </w:tr>
      <w:tr>
        <w:trPr>
          <w:trHeight w:val="268"/>
        </w:trPr>
        <w:tc>
          <w:tcPr>
            <w:tcW w:w="4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517"/>
        </w:trPr>
        <w:tc>
          <w:tcPr>
            <w:tcW w:w="42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25,293</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36,686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199"/>
              <w:spacing w:after="0"/>
              <w:rPr>
                <w:sz w:val="20"/>
                <w:szCs w:val="20"/>
                <w:color w:val="auto"/>
              </w:rPr>
            </w:pPr>
            <w:r>
              <w:rPr>
                <w:rFonts w:ascii="Arial" w:cs="Arial" w:eastAsia="Arial" w:hAnsi="Arial"/>
                <w:sz w:val="16"/>
                <w:szCs w:val="16"/>
                <w:color w:val="auto"/>
                <w:w w:val="98"/>
              </w:rPr>
              <w:t>88,534</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117,361</w:t>
            </w:r>
          </w:p>
        </w:tc>
      </w:tr>
      <w:tr>
        <w:trPr>
          <w:trHeight w:val="270"/>
        </w:trPr>
        <w:tc>
          <w:tcPr>
            <w:tcW w:w="42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center"/>
              <w:ind w:left="179"/>
              <w:spacing w:after="0"/>
              <w:rPr>
                <w:sz w:val="20"/>
                <w:szCs w:val="20"/>
                <w:color w:val="auto"/>
              </w:rPr>
            </w:pPr>
            <w:r>
              <w:rPr>
                <w:rFonts w:ascii="Arial" w:cs="Arial" w:eastAsia="Arial" w:hAnsi="Arial"/>
                <w:sz w:val="16"/>
                <w:szCs w:val="16"/>
                <w:color w:val="auto"/>
              </w:rPr>
              <w:t>(15,571)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(10,083)</w:t>
            </w:r>
          </w:p>
        </w:tc>
      </w:tr>
      <w:tr>
        <w:trPr>
          <w:trHeight w:val="183"/>
        </w:trPr>
        <w:tc>
          <w:tcPr>
            <w:tcW w:w="4200" w:type="dxa"/>
            <w:vAlign w:val="bottom"/>
          </w:tcPr>
          <w:p>
            <w:pPr>
              <w:ind w:left="240"/>
              <w:spacing w:after="0"/>
              <w:rPr>
                <w:sz w:val="20"/>
                <w:szCs w:val="20"/>
                <w:color w:val="auto"/>
              </w:rPr>
            </w:pPr>
            <w:r>
              <w:rPr>
                <w:rFonts w:ascii="Arial" w:cs="Arial" w:eastAsia="Arial" w:hAnsi="Arial"/>
                <w:sz w:val="16"/>
                <w:szCs w:val="16"/>
                <w:color w:val="auto"/>
              </w:rPr>
              <w:t>Proceeds from disposition of property, plant and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8"/>
        </w:trPr>
        <w:tc>
          <w:tcPr>
            <w:tcW w:w="4200" w:type="dxa"/>
            <w:vAlign w:val="bottom"/>
          </w:tcPr>
          <w:p>
            <w:pPr>
              <w:spacing w:after="0"/>
              <w:rPr>
                <w:sz w:val="20"/>
                <w:szCs w:val="20"/>
                <w:color w:val="auto"/>
              </w:rPr>
            </w:pPr>
            <w:r>
              <w:rPr>
                <w:rFonts w:ascii="Arial" w:cs="Arial" w:eastAsia="Arial" w:hAnsi="Arial"/>
                <w:sz w:val="16"/>
                <w:szCs w:val="16"/>
                <w:color w:val="auto"/>
              </w:rPr>
              <w:t>equipment</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6,761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354</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8"/>
              </w:rPr>
              <w:t>14,306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w:t>
            </w:r>
          </w:p>
        </w:tc>
      </w:tr>
      <w:tr>
        <w:trPr>
          <w:trHeight w:val="226"/>
        </w:trPr>
        <w:tc>
          <w:tcPr>
            <w:tcW w:w="4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26,128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33,201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8"/>
              </w:rPr>
              <w:t>87,269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110,968</w:t>
            </w: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32"/>
          </w:cols>
          <w:pgMar w:left="328" w:top="911" w:right="339" w:bottom="1440" w:gutter="0" w:footer="0" w:header="0"/>
        </w:sectPr>
      </w:pPr>
    </w:p>
    <w:bookmarkStart w:id="13" w:name="page14"/>
    <w:bookmarkEnd w:id="13"/>
    <w:p>
      <w:pPr>
        <w:jc w:val="center"/>
        <w:ind w:right="27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72"/>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48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848"/>
        <w:spacing w:after="0"/>
        <w:rPr>
          <w:sz w:val="20"/>
          <w:szCs w:val="20"/>
          <w:color w:val="auto"/>
        </w:rPr>
      </w:pPr>
      <w:r>
        <w:rPr>
          <w:rFonts w:ascii="Arial" w:cs="Arial" w:eastAsia="Arial" w:hAnsi="Arial"/>
          <w:sz w:val="16"/>
          <w:szCs w:val="16"/>
          <w:b w:val="1"/>
          <w:bCs w:val="1"/>
          <w:color w:val="auto"/>
        </w:rPr>
        <w:t>(unaudited)</w:t>
      </w:r>
    </w:p>
    <w:p>
      <w:pPr>
        <w:spacing w:after="0" w:line="348" w:lineRule="exact"/>
        <w:rPr>
          <w:sz w:val="20"/>
          <w:szCs w:val="20"/>
          <w:color w:val="auto"/>
        </w:rPr>
      </w:pPr>
    </w:p>
    <w:p>
      <w:pPr>
        <w:ind w:left="5928"/>
        <w:spacing w:after="0"/>
        <w:rPr>
          <w:sz w:val="20"/>
          <w:szCs w:val="20"/>
          <w:color w:val="auto"/>
        </w:rPr>
      </w:pPr>
      <w:r>
        <w:rPr>
          <w:rFonts w:ascii="Arial" w:cs="Arial" w:eastAsia="Arial" w:hAnsi="Arial"/>
          <w:sz w:val="16"/>
          <w:szCs w:val="16"/>
          <w:b w:val="1"/>
          <w:bCs w:val="1"/>
          <w:color w:val="auto"/>
        </w:rPr>
        <w:t>YEAR ENDING</w:t>
      </w:r>
    </w:p>
    <w:p>
      <w:pPr>
        <w:ind w:left="5708"/>
        <w:spacing w:after="0"/>
        <w:rPr>
          <w:sz w:val="20"/>
          <w:szCs w:val="20"/>
          <w:color w:val="auto"/>
        </w:rPr>
      </w:pPr>
      <w:r>
        <w:rPr>
          <w:rFonts w:ascii="Arial" w:cs="Arial" w:eastAsia="Arial" w:hAnsi="Arial"/>
          <w:sz w:val="16"/>
          <w:szCs w:val="16"/>
          <w:b w:val="1"/>
          <w:bCs w:val="1"/>
          <w:color w:val="auto"/>
        </w:rPr>
        <w:t>DECEMBER 31, 2022</w:t>
      </w:r>
    </w:p>
    <w:p>
      <w:pPr>
        <w:spacing w:after="0" w:line="167" w:lineRule="exact"/>
        <w:rPr>
          <w:sz w:val="20"/>
          <w:szCs w:val="20"/>
          <w:color w:val="auto"/>
        </w:rPr>
      </w:pPr>
    </w:p>
    <w:p>
      <w:pPr>
        <w:ind w:left="2908"/>
        <w:spacing w:after="0"/>
        <w:tabs>
          <w:tab w:leader="none" w:pos="5328" w:val="left"/>
          <w:tab w:leader="none" w:pos="5988" w:val="left"/>
          <w:tab w:leader="none" w:pos="6588" w:val="left"/>
          <w:tab w:leader="none" w:pos="7268" w:val="left"/>
        </w:tabs>
        <w:rPr>
          <w:sz w:val="20"/>
          <w:szCs w:val="20"/>
          <w:color w:val="auto"/>
        </w:rPr>
      </w:pPr>
      <w:r>
        <w:rPr>
          <w:rFonts w:ascii="Arial" w:cs="Arial" w:eastAsia="Arial" w:hAnsi="Arial"/>
          <w:sz w:val="16"/>
          <w:szCs w:val="16"/>
          <w:color w:val="auto"/>
        </w:rPr>
        <w:t>EBITDA Range (1)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90.0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95.0</w:t>
      </w:r>
    </w:p>
    <w:p>
      <w:pPr>
        <w:spacing w:after="0" w:line="356" w:lineRule="exact"/>
        <w:rPr>
          <w:sz w:val="20"/>
          <w:szCs w:val="20"/>
          <w:color w:val="auto"/>
        </w:rPr>
      </w:pPr>
    </w:p>
    <w:p>
      <w:pPr>
        <w:ind w:left="328" w:hanging="328"/>
        <w:spacing w:after="0" w:line="260"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to estimated net loss, which is the most directly comparable measure of financial performance calculated under generally accepted accounting principles (in millions) (unaudited):</w:t>
      </w:r>
    </w:p>
    <w:p>
      <w:pPr>
        <w:spacing w:after="0" w:line="322" w:lineRule="exact"/>
        <w:rPr>
          <w:sz w:val="20"/>
          <w:szCs w:val="20"/>
          <w:color w:val="auto"/>
        </w:rPr>
      </w:pPr>
    </w:p>
    <w:p>
      <w:pPr>
        <w:ind w:left="5968"/>
        <w:spacing w:after="0"/>
        <w:rPr>
          <w:sz w:val="20"/>
          <w:szCs w:val="20"/>
          <w:color w:val="auto"/>
        </w:rPr>
      </w:pPr>
      <w:r>
        <w:rPr>
          <w:rFonts w:ascii="Arial" w:cs="Arial" w:eastAsia="Arial" w:hAnsi="Arial"/>
          <w:sz w:val="16"/>
          <w:szCs w:val="16"/>
          <w:b w:val="1"/>
          <w:bCs w:val="1"/>
          <w:color w:val="auto"/>
        </w:rPr>
        <w:t>YEAR ENDING</w:t>
      </w:r>
    </w:p>
    <w:p>
      <w:pPr>
        <w:ind w:left="5748"/>
        <w:spacing w:after="0"/>
        <w:rPr>
          <w:sz w:val="20"/>
          <w:szCs w:val="20"/>
          <w:color w:val="auto"/>
        </w:rPr>
      </w:pPr>
      <w:r>
        <w:rPr>
          <w:rFonts w:ascii="Arial" w:cs="Arial" w:eastAsia="Arial" w:hAnsi="Arial"/>
          <w:sz w:val="16"/>
          <w:szCs w:val="16"/>
          <w:b w:val="1"/>
          <w:bCs w:val="1"/>
          <w:color w:val="auto"/>
        </w:rPr>
        <w:t>DECEMBER 31, 2022</w:t>
      </w:r>
    </w:p>
    <w:p>
      <w:pPr>
        <w:spacing w:after="0" w:line="147" w:lineRule="exact"/>
        <w:rPr>
          <w:sz w:val="20"/>
          <w:szCs w:val="20"/>
          <w:color w:val="auto"/>
        </w:rPr>
      </w:pPr>
    </w:p>
    <w:p>
      <w:pPr>
        <w:ind w:left="6108"/>
        <w:spacing w:after="0"/>
        <w:rPr>
          <w:sz w:val="20"/>
          <w:szCs w:val="20"/>
          <w:color w:val="auto"/>
        </w:rPr>
      </w:pPr>
      <w:r>
        <w:rPr>
          <w:rFonts w:ascii="Arial" w:cs="Arial" w:eastAsia="Arial" w:hAnsi="Arial"/>
          <w:sz w:val="16"/>
          <w:szCs w:val="16"/>
          <w:b w:val="1"/>
          <w:bCs w:val="1"/>
          <w:color w:val="auto"/>
        </w:rPr>
        <w:t>(estimated)</w:t>
      </w:r>
    </w:p>
    <w:p>
      <w:pPr>
        <w:spacing w:after="0" w:line="376" w:lineRule="exact"/>
        <w:rPr>
          <w:sz w:val="20"/>
          <w:szCs w:val="20"/>
          <w:color w:val="auto"/>
        </w:rPr>
      </w:pPr>
    </w:p>
    <w:tbl>
      <w:tblPr>
        <w:tblLayout w:type="fixed"/>
        <w:tblInd w:w="2688" w:type="dxa"/>
        <w:tblCellMar>
          <w:top w:w="0" w:type="dxa"/>
          <w:left w:w="0" w:type="dxa"/>
          <w:bottom w:w="0" w:type="dxa"/>
          <w:right w:w="0" w:type="dxa"/>
        </w:tblCellMar>
      </w:tblPr>
      <w:tr>
        <w:trPr>
          <w:trHeight w:val="195"/>
        </w:trPr>
        <w:tc>
          <w:tcPr>
            <w:tcW w:w="2500" w:type="dxa"/>
            <w:vAlign w:val="bottom"/>
          </w:tcPr>
          <w:p>
            <w:pPr>
              <w:spacing w:after="0"/>
              <w:rPr>
                <w:sz w:val="20"/>
                <w:szCs w:val="20"/>
                <w:color w:val="auto"/>
              </w:rPr>
            </w:pPr>
            <w:r>
              <w:rPr>
                <w:rFonts w:ascii="Arial" w:cs="Arial" w:eastAsia="Arial" w:hAnsi="Arial"/>
                <w:sz w:val="16"/>
                <w:szCs w:val="16"/>
                <w:color w:val="auto"/>
              </w:rPr>
              <w:t>Net loss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16"/>
                <w:szCs w:val="16"/>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Income tax provision</w:t>
            </w:r>
          </w:p>
        </w:tc>
        <w:tc>
          <w:tcPr>
            <w:tcW w:w="4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270"/>
        </w:trPr>
        <w:tc>
          <w:tcPr>
            <w:tcW w:w="25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80.0</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80.0</w:t>
            </w:r>
          </w:p>
        </w:tc>
      </w:tr>
      <w:tr>
        <w:trPr>
          <w:trHeight w:val="273"/>
        </w:trPr>
        <w:tc>
          <w:tcPr>
            <w:tcW w:w="2500" w:type="dxa"/>
            <w:vAlign w:val="bottom"/>
          </w:tcPr>
          <w:p>
            <w:pPr>
              <w:spacing w:after="0"/>
              <w:rPr>
                <w:sz w:val="20"/>
                <w:szCs w:val="20"/>
                <w:color w:val="auto"/>
              </w:rPr>
            </w:pPr>
            <w:r>
              <w:rPr>
                <w:rFonts w:ascii="Arial" w:cs="Arial" w:eastAsia="Arial" w:hAnsi="Arial"/>
                <w:sz w:val="16"/>
                <w:szCs w:val="16"/>
                <w:color w:val="auto"/>
              </w:rPr>
              <w:t>Interest expense</w:t>
            </w: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w:t>
            </w:r>
          </w:p>
        </w:tc>
      </w:tr>
      <w:tr>
        <w:trPr>
          <w:trHeight w:val="226"/>
        </w:trPr>
        <w:tc>
          <w:tcPr>
            <w:tcW w:w="2500" w:type="dxa"/>
            <w:vAlign w:val="bottom"/>
          </w:tcPr>
          <w:p>
            <w:pPr>
              <w:ind w:left="220"/>
              <w:spacing w:after="0"/>
              <w:rPr>
                <w:sz w:val="20"/>
                <w:szCs w:val="20"/>
                <w:color w:val="auto"/>
              </w:rPr>
            </w:pPr>
            <w:r>
              <w:rPr>
                <w:rFonts w:ascii="Arial" w:cs="Arial" w:eastAsia="Arial" w:hAnsi="Arial"/>
                <w:sz w:val="16"/>
                <w:szCs w:val="16"/>
                <w:color w:val="auto"/>
              </w:rPr>
              <w:t>EBITDA</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90.0</w:t>
            </w:r>
          </w:p>
        </w:tc>
        <w:tc>
          <w:tcPr>
            <w:tcW w:w="18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95.0</w:t>
            </w:r>
          </w:p>
        </w:tc>
      </w:tr>
      <w:tr>
        <w:trPr>
          <w:trHeight w:val="21"/>
        </w:trPr>
        <w:tc>
          <w:tcPr>
            <w:tcW w:w="2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68"/>
          </w:cols>
          <w:pgMar w:left="652" w:top="1134" w:right="379" w:bottom="1440" w:gutter="0" w:footer="0" w:header="0"/>
        </w:sectPr>
      </w:pPr>
    </w:p>
    <w:bookmarkStart w:id="14" w:name="page15"/>
    <w:bookmarkEnd w:id="14"/>
    <w:p>
      <w:pPr>
        <w:jc w:val="center"/>
        <w:ind w:right="-17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346" w:lineRule="exact"/>
        <w:rPr>
          <w:sz w:val="20"/>
          <w:szCs w:val="20"/>
          <w:color w:val="auto"/>
        </w:rPr>
      </w:pPr>
    </w:p>
    <w:tbl>
      <w:tblPr>
        <w:tblLayout w:type="fixed"/>
        <w:tblInd w:w="130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22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TWELVE MONTHS ENDED</w:t>
            </w:r>
          </w:p>
        </w:tc>
      </w:tr>
      <w:tr>
        <w:trPr>
          <w:trHeight w:val="215"/>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22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r>
      <w:tr>
        <w:trPr>
          <w:trHeight w:val="265"/>
        </w:trPr>
        <w:tc>
          <w:tcPr>
            <w:tcW w:w="3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71"/>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Canadian</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Revenues</w:t>
            </w: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62,726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46,466</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239,526</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202,534</w:t>
            </w:r>
          </w:p>
        </w:tc>
      </w:tr>
      <w:tr>
        <w:trPr>
          <w:trHeight w:val="270"/>
        </w:trPr>
        <w:tc>
          <w:tcPr>
            <w:tcW w:w="374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24,616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11,477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62,856</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33,192</w:t>
            </w:r>
          </w:p>
        </w:tc>
      </w:tr>
      <w:tr>
        <w:trPr>
          <w:trHeight w:val="273"/>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7,587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18,996</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33,923</w:t>
            </w:r>
          </w:p>
        </w:tc>
      </w:tr>
      <w:tr>
        <w:trPr>
          <w:trHeight w:val="247"/>
        </w:trPr>
        <w:tc>
          <w:tcPr>
            <w:tcW w:w="374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92,155</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65,530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321,378</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269,649</w:t>
            </w: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45,273</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34,070</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170,071</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143,213</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15,009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7,743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38,571</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24,842</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4,167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6,843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16,750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30,616</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2,529</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2,497</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10,027</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10,612</w:t>
            </w:r>
          </w:p>
        </w:tc>
      </w:tr>
      <w:tr>
        <w:trPr>
          <w:trHeight w:val="163"/>
        </w:trPr>
        <w:tc>
          <w:tcPr>
            <w:tcW w:w="3740" w:type="dxa"/>
            <w:vAlign w:val="bottom"/>
          </w:tcPr>
          <w:p>
            <w:pPr>
              <w:ind w:left="640"/>
              <w:spacing w:after="0" w:line="164" w:lineRule="exact"/>
              <w:rPr>
                <w:sz w:val="20"/>
                <w:szCs w:val="20"/>
                <w:color w:val="auto"/>
              </w:rPr>
            </w:pPr>
            <w:r>
              <w:rPr>
                <w:rFonts w:ascii="Arial" w:cs="Arial" w:eastAsia="Arial" w:hAnsi="Arial"/>
                <w:sz w:val="16"/>
                <w:szCs w:val="16"/>
                <w:color w:val="auto"/>
              </w:rPr>
              <w:t>Total Canadian cost of sales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66,978</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51,153</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235,419</w:t>
            </w:r>
          </w:p>
        </w:tc>
        <w:tc>
          <w:tcPr>
            <w:tcW w:w="2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209,283</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588,473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469,116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2,404,880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2,095,784</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0.794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0.768</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0.798</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0.746</w:t>
            </w:r>
          </w:p>
        </w:tc>
      </w:tr>
      <w:tr>
        <w:trPr>
          <w:trHeight w:val="453"/>
        </w:trPr>
        <w:tc>
          <w:tcPr>
            <w:tcW w:w="3740" w:type="dxa"/>
            <w:vAlign w:val="bottom"/>
          </w:tcPr>
          <w:p>
            <w:pPr>
              <w:spacing w:after="0"/>
              <w:rPr>
                <w:sz w:val="20"/>
                <w:szCs w:val="20"/>
                <w:color w:val="auto"/>
              </w:rPr>
            </w:pPr>
            <w:r>
              <w:rPr>
                <w:rFonts w:ascii="Arial" w:cs="Arial" w:eastAsia="Arial" w:hAnsi="Arial"/>
                <w:sz w:val="16"/>
                <w:szCs w:val="16"/>
                <w:color w:val="auto"/>
              </w:rPr>
              <w:t>Supplemental Operating Data - Australian</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5"/>
        </w:trPr>
        <w:tc>
          <w:tcPr>
            <w:tcW w:w="3740" w:type="dxa"/>
            <w:vAlign w:val="bottom"/>
          </w:tcPr>
          <w:p>
            <w:pPr>
              <w:spacing w:after="0"/>
              <w:rPr>
                <w:sz w:val="20"/>
                <w:szCs w:val="20"/>
                <w:color w:val="auto"/>
              </w:rPr>
            </w:pPr>
            <w:r>
              <w:rPr>
                <w:rFonts w:ascii="Arial" w:cs="Arial" w:eastAsia="Arial" w:hAnsi="Arial"/>
                <w:sz w:val="16"/>
                <w:szCs w:val="16"/>
                <w:color w:val="auto"/>
              </w:rPr>
              <w:t>Segment</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35,776</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37,082</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145,335</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144,070</w:t>
            </w:r>
          </w:p>
        </w:tc>
      </w:tr>
      <w:tr>
        <w:trPr>
          <w:trHeight w:val="273"/>
        </w:trPr>
        <w:tc>
          <w:tcPr>
            <w:tcW w:w="374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26,524</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26,591</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105,739</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90,472</w:t>
            </w:r>
          </w:p>
        </w:tc>
      </w:tr>
      <w:tr>
        <w:trPr>
          <w:trHeight w:val="247"/>
        </w:trPr>
        <w:tc>
          <w:tcPr>
            <w:tcW w:w="374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62,300</w:t>
            </w:r>
          </w:p>
        </w:tc>
        <w:tc>
          <w:tcPr>
            <w:tcW w:w="1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63,673</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251,074</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234,542</w:t>
            </w:r>
          </w:p>
        </w:tc>
      </w:tr>
      <w:tr>
        <w:trPr>
          <w:trHeight w:val="378"/>
        </w:trPr>
        <w:tc>
          <w:tcPr>
            <w:tcW w:w="3740" w:type="dxa"/>
            <w:vAlign w:val="bottom"/>
          </w:tcPr>
          <w:p>
            <w:pPr>
              <w:ind w:left="200"/>
              <w:spacing w:after="0"/>
              <w:rPr>
                <w:sz w:val="20"/>
                <w:szCs w:val="20"/>
                <w:color w:val="auto"/>
              </w:rPr>
            </w:pPr>
            <w:r>
              <w:rPr>
                <w:rFonts w:ascii="Arial" w:cs="Arial" w:eastAsia="Arial" w:hAnsi="Arial"/>
                <w:sz w:val="16"/>
                <w:szCs w:val="16"/>
                <w:color w:val="auto"/>
              </w:rPr>
              <w:t>Costs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18,012</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16,839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71,550</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63,504</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25,011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23,731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100,469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77,358</w:t>
            </w:r>
          </w:p>
        </w:tc>
      </w:tr>
      <w:tr>
        <w:trPr>
          <w:trHeight w:val="270"/>
        </w:trPr>
        <w:tc>
          <w:tcPr>
            <w:tcW w:w="374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3,847</w:t>
            </w:r>
          </w:p>
        </w:tc>
      </w:tr>
      <w:tr>
        <w:trPr>
          <w:trHeight w:val="163"/>
        </w:trPr>
        <w:tc>
          <w:tcPr>
            <w:tcW w:w="3740" w:type="dxa"/>
            <w:vAlign w:val="bottom"/>
          </w:tcPr>
          <w:p>
            <w:pPr>
              <w:ind w:left="640"/>
              <w:spacing w:after="0" w:line="164" w:lineRule="exact"/>
              <w:rPr>
                <w:sz w:val="20"/>
                <w:szCs w:val="20"/>
                <w:color w:val="auto"/>
              </w:rPr>
            </w:pPr>
            <w:r>
              <w:rPr>
                <w:rFonts w:ascii="Arial" w:cs="Arial" w:eastAsia="Arial" w:hAnsi="Arial"/>
                <w:sz w:val="16"/>
                <w:szCs w:val="16"/>
                <w:color w:val="auto"/>
              </w:rPr>
              <w:t>Total Australian cost of sales and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5"/>
        </w:trPr>
        <w:tc>
          <w:tcPr>
            <w:tcW w:w="3740" w:type="dxa"/>
            <w:vAlign w:val="bottom"/>
          </w:tcPr>
          <w:p>
            <w:pPr>
              <w:ind w:left="640"/>
              <w:spacing w:after="0"/>
              <w:rPr>
                <w:sz w:val="20"/>
                <w:szCs w:val="20"/>
                <w:color w:val="auto"/>
              </w:rPr>
            </w:pPr>
            <w:r>
              <w:rPr>
                <w:rFonts w:ascii="Arial" w:cs="Arial" w:eastAsia="Arial" w:hAnsi="Arial"/>
                <w:sz w:val="16"/>
                <w:szCs w:val="16"/>
                <w:color w:val="auto"/>
              </w:rPr>
              <w:t>services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44,970</w:t>
            </w:r>
          </w:p>
        </w:tc>
        <w:tc>
          <w:tcPr>
            <w:tcW w:w="18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41,714</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179,142</w:t>
            </w:r>
          </w:p>
        </w:tc>
        <w:tc>
          <w:tcPr>
            <w:tcW w:w="2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144,709</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464,700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480,465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1,846,882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1,968,284</w:t>
            </w:r>
          </w:p>
        </w:tc>
      </w:tr>
      <w:tr>
        <w:trPr>
          <w:trHeight w:val="378"/>
        </w:trPr>
        <w:tc>
          <w:tcPr>
            <w:tcW w:w="374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0.729</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0.731</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0.752</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0.691</w:t>
            </w:r>
          </w:p>
        </w:tc>
      </w:tr>
    </w:tbl>
    <w:p>
      <w:pPr>
        <w:spacing w:after="0" w:line="34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Civeo owned Canadian lodges and Australian villages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ectPr>
          <w:pgSz w:w="11900" w:h="16838" w:orient="portrait"/>
          <w:cols w:equalWidth="0" w:num="1">
            <w:col w:w="11060"/>
          </w:cols>
          <w:pgMar w:left="320" w:top="1134"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2022-02-28T07:15:01Z</dcterms:created>
  <dcterms:modified xsi:type="dcterms:W3CDTF">2022-02-28T07:15:01Z</dcterms:modified>
</cp:coreProperties>
</file>