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Schoening Allan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Civeo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CVEO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02/19/2017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See Remarks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6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860" w:type="dxa"/>
            <w:vAlign w:val="bottom"/>
            <w:gridSpan w:val="2"/>
          </w:tcPr>
          <w:p>
            <w:pPr>
              <w:ind w:left="840"/>
              <w:spacing w:after="0"/>
              <w:rPr>
                <w:sz w:val="20"/>
                <w:szCs w:val="20"/>
                <w:color w:val="auto"/>
              </w:rPr>
            </w:pPr>
            <w:r>
              <w:rPr>
                <w:rFonts w:ascii="Arial" w:cs="Arial" w:eastAsia="Arial" w:hAnsi="Arial"/>
                <w:sz w:val="18"/>
                <w:szCs w:val="18"/>
                <w:color w:val="0000FF"/>
              </w:rPr>
              <w:t>02/19/2017</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37"/>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0000FF"/>
                <w:w w:val="79"/>
              </w:rPr>
              <w:t>5,664</w:t>
            </w:r>
          </w:p>
        </w:tc>
        <w:tc>
          <w:tcPr>
            <w:tcW w:w="660" w:type="dxa"/>
            <w:vAlign w:val="bottom"/>
          </w:tcPr>
          <w:p>
            <w:pPr>
              <w:ind w:left="420"/>
              <w:spacing w:after="0"/>
              <w:rPr>
                <w:sz w:val="20"/>
                <w:szCs w:val="20"/>
                <w:color w:val="auto"/>
              </w:rPr>
            </w:pPr>
            <w:r>
              <w:rPr>
                <w:rFonts w:ascii="Arial" w:cs="Arial" w:eastAsia="Arial" w:hAnsi="Arial"/>
                <w:sz w:val="18"/>
                <w:szCs w:val="18"/>
                <w:color w:val="0000FF"/>
              </w:rPr>
              <w:t>A</w:t>
            </w:r>
          </w:p>
        </w:tc>
        <w:tc>
          <w:tcPr>
            <w:tcW w:w="540" w:type="dxa"/>
            <w:vAlign w:val="bottom"/>
          </w:tcPr>
          <w:p>
            <w:pPr>
              <w:jc w:val="right"/>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360" w:type="dxa"/>
            <w:vAlign w:val="bottom"/>
            <w:gridSpan w:val="3"/>
          </w:tcPr>
          <w:p>
            <w:pPr>
              <w:jc w:val="right"/>
              <w:ind w:right="376"/>
              <w:spacing w:after="0"/>
              <w:rPr>
                <w:sz w:val="20"/>
                <w:szCs w:val="20"/>
                <w:color w:val="auto"/>
              </w:rPr>
            </w:pPr>
            <w:r>
              <w:rPr>
                <w:rFonts w:ascii="Arial" w:cs="Arial" w:eastAsia="Arial" w:hAnsi="Arial"/>
                <w:sz w:val="18"/>
                <w:szCs w:val="18"/>
                <w:color w:val="0000FF"/>
              </w:rPr>
              <w:t>5,664</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860" w:type="dxa"/>
            <w:vAlign w:val="bottom"/>
            <w:gridSpan w:val="2"/>
          </w:tcPr>
          <w:p>
            <w:pPr>
              <w:ind w:left="840"/>
              <w:spacing w:after="0"/>
              <w:rPr>
                <w:sz w:val="20"/>
                <w:szCs w:val="20"/>
                <w:color w:val="auto"/>
              </w:rPr>
            </w:pPr>
            <w:r>
              <w:rPr>
                <w:rFonts w:ascii="Arial" w:cs="Arial" w:eastAsia="Arial" w:hAnsi="Arial"/>
                <w:sz w:val="18"/>
                <w:szCs w:val="18"/>
                <w:color w:val="0000FF"/>
              </w:rPr>
              <w:t>02/19/2017</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17"/>
              <w:spacing w:after="0"/>
              <w:rPr>
                <w:sz w:val="20"/>
                <w:szCs w:val="20"/>
                <w:color w:val="auto"/>
              </w:rPr>
            </w:pPr>
            <w:r>
              <w:rPr>
                <w:rFonts w:ascii="Arial" w:cs="Arial" w:eastAsia="Arial" w:hAnsi="Arial"/>
                <w:sz w:val="14"/>
                <w:szCs w:val="14"/>
                <w:color w:val="0000FF"/>
                <w:w w:val="98"/>
              </w:rPr>
              <w:t>D</w:t>
            </w:r>
          </w:p>
        </w:tc>
        <w:tc>
          <w:tcPr>
            <w:tcW w:w="220" w:type="dxa"/>
            <w:vAlign w:val="bottom"/>
          </w:tcPr>
          <w:p>
            <w:pPr>
              <w:spacing w:after="0"/>
              <w:rPr>
                <w:sz w:val="23"/>
                <w:szCs w:val="23"/>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0000FF"/>
                <w:w w:val="79"/>
              </w:rPr>
              <w:t>5,664</w:t>
            </w:r>
          </w:p>
        </w:tc>
        <w:tc>
          <w:tcPr>
            <w:tcW w:w="660" w:type="dxa"/>
            <w:vAlign w:val="bottom"/>
          </w:tcPr>
          <w:p>
            <w:pPr>
              <w:ind w:left="420"/>
              <w:spacing w:after="0"/>
              <w:rPr>
                <w:sz w:val="20"/>
                <w:szCs w:val="20"/>
                <w:color w:val="auto"/>
              </w:rPr>
            </w:pPr>
            <w:r>
              <w:rPr>
                <w:rFonts w:ascii="Arial" w:cs="Arial" w:eastAsia="Arial" w:hAnsi="Arial"/>
                <w:sz w:val="18"/>
                <w:szCs w:val="18"/>
                <w:color w:val="0000FF"/>
              </w:rPr>
              <w:t>D</w:t>
            </w:r>
          </w:p>
        </w:tc>
        <w:tc>
          <w:tcPr>
            <w:tcW w:w="600" w:type="dxa"/>
            <w:vAlign w:val="bottom"/>
            <w:gridSpan w:val="2"/>
          </w:tcPr>
          <w:p>
            <w:pPr>
              <w:ind w:left="200"/>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3.19</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jc w:val="right"/>
              <w:ind w:right="536"/>
              <w:spacing w:after="0"/>
              <w:rPr>
                <w:sz w:val="20"/>
                <w:szCs w:val="20"/>
                <w:color w:val="auto"/>
              </w:rPr>
            </w:pPr>
            <w:r>
              <w:rPr>
                <w:rFonts w:ascii="Arial" w:cs="Arial" w:eastAsia="Arial" w:hAnsi="Arial"/>
                <w:sz w:val="18"/>
                <w:szCs w:val="18"/>
                <w:color w:val="0000FF"/>
                <w:w w:val="99"/>
              </w:rPr>
              <w:t>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3"/>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1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02/19/2017</w:t>
            </w:r>
          </w:p>
        </w:tc>
        <w:tc>
          <w:tcPr>
            <w:tcW w:w="1140" w:type="dxa"/>
            <w:vAlign w:val="bottom"/>
          </w:tcPr>
          <w:p>
            <w:pPr>
              <w:spacing w:after="0"/>
              <w:rPr>
                <w:sz w:val="16"/>
                <w:szCs w:val="16"/>
                <w:color w:val="auto"/>
              </w:rPr>
            </w:pPr>
          </w:p>
        </w:tc>
        <w:tc>
          <w:tcPr>
            <w:tcW w:w="720" w:type="dxa"/>
            <w:vAlign w:val="bottom"/>
            <w:vMerge w:val="restart"/>
          </w:tcPr>
          <w:p>
            <w:pPr>
              <w:ind w:left="160"/>
              <w:spacing w:after="0"/>
              <w:rPr>
                <w:sz w:val="20"/>
                <w:szCs w:val="20"/>
                <w:color w:val="auto"/>
              </w:rPr>
            </w:pPr>
            <w:r>
              <w:rPr>
                <w:rFonts w:ascii="Arial" w:cs="Arial" w:eastAsia="Arial" w:hAnsi="Arial"/>
                <w:sz w:val="14"/>
                <w:szCs w:val="14"/>
                <w:color w:val="0000FF"/>
              </w:rPr>
              <w:t>M</w:t>
            </w:r>
          </w:p>
        </w:tc>
        <w:tc>
          <w:tcPr>
            <w:tcW w:w="940" w:type="dxa"/>
            <w:vAlign w:val="bottom"/>
            <w:vMerge w:val="restart"/>
          </w:tcPr>
          <w:p>
            <w:pPr>
              <w:ind w:left="500"/>
              <w:spacing w:after="0"/>
              <w:rPr>
                <w:sz w:val="20"/>
                <w:szCs w:val="20"/>
                <w:color w:val="auto"/>
              </w:rPr>
            </w:pPr>
            <w:r>
              <w:rPr>
                <w:rFonts w:ascii="Arial" w:cs="Arial" w:eastAsia="Arial" w:hAnsi="Arial"/>
                <w:sz w:val="14"/>
                <w:szCs w:val="14"/>
                <w:color w:val="0000FF"/>
              </w:rPr>
              <w:t>5,664</w:t>
            </w:r>
          </w:p>
        </w:tc>
        <w:tc>
          <w:tcPr>
            <w:tcW w:w="780" w:type="dxa"/>
            <w:vAlign w:val="bottom"/>
            <w:gridSpan w:val="2"/>
            <w:vMerge w:val="restart"/>
          </w:tcPr>
          <w:p>
            <w:pPr>
              <w:jc w:val="center"/>
              <w:ind w:right="17"/>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6"/>
                <w:szCs w:val="16"/>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660" w:type="dxa"/>
            <w:vAlign w:val="bottom"/>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34"/>
              <w:spacing w:after="0"/>
              <w:rPr>
                <w:sz w:val="20"/>
                <w:szCs w:val="20"/>
                <w:color w:val="auto"/>
              </w:rPr>
            </w:pPr>
            <w:r>
              <w:rPr>
                <w:rFonts w:ascii="Arial" w:cs="Arial" w:eastAsia="Arial" w:hAnsi="Arial"/>
                <w:sz w:val="18"/>
                <w:szCs w:val="18"/>
                <w:color w:val="0000FF"/>
                <w:w w:val="93"/>
              </w:rPr>
              <w:t>5,664</w:t>
            </w:r>
          </w:p>
        </w:tc>
        <w:tc>
          <w:tcPr>
            <w:tcW w:w="60" w:type="dxa"/>
            <w:vAlign w:val="bottom"/>
          </w:tcPr>
          <w:p>
            <w:pPr>
              <w:spacing w:after="0"/>
              <w:rPr>
                <w:sz w:val="16"/>
                <w:szCs w:val="16"/>
                <w:color w:val="auto"/>
              </w:rPr>
            </w:pPr>
          </w:p>
        </w:tc>
        <w:tc>
          <w:tcPr>
            <w:tcW w:w="64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20" w:type="dxa"/>
            <w:vAlign w:val="bottom"/>
            <w:vMerge w:val="restart"/>
          </w:tcPr>
          <w:p>
            <w:pPr>
              <w:ind w:left="480"/>
              <w:spacing w:after="0"/>
              <w:rPr>
                <w:sz w:val="20"/>
                <w:szCs w:val="20"/>
                <w:color w:val="auto"/>
              </w:rPr>
            </w:pPr>
            <w:r>
              <w:rPr>
                <w:rFonts w:ascii="Arial" w:cs="Arial" w:eastAsia="Arial" w:hAnsi="Arial"/>
                <w:sz w:val="14"/>
                <w:szCs w:val="14"/>
                <w:color w:val="0000FF"/>
              </w:rPr>
              <w:t>0</w:t>
            </w:r>
          </w:p>
        </w:tc>
        <w:tc>
          <w:tcPr>
            <w:tcW w:w="28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Shares</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color w:val="0000FF"/>
              </w:rPr>
              <w:t>Shares</w:t>
            </w:r>
          </w:p>
        </w:tc>
        <w:tc>
          <w:tcPr>
            <w:tcW w:w="5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phantom share is the economic equivalent of one Civeo common share and is payable in cash. The phantom shares vest at various times based on the grant date. 5,664 shares vested on February 19, 2017.</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Senior Vice President, Human Resources/HS&amp;E</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Allan Schoening,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464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Bradley J. Dodson, as</w:t>
      </w:r>
      <w:r>
        <w:rPr>
          <w:sz w:val="20"/>
          <w:szCs w:val="20"/>
          <w:color w:val="auto"/>
        </w:rPr>
        <w:tab/>
      </w:r>
      <w:r>
        <w:rPr>
          <w:rFonts w:ascii="Arial" w:cs="Arial" w:eastAsia="Arial" w:hAnsi="Arial"/>
          <w:sz w:val="15"/>
          <w:szCs w:val="15"/>
          <w:color w:val="0000FF"/>
        </w:rPr>
        <w:t>06/01/2017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493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4930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36598"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2019-12-04T02:31:47Z</dcterms:created>
  <dcterms:modified xsi:type="dcterms:W3CDTF">2019-12-04T02:31:47Z</dcterms:modified>
</cp:coreProperties>
</file>