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June 30, 2022</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6" w:lineRule="exact"/>
        <w:rPr>
          <w:sz w:val="24"/>
          <w:szCs w:val="24"/>
          <w:color w:val="auto"/>
        </w:rPr>
      </w:pPr>
    </w:p>
    <w:p>
      <w:pPr>
        <w:ind w:left="1280" w:hanging="786"/>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41275</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3"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British Columbia, Canada</w:t>
            </w:r>
          </w:p>
        </w:tc>
        <w:tc>
          <w:tcPr>
            <w:tcW w:w="1100" w:type="dxa"/>
            <w:vAlign w:val="bottom"/>
          </w:tcPr>
          <w:p>
            <w:pPr>
              <w:spacing w:after="0"/>
              <w:rPr>
                <w:sz w:val="17"/>
                <w:szCs w:val="17"/>
                <w:color w:val="auto"/>
              </w:rPr>
            </w:pPr>
          </w:p>
        </w:tc>
        <w:tc>
          <w:tcPr>
            <w:tcW w:w="424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40" w:type="dxa"/>
            <w:vAlign w:val="bottom"/>
            <w:gridSpan w:val="5"/>
          </w:tcPr>
          <w:p>
            <w:pPr>
              <w:jc w:val="center"/>
              <w:ind w:left="283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4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(Zip Code)</w:t>
            </w:r>
          </w:p>
        </w:tc>
      </w:tr>
      <w:tr>
        <w:trPr>
          <w:trHeight w:val="228"/>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8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3"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1"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7"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1"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50" w:lineRule="exact"/>
        <w:rPr>
          <w:sz w:val="24"/>
          <w:szCs w:val="24"/>
          <w:color w:val="auto"/>
        </w:rPr>
      </w:pPr>
    </w:p>
    <w:p>
      <w:pPr>
        <w:ind w:right="320"/>
        <w:spacing w:after="0" w:line="20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573405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14,188,012 common shares outstanding as of 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2"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shd w:val="clear" w:color="auto" w:fill="CCEEFF"/>
          </w:tcPr>
          <w:p>
            <w:pPr>
              <w:spacing w:after="0"/>
              <w:rPr>
                <w:sz w:val="17"/>
                <w:szCs w:val="17"/>
                <w:color w:val="auto"/>
              </w:rPr>
            </w:pPr>
          </w:p>
        </w:tc>
        <w:tc>
          <w:tcPr>
            <w:tcW w:w="10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Six Months Ended June 30, 2022 and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460" w:type="dxa"/>
            <w:vAlign w:val="bottom"/>
            <w:shd w:val="clear" w:color="auto" w:fill="CCEEFF"/>
          </w:tcPr>
          <w:p>
            <w:pPr>
              <w:spacing w:after="0"/>
              <w:rPr>
                <w:sz w:val="12"/>
                <w:szCs w:val="12"/>
                <w:color w:val="auto"/>
              </w:rPr>
            </w:pPr>
          </w:p>
        </w:tc>
        <w:tc>
          <w:tcPr>
            <w:tcW w:w="106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Six Months Ended June 30, 2022 and 2021</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460" w:type="dxa"/>
            <w:vAlign w:val="bottom"/>
            <w:tcBorders>
              <w:top w:val="single" w:sz="8" w:color="CCEEFF"/>
            </w:tcBorders>
            <w:shd w:val="clear" w:color="auto" w:fill="CCEEFF"/>
          </w:tcPr>
          <w:p>
            <w:pPr>
              <w:spacing w:after="0"/>
              <w:rPr>
                <w:sz w:val="2"/>
                <w:szCs w:val="2"/>
                <w:color w:val="auto"/>
              </w:rPr>
            </w:pPr>
          </w:p>
        </w:tc>
        <w:tc>
          <w:tcPr>
            <w:tcW w:w="10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June 30, 2022 (unaudited) and December 31,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460" w:type="dxa"/>
            <w:vAlign w:val="bottom"/>
            <w:shd w:val="clear" w:color="auto" w:fill="CCEEFF"/>
          </w:tcPr>
          <w:p>
            <w:pPr>
              <w:spacing w:after="0"/>
              <w:rPr>
                <w:sz w:val="12"/>
                <w:szCs w:val="12"/>
                <w:color w:val="auto"/>
              </w:rPr>
            </w:pPr>
          </w:p>
        </w:tc>
        <w:tc>
          <w:tcPr>
            <w:tcW w:w="106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Six Months Ended June 30, 2022 and 2021</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460" w:type="dxa"/>
            <w:vAlign w:val="bottom"/>
            <w:tcBorders>
              <w:top w:val="single" w:sz="8" w:color="CCEEFF"/>
            </w:tcBorders>
            <w:shd w:val="clear" w:color="auto" w:fill="CCEEFF"/>
          </w:tcPr>
          <w:p>
            <w:pPr>
              <w:spacing w:after="0"/>
              <w:rPr>
                <w:sz w:val="2"/>
                <w:szCs w:val="2"/>
                <w:color w:val="auto"/>
              </w:rPr>
            </w:pPr>
          </w:p>
        </w:tc>
        <w:tc>
          <w:tcPr>
            <w:tcW w:w="10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Six Months Ended June 30, 2022 and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60" w:type="dxa"/>
            <w:vAlign w:val="bottom"/>
            <w:shd w:val="clear" w:color="auto" w:fill="CCEEFF"/>
          </w:tcPr>
          <w:p>
            <w:pPr>
              <w:spacing w:after="0"/>
              <w:rPr>
                <w:sz w:val="15"/>
                <w:szCs w:val="15"/>
                <w:color w:val="auto"/>
              </w:rPr>
            </w:pPr>
          </w:p>
        </w:tc>
        <w:tc>
          <w:tcPr>
            <w:tcW w:w="106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46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w:t>
            </w:r>
          </w:p>
        </w:tc>
        <w:tc>
          <w:tcPr>
            <w:tcW w:w="10620" w:type="dxa"/>
            <w:vAlign w:val="bottom"/>
            <w:tcBorders>
              <w:bottom w:val="single" w:sz="8" w:color="CCEEFF"/>
            </w:tcBorders>
            <w:shd w:val="clear" w:color="auto" w:fill="CCEEFF"/>
          </w:tcPr>
          <w:p>
            <w:pPr>
              <w:ind w:left="60"/>
              <w:spacing w:after="0" w:line="144" w:lineRule="exact"/>
              <w:rPr>
                <w:sz w:val="20"/>
                <w:szCs w:val="20"/>
                <w:color w:val="auto"/>
              </w:rPr>
            </w:pPr>
            <w:r>
              <w:rPr>
                <w:rFonts w:ascii="Times New Roman" w:cs="Times New Roman" w:eastAsia="Times New Roman" w:hAnsi="Times New Roman"/>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46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106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6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 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w:t>
            </w:r>
          </w:p>
        </w:tc>
        <w:tc>
          <w:tcPr>
            <w:tcW w:w="106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6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and other</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177,254</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147,784</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336,824</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269,780</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Rental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7,604</w:t>
            </w:r>
          </w:p>
        </w:tc>
      </w:tr>
      <w:tr>
        <w:trPr>
          <w:trHeight w:val="19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w:t>
            </w:r>
          </w:p>
        </w:tc>
      </w:tr>
      <w:tr>
        <w:trPr>
          <w:trHeight w:val="196"/>
        </w:trPr>
        <w:tc>
          <w:tcPr>
            <w:tcW w:w="6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350,632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279,606</w:t>
            </w:r>
          </w:p>
        </w:tc>
      </w:tr>
      <w:tr>
        <w:trPr>
          <w:trHeight w:val="16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245,168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199,911</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Rental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28,884</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42,646</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19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0"/>
        </w:trPr>
        <w:tc>
          <w:tcPr>
            <w:tcW w:w="6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152,047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332,153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287,378</w:t>
            </w: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w:t>
            </w:r>
          </w:p>
        </w:tc>
      </w:tr>
      <w:tr>
        <w:trPr>
          <w:trHeight w:val="183"/>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r>
      <w:tr>
        <w:trPr>
          <w:trHeight w:val="19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common shareholders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6"/>
        </w:trPr>
        <w:tc>
          <w:tcPr>
            <w:tcW w:w="6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17"/>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17"/>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14,244</w:t>
            </w:r>
          </w:p>
        </w:tc>
      </w:tr>
      <w:tr>
        <w:trPr>
          <w:trHeight w:val="182"/>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14,244</w:t>
            </w:r>
          </w:p>
        </w:tc>
      </w:tr>
    </w:tbl>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480" w:top="1377"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0"/>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5"/>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10,230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131"/>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0"/>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loss, net of taxes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31"/>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w:t>
            </w:r>
          </w:p>
        </w:tc>
      </w:tr>
      <w:tr>
        <w:trPr>
          <w:trHeight w:val="190"/>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Civeo Corporation</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66040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1377"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Assets held for sale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3"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400" w:type="dxa"/>
            <w:vAlign w:val="bottom"/>
            <w:gridSpan w:val="2"/>
          </w:tcPr>
          <w:p>
            <w:pPr>
              <w:jc w:val="right"/>
              <w:ind w:right="3810"/>
              <w:spacing w:after="0"/>
              <w:rPr>
                <w:sz w:val="20"/>
                <w:szCs w:val="20"/>
                <w:color w:val="auto"/>
              </w:rPr>
            </w:pPr>
            <w:r>
              <w:rPr>
                <w:rFonts w:ascii="Times New Roman" w:cs="Times New Roman" w:eastAsia="Times New Roman" w:hAnsi="Times New Roman"/>
                <w:sz w:val="14"/>
                <w:szCs w:val="14"/>
                <w:color w:val="auto"/>
                <w:w w:val="98"/>
              </w:rPr>
              <w:t>ASSETS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50"/>
        </w:trPr>
        <w:tc>
          <w:tcPr>
            <w:tcW w:w="44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114,859</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6,876</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10,946</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157,193</w:t>
            </w:r>
          </w:p>
        </w:tc>
      </w:tr>
      <w:tr>
        <w:trPr>
          <w:trHeight w:val="344"/>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389,996</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93,642</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r>
      <w:tr>
        <w:trPr>
          <w:trHeight w:val="23"/>
        </w:trPr>
        <w:tc>
          <w:tcPr>
            <w:tcW w:w="44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41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637,397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672,734</w:t>
            </w:r>
          </w:p>
        </w:tc>
      </w:tr>
      <w:tr>
        <w:trPr>
          <w:trHeight w:val="26"/>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-2120265</wp:posOffset>
            </wp:positionV>
            <wp:extent cx="7098030"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-1895475</wp:posOffset>
            </wp:positionV>
            <wp:extent cx="7098030"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-1645920</wp:posOffset>
            </wp:positionV>
            <wp:extent cx="7098030"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-1397000</wp:posOffset>
            </wp:positionV>
            <wp:extent cx="7098030"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-1147445</wp:posOffset>
            </wp:positionV>
            <wp:extent cx="7098030"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-889635</wp:posOffset>
            </wp:positionV>
            <wp:extent cx="7098030"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969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-664845</wp:posOffset>
            </wp:positionV>
            <wp:extent cx="7098030"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-415290</wp:posOffset>
            </wp:positionV>
            <wp:extent cx="7098030"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-165735</wp:posOffset>
            </wp:positionV>
            <wp:extent cx="7098030" cy="149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986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-95885</wp:posOffset>
            </wp:positionV>
            <wp:extent cx="7098030"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2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520"/>
            <w:col w:w="8720"/>
          </w:cols>
          <w:pgMar w:left="480" w:top="1377"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45,360</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33,564</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30,576</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18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136,918</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123,018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142,602</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15,429</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13,778</w:t>
            </w:r>
          </w:p>
        </w:tc>
        <w:tc>
          <w:tcPr>
            <w:tcW w:w="0" w:type="dxa"/>
            <w:vAlign w:val="bottom"/>
          </w:tcPr>
          <w:p>
            <w:pPr>
              <w:spacing w:after="0"/>
              <w:rPr>
                <w:sz w:val="1"/>
                <w:szCs w:val="1"/>
                <w:color w:val="auto"/>
              </w:rPr>
            </w:pPr>
          </w:p>
        </w:tc>
      </w:tr>
      <w:tr>
        <w:trPr>
          <w:trHeight w:val="183"/>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273,877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309,623</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Preferred shares (Class A Series 1, no par value; 50,000,000 shares authorized, 9,042 shares issued and outstanding, respectively;</w:t>
            </w:r>
          </w:p>
        </w:tc>
        <w:tc>
          <w:tcPr>
            <w:tcW w:w="5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61,941</w:t>
            </w:r>
          </w:p>
        </w:tc>
        <w:tc>
          <w:tcPr>
            <w:tcW w:w="0" w:type="dxa"/>
            <w:vAlign w:val="bottom"/>
          </w:tcPr>
          <w:p>
            <w:pPr>
              <w:spacing w:after="0"/>
              <w:rPr>
                <w:sz w:val="1"/>
                <w:szCs w:val="1"/>
                <w:color w:val="auto"/>
              </w:rPr>
            </w:pPr>
          </w:p>
        </w:tc>
      </w:tr>
      <w:tr>
        <w:trPr>
          <w:trHeight w:val="19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aggregate liquidation preference of $98,415,509 and $97,438,687 as of June 30, 2022 and December 31, 2021)</w:t>
            </w:r>
          </w:p>
        </w:tc>
        <w:tc>
          <w:tcPr>
            <w:tcW w:w="5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(no par value; 46,000,000 shares authorized, 14,554,687 shares and 14,431,819 shares issued, respectively, and</w:t>
            </w:r>
          </w:p>
        </w:tc>
        <w:tc>
          <w:tcPr>
            <w:tcW w:w="5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14,188,012 shares and 14,111,221 shares outstanding, respectively)</w:t>
            </w: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1,584,416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1,582,442</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(903,492)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(912,951)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366,675 and 320,598 shares, respectively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(373,841)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(361,883)</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360,938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361,499</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0" w:type="dxa"/>
            <w:vAlign w:val="bottom"/>
          </w:tcPr>
          <w:p>
            <w:pPr>
              <w:spacing w:after="0"/>
              <w:rPr>
                <w:sz w:val="1"/>
                <w:szCs w:val="1"/>
                <w:color w:val="auto"/>
              </w:rPr>
            </w:pPr>
          </w:p>
        </w:tc>
      </w:tr>
      <w:tr>
        <w:trPr>
          <w:trHeight w:val="19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363,520</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363,111</w:t>
            </w:r>
          </w:p>
        </w:tc>
        <w:tc>
          <w:tcPr>
            <w:tcW w:w="0" w:type="dxa"/>
            <w:vAlign w:val="bottom"/>
          </w:tcPr>
          <w:p>
            <w:pPr>
              <w:spacing w:after="0"/>
              <w:rPr>
                <w:sz w:val="1"/>
                <w:szCs w:val="1"/>
                <w:color w:val="auto"/>
              </w:rPr>
            </w:pPr>
          </w:p>
        </w:tc>
      </w:tr>
      <w:tr>
        <w:trPr>
          <w:trHeight w:val="196"/>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637,397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672,734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1180"/>
          </w:cols>
          <w:pgMar w:left="480" w:top="137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480" w:top="1377" w:right="239" w:bottom="1440" w:gutter="0" w:footer="0" w:header="0"/>
          <w:type w:val="continuous"/>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5"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80" w:type="dxa"/>
            <w:vAlign w:val="bottom"/>
          </w:tcPr>
          <w:p>
            <w:pPr>
              <w:spacing w:after="0" w:line="20" w:lineRule="exact"/>
              <w:rPr>
                <w:sz w:val="1"/>
                <w:szCs w:val="1"/>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7"/>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078345"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8345" cy="133350"/>
                    </a:xfrm>
                    <a:prstGeom prst="rect">
                      <a:avLst/>
                    </a:prstGeom>
                    <a:noFill/>
                  </pic:spPr>
                </pic:pic>
              </a:graphicData>
            </a:graphic>
          </wp:anchor>
        </w:drawing>
      </w:r>
    </w:p>
    <w:p>
      <w:pPr>
        <w:sectPr>
          <w:pgSz w:w="11900" w:h="16838" w:orient="portrait"/>
          <w:cols w:equalWidth="0" w:num="1">
            <w:col w:w="11160"/>
          </w:cols>
          <w:pgMar w:left="320" w:top="1377" w:right="419" w:bottom="1440" w:gutter="0" w:footer="0" w:header="0"/>
        </w:sectPr>
      </w:pPr>
    </w:p>
    <w:tbl>
      <w:tblPr>
        <w:tblLayout w:type="fixed"/>
        <w:tblInd w:w="20" w:type="dxa"/>
        <w:tblCellMar>
          <w:top w:w="0" w:type="dxa"/>
          <w:left w:w="0" w:type="dxa"/>
          <w:bottom w:w="0" w:type="dxa"/>
          <w:right w:w="0" w:type="dxa"/>
        </w:tblCellMar>
      </w:tblPr>
      <w:tr>
        <w:trPr>
          <w:trHeight w:val="19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60,494</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1,579,342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60,974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1,580,213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62,428</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1,583,474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62,918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1,584,416</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60,016</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1,578,315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60,974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1,580,213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61,941</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1,582,442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62,918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1,584,416</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-4141470</wp:posOffset>
            </wp:positionV>
            <wp:extent cx="7078345" cy="12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-3891915</wp:posOffset>
            </wp:positionV>
            <wp:extent cx="7078345" cy="207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-3343275</wp:posOffset>
            </wp:positionV>
            <wp:extent cx="7078345"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-3093720</wp:posOffset>
            </wp:positionV>
            <wp:extent cx="7078345" cy="12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7078345" cy="207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-2511425</wp:posOffset>
            </wp:positionV>
            <wp:extent cx="7078345" cy="124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-2045335</wp:posOffset>
            </wp:positionV>
            <wp:extent cx="7078345" cy="124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7078345" cy="124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-1463040</wp:posOffset>
            </wp:positionV>
            <wp:extent cx="7078345" cy="124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-997585</wp:posOffset>
            </wp:positionV>
            <wp:extent cx="707834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-748030</wp:posOffset>
            </wp:positionV>
            <wp:extent cx="707834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078345" cy="124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7078345" cy="149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834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-1188720</wp:posOffset>
            </wp:positionV>
            <wp:extent cx="7078345" cy="6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345" cy="6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-2236470</wp:posOffset>
            </wp:positionV>
            <wp:extent cx="707834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8345" cy="6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-3559175</wp:posOffset>
            </wp:positionV>
            <wp:extent cx="7078345" cy="149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8345" cy="14986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5"/>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9,042</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14,111</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9,042</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14,188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(917,689)</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(350,606)</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648</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364,139</w:t>
            </w:r>
          </w:p>
        </w:tc>
        <w:tc>
          <w:tcPr>
            <w:tcW w:w="0" w:type="dxa"/>
            <w:vAlign w:val="bottom"/>
          </w:tcPr>
          <w:p>
            <w:pPr>
              <w:spacing w:after="0"/>
              <w:rPr>
                <w:sz w:val="1"/>
                <w:szCs w:val="1"/>
                <w:color w:val="auto"/>
              </w:rPr>
            </w:pPr>
          </w:p>
        </w:tc>
      </w:tr>
      <w:tr>
        <w:trPr>
          <w:trHeight w:val="185"/>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(480)</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(918,156)</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(352,171)</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363,405</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(912,037)</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(353,911)</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2,080</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372,971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9,568</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(490)</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(533)</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(903,492)</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(373,841)</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363,520</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(907,727)</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(6,930)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(348,989)</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375,357</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(9,471)</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(958)</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(918,156)</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(352,171)</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363,405</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(912,951)</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(361,883)</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1,612</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363,111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10,978</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(977)</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(542)</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(903,492)</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(373,841)</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363,520</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640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-1205230</wp:posOffset>
            </wp:positionV>
            <wp:extent cx="640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-1338580</wp:posOffset>
            </wp:positionV>
            <wp:extent cx="640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-2253615</wp:posOffset>
            </wp:positionV>
            <wp:extent cx="640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-2386330</wp:posOffset>
            </wp:positionV>
            <wp:extent cx="640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-3401060</wp:posOffset>
            </wp:positionV>
            <wp:extent cx="640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640" w:lineRule="exact"/>
        <w:rPr>
          <w:sz w:val="20"/>
          <w:szCs w:val="20"/>
          <w:color w:val="auto"/>
        </w:rPr>
      </w:pPr>
    </w:p>
    <w:p>
      <w:pPr>
        <w:sectPr>
          <w:pgSz w:w="11900" w:h="16838" w:orient="portrait"/>
          <w:cols w:equalWidth="0" w:num="2">
            <w:col w:w="5720" w:space="340"/>
            <w:col w:w="5100"/>
          </w:cols>
          <w:pgMar w:left="320" w:top="1377" w:right="419" w:bottom="1440" w:gutter="0" w:footer="0" w:header="0"/>
          <w:type w:val="continuous"/>
        </w:sect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1160"/>
          </w:cols>
          <w:pgMar w:left="320" w:top="137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77" w:right="419" w:bottom="1440" w:gutter="0" w:footer="0" w:header="0"/>
          <w:type w:val="continuous"/>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42,646</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(benefit) for credit losses, net of recoveries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(24,617)</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29,350</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disposition of property, plant and equipment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r>
      <w:tr>
        <w:trPr>
          <w:trHeight w:val="19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(used in) investing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117,976</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(158,288)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(130,080)</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 loan repayments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(17,874)</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w:t>
            </w:r>
          </w:p>
        </w:tc>
      </w:tr>
      <w:tr>
        <w:trPr>
          <w:trHeight w:val="19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(31,098)</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8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9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r>
      <w:tr>
        <w:trPr>
          <w:trHeight w:val="92"/>
        </w:trPr>
        <w:tc>
          <w:tcPr>
            <w:tcW w:w="8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dividends paid-in-kind</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r>
    </w:tbl>
    <w:p>
      <w:pPr>
        <w:spacing w:after="0" w:line="20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7"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Our full suite of hospitality services for our guests includes lodging, catering and food service, housekeeping and maintenance at accommodation facilities that we or our customers own. In many cases, we provide services that support the day-to-day operations,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financial statements included in this report should be read in conjunction with our audited financial statements and accompanying notes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6" w:lineRule="exact"/>
        <w:rPr>
          <w:sz w:val="20"/>
          <w:szCs w:val="20"/>
          <w:color w:val="auto"/>
        </w:rPr>
      </w:pPr>
    </w:p>
    <w:p>
      <w:pPr>
        <w:ind w:right="440" w:firstLine="472"/>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three reportable segments: Canada, Australia and the U.S., and major categories for the periods indicated (in thousands):</w:t>
      </w:r>
    </w:p>
    <w:tbl>
      <w:tblPr>
        <w:tblLayout w:type="fixed"/>
        <w:tblInd w:w="48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3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140" w:type="dxa"/>
            <w:vAlign w:val="bottom"/>
            <w:gridSpan w:val="4"/>
          </w:tcPr>
          <w:p>
            <w:pPr>
              <w:jc w:val="right"/>
              <w:ind w:right="361"/>
              <w:spacing w:after="0" w:line="161"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9"/>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r>
      <w:tr>
        <w:trPr>
          <w:trHeight w:val="203"/>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79,431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69,759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146,625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10,274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83,281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105"/>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37,780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76,651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1"/>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131,349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07"/>
        </w:trPr>
        <w:tc>
          <w:tcPr>
            <w:tcW w:w="5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0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U.S.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05"/>
        </w:trPr>
        <w:tc>
          <w:tcPr>
            <w:tcW w:w="55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22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154,176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350,632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products or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0" w:lineRule="exact"/>
        <w:rPr>
          <w:sz w:val="20"/>
          <w:szCs w:val="20"/>
          <w:color w:val="auto"/>
        </w:rPr>
      </w:pPr>
    </w:p>
    <w:p>
      <w:pPr>
        <w:jc w:val="both"/>
        <w:ind w:right="100" w:firstLine="472"/>
        <w:spacing w:after="0" w:line="274" w:lineRule="auto"/>
        <w:rPr>
          <w:sz w:val="20"/>
          <w:szCs w:val="20"/>
          <w:color w:val="auto"/>
        </w:rPr>
      </w:pPr>
      <w:r>
        <w:rPr>
          <w:rFonts w:ascii="Times New Roman" w:cs="Times New Roman" w:eastAsia="Times New Roman" w:hAnsi="Times New Roman"/>
          <w:sz w:val="17"/>
          <w:szCs w:val="17"/>
          <w:color w:val="auto"/>
        </w:rPr>
        <w:t>As of June 30, 2022,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For the years ending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80" w:type="dxa"/>
            <w:vAlign w:val="bottom"/>
          </w:tcPr>
          <w:p>
            <w:pPr>
              <w:spacing w:after="0"/>
              <w:rPr>
                <w:sz w:val="17"/>
                <w:szCs w:val="17"/>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Revenue expected to be recognized as of June 30, 2022</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75,076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144,851</w:t>
            </w:r>
          </w:p>
        </w:tc>
      </w:tr>
    </w:tbl>
    <w:p>
      <w:pPr>
        <w:spacing w:after="0" w:line="296" w:lineRule="exact"/>
        <w:rPr>
          <w:sz w:val="20"/>
          <w:szCs w:val="20"/>
          <w:color w:val="auto"/>
        </w:rPr>
      </w:pPr>
    </w:p>
    <w:p>
      <w:pPr>
        <w:jc w:val="both"/>
        <w:ind w:right="100" w:firstLine="472"/>
        <w:spacing w:after="0" w:line="270"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2"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17" w:lineRule="exact"/>
        <w:rPr>
          <w:sz w:val="20"/>
          <w:szCs w:val="20"/>
          <w:color w:val="auto"/>
        </w:rPr>
      </w:pPr>
    </w:p>
    <w:p>
      <w:pPr>
        <w:jc w:val="both"/>
        <w:ind w:right="100" w:firstLine="47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Quarter ended June 30, 2021</w:t>
      </w:r>
      <w:r>
        <w:rPr>
          <w:rFonts w:ascii="Times New Roman" w:cs="Times New Roman" w:eastAsia="Times New Roman" w:hAnsi="Times New Roman"/>
          <w:sz w:val="17"/>
          <w:szCs w:val="17"/>
          <w:color w:val="auto"/>
        </w:rPr>
        <w:t>. During the second quarter of 2021, we recorded impairment expense of $7.9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w:t>
      </w:r>
    </w:p>
    <w:p>
      <w:pPr>
        <w:spacing w:after="0" w:line="399"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6" w:lineRule="exact"/>
        <w:rPr>
          <w:sz w:val="20"/>
          <w:szCs w:val="20"/>
          <w:color w:val="auto"/>
        </w:rPr>
      </w:pPr>
    </w:p>
    <w:p>
      <w:pPr>
        <w:ind w:right="100" w:firstLine="472"/>
        <w:spacing w:after="0" w:line="296"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2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June 30, 2022 and December 31, 2021,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and previous negotiations with third parties.</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second quarter of 2021, we wrote down certain long-lived assets to fair value. Our estimate of the fair value of undeveloped land positions in Australia that were impaired was based on appraisals from third parties.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3 – Impairment Charges for further information.</w:t>
      </w:r>
    </w:p>
    <w:p>
      <w:pPr>
        <w:spacing w:after="0" w:line="248"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June 30, 2022 and December 31, 2021 is presented below (in thousands):</w:t>
      </w:r>
    </w:p>
    <w:p>
      <w:pPr>
        <w:spacing w:after="0" w:line="357"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80,295</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75,740</w:t>
            </w: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38,508</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0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115,220</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and purchased 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2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420" w:type="dxa"/>
            <w:vAlign w:val="bottom"/>
            <w:gridSpan w:val="4"/>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6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28,664</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30,556</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1,592,357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1,657,577</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63,407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63,228</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1,742,815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1,807,320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(1,393,721)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(1,417,324)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349,094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389,996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Accrued liabilities:</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26" w:lineRule="exact"/>
        <w:rPr>
          <w:sz w:val="20"/>
          <w:szCs w:val="20"/>
          <w:color w:val="auto"/>
        </w:rPr>
      </w:pPr>
    </w:p>
    <w:p>
      <w:pPr>
        <w:ind w:left="800"/>
        <w:spacing w:after="0" w:line="299" w:lineRule="auto"/>
        <w:rPr>
          <w:sz w:val="20"/>
          <w:szCs w:val="20"/>
          <w:color w:val="auto"/>
        </w:rPr>
      </w:pPr>
      <w:r>
        <w:rPr>
          <w:rFonts w:ascii="Times New Roman" w:cs="Times New Roman" w:eastAsia="Times New Roman" w:hAnsi="Times New Roman"/>
          <w:sz w:val="16"/>
          <w:szCs w:val="16"/>
          <w:color w:val="auto"/>
        </w:rPr>
        <w:t>Accrued taxes, other than income taxes Other</w:t>
      </w:r>
    </w:p>
    <w:p>
      <w:pPr>
        <w:ind w:left="800"/>
        <w:spacing w:after="0"/>
        <w:rPr>
          <w:sz w:val="20"/>
          <w:szCs w:val="20"/>
          <w:color w:val="auto"/>
        </w:rPr>
      </w:pPr>
      <w:r>
        <w:rPr>
          <w:rFonts w:ascii="Times New Roman" w:cs="Times New Roman" w:eastAsia="Times New Roman" w:hAnsi="Times New Roman"/>
          <w:sz w:val="16"/>
          <w:szCs w:val="16"/>
          <w:color w:val="auto"/>
        </w:rPr>
        <w:t>Total accrued liabilities</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52" w:lineRule="exact"/>
        <w:rPr>
          <w:sz w:val="20"/>
          <w:szCs w:val="20"/>
          <w:color w:val="auto"/>
        </w:rPr>
      </w:pPr>
    </w:p>
    <w:tbl>
      <w:tblPr>
        <w:tblLayout w:type="fixed"/>
        <w:tblInd w:w="402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410"/>
        </w:trPr>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00" w:type="dxa"/>
            <w:vAlign w:val="bottom"/>
          </w:tcPr>
          <w:p>
            <w:pPr>
              <w:spacing w:after="0"/>
              <w:rPr>
                <w:sz w:val="24"/>
                <w:szCs w:val="24"/>
                <w:color w:val="auto"/>
              </w:rPr>
            </w:pPr>
          </w:p>
        </w:tc>
        <w:tc>
          <w:tcPr>
            <w:tcW w:w="52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28,877</w:t>
            </w:r>
          </w:p>
        </w:tc>
      </w:tr>
      <w:tr>
        <w:trPr>
          <w:trHeight w:val="210"/>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r>
      <w:tr>
        <w:trPr>
          <w:trHeight w:val="212"/>
        </w:trPr>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w:t>
            </w:r>
          </w:p>
        </w:tc>
      </w:tr>
      <w:tr>
        <w:trPr>
          <w:trHeight w:val="203"/>
        </w:trPr>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33,564</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-714375</wp:posOffset>
            </wp:positionV>
            <wp:extent cx="6454140" cy="141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54140" cy="14160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-440055</wp:posOffset>
            </wp:positionV>
            <wp:extent cx="6454140"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54140" cy="13335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-173990</wp:posOffset>
            </wp:positionV>
            <wp:extent cx="6454140" cy="158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54140"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9" w:right="339" w:bottom="1440" w:gutter="0" w:footer="0" w:header="0"/>
        </w:sectPr>
      </w:pPr>
    </w:p>
    <w:p>
      <w:pPr>
        <w:spacing w:after="0" w:line="251"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June 30, 2022, assets held for sale included certain assets in our U.S. business segment, an undeveloped land holding and a village in our Australia business segment and an unused corporate office space acquired in the Noralta acquisition in our Canada business segment. As of December 31, 2021, assets held for sale included certain assets in our U.S. business segment and undeveloped land holdings in our Australia business segment. These assets were recorded at the estimated fair value less costs to sell, which exceeded their carry values.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carrying amount as of June 30, 2022 and December 31, 2021 of the assets classified as held for sale (in thousands):</w:t>
      </w:r>
    </w:p>
    <w:p>
      <w:pPr>
        <w:spacing w:after="0" w:line="35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11,762</w:t>
            </w:r>
          </w:p>
        </w:tc>
      </w:tr>
      <w:tr>
        <w:trPr>
          <w:trHeight w:val="22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In calculating diluted earnings per share, we utilize the most dilutive result of the two class method and if-converted methods. We also apply the treasury stock method with respect to certain share-based awards in the calculation of diluted earnings per share, if 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46" w:lineRule="exact"/>
        <w:rPr>
          <w:sz w:val="20"/>
          <w:szCs w:val="20"/>
          <w:color w:val="auto"/>
        </w:rPr>
      </w:pPr>
    </w:p>
    <w:p>
      <w:pPr>
        <w:jc w:val="both"/>
        <w:ind w:firstLine="472"/>
        <w:spacing w:after="0" w:line="282" w:lineRule="auto"/>
        <w:rPr>
          <w:sz w:val="20"/>
          <w:szCs w:val="20"/>
          <w:color w:val="auto"/>
        </w:rPr>
      </w:pPr>
      <w:r>
        <w:rPr>
          <w:rFonts w:ascii="Times New Roman" w:cs="Times New Roman" w:eastAsia="Times New Roman" w:hAnsi="Times New Roman"/>
          <w:sz w:val="17"/>
          <w:szCs w:val="17"/>
          <w:color w:val="auto"/>
        </w:rPr>
        <w:t>The calculation of earnings per share attributable to Civeo common shareholders is presented below for the periods indicated (in thousands, except per share amounts):</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1980" w:type="dxa"/>
            <w:vAlign w:val="bottom"/>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Six Months Ended June 30,</w:t>
            </w:r>
          </w:p>
        </w:tc>
      </w:tr>
      <w:tr>
        <w:trPr>
          <w:trHeight w:val="204"/>
        </w:trPr>
        <w:tc>
          <w:tcPr>
            <w:tcW w:w="59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Civeo common shareholders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(10,429)</w:t>
            </w: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income allocated to participating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 common shareholders</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(10,429)</w:t>
            </w: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undistributed income attributable to participating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Less: undistributed income reallocated to participating securities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 common shareholders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14,244</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14,278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14,271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14,244</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10"/>
        </w:trPr>
        <w:tc>
          <w:tcPr>
            <w:tcW w:w="596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105"/>
        </w:trPr>
        <w:tc>
          <w:tcPr>
            <w:tcW w:w="5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For the three and six months ended June 30, 2022, we excluded a portion of our share-based awards, which totaled less than 0.1 million shares, from the computation of diluted earnings per share because their effect was anti-dilutive. When an entity has a net loss from continuing operations, it is prohibited from including potential common shares in the computation of diluted per share amounts. As a result of the net loss for the three and six months ended June 30, 2021, we excluded from the computation of diluted loss per share 0.1 million and 0.2 million share based awards, respectively, since the effect would have been anti-dilutive. Additionally, for the three and six months ended June 30, 2022 and 2021, the impact of converting the Preferred Shares into 2.5 million and 2.4 million common shares, respectively, using the if-converted method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June 30, 2022 and December 31, 2021, long-term debt consisted of the following (in thousands):</w:t>
      </w: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Canadian term loan; weighted average interest rate of 4.1% for the six month period ended June 30, 2022</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46,560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63,104</w:t>
            </w: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revolving credit facility; weighted average interest rate of 5.7% for the six month period ended June 30, 2022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Canadian revolving credit facility; weighted average interest rate of 4.4% for the six month period ended June 30, 2022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111,300</w:t>
            </w: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Australian revolving credit facility; weighted average interest rate of 3.3% for the six month period ended June 30, 2022</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14,492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726</w:t>
            </w:r>
          </w:p>
        </w:tc>
      </w:tr>
      <w:tr>
        <w:trPr>
          <w:trHeight w:val="203"/>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154,638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175,130</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1,952</w:t>
            </w:r>
          </w:p>
        </w:tc>
      </w:tr>
      <w:tr>
        <w:trPr>
          <w:trHeight w:val="201"/>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152,898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173,178</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 including unamortized debt issuance costs,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29,880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30,576</w:t>
            </w:r>
          </w:p>
        </w:tc>
      </w:tr>
      <w:tr>
        <w:trPr>
          <w:trHeight w:val="204"/>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123,018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142,602</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June 30,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Credit Agreement bear interest at a variable rate equal to the London Inter-Bank Offered Rate (LIBOR)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net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Secured Overnight Financing Rate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spacing w:after="0" w:line="76"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June 30, 2022.</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June 30, 2022, we had seven lenders that were parties to the Credit Agreement, with total commitments (including both revolving commitments and term commitments) ranging from $22.5 million to $52.0 million. As of June 30,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103"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w:t>
      </w:r>
    </w:p>
    <w:p>
      <w:pPr>
        <w:spacing w:after="0" w:line="42"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2022 and 2021, Canada and the U.S. were considered loss jurisdictions for tax accounting purposes and were removed from the annual effective tax rate computation for purposes of computing the interim tax provision.</w:t>
      </w:r>
    </w:p>
    <w:p>
      <w:pPr>
        <w:spacing w:after="0" w:line="191"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7"/>
          <w:szCs w:val="17"/>
          <w:color w:val="auto"/>
        </w:rPr>
        <w:t>Our income tax expense for the three months ended June 30, 2022 totaled $1.8 million, or 15.1% of pretax income, compared to income tax benefit of $0.5 million, or 102.1% of pretax loss, for the three months ended June 30, 2021. Our effective tax rate for both the three months ended June 30, 2022 and 2021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206"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income tax expense for six months ended June 30, 2022 totaled $3.4 million, or 21.8% of pretax income, compared to income tax expense of $0.6 million, or (6.6)% of pretax loss, for the six months ended June 30, 2021. Our effective tax rate for the six months ended June 30, 2022 and 2021 was impacted by considering Canada and the U.S. loss jurisdictions.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accumulated other comprehensive loss increased $12.0 million from $361.9 million at December 31, 2021 to $373.8 million at June 30, 2022, as a result of foreign currency exchange rate fluctuations. Changes in other comprehensive loss during the first six months of 2022 were primarily driven by the Australian dollar and Canadian dollar decreasing in value compared to the U.S. dollar. Excluding intercompany balances, our Canadian dollar and Australian dollar functional currency net assets totaled approximately C$238 million and A$225 million, respectively, at June 30,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 PROGRAM</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August 2021, our Board of Directors (Board) authorized a common share repurchase program to repurchase up to 5.0% of our total common shares which are issued and outstanding, or approximately 715,000 common shares, over a twelve month period. The common share repurchase program commenced in September 2021 and will terminate no later than twelve months from date of commencement. The repurchase authorization allows repurchases from time to time in open market transactions, including pursuant to trading plans adopted in accordance with Rule 10b5-1 of the Securities Exchange Act of 1934.</w:t>
      </w:r>
    </w:p>
    <w:p>
      <w:pPr>
        <w:spacing w:after="0" w:line="19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intend to fund repurchases through cash on hand and cash generated from operations. Pursuant to our common share repurchase program, during the six months ended June 30, 2022, we repurchased an aggregate of 22,911 of our common shares outstanding at a weighted average price of $23.65 per share, for a total of approximately $0.5 million. We have repurchased an aggregate of 240,090 of our common shares outstanding at a weighted average price of $21.59 per share for a total cost of $5.2 million since inception of the common share repurchase program. The common shares repurchased under the program are cancelled in the periods they are acquired and the payment is accounted for as an increase to accumulated deficit in our Unaudited Consolidated Statements of Changes in Shareholders’ Equity in the period the payment is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18, 2022, we granted 39,032 restricted share awards to our non-employee directors, which vest in their entirety on May 17, 2023.</w:t>
      </w:r>
    </w:p>
    <w:p>
      <w:pPr>
        <w:spacing w:after="0" w:line="16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June 30, 2022 and 2021 totaled $0.3 million and $0.3 million, respectively. Compensation expense associated with restricted share awards, restricted share units and deferred share awards recognized in the six months ended June 30, 2022 and 2021 totaled $0.7 million and $0.8 million, respectively. The total fair value of restricted share awards, restricted share units and deferred share awards that vested during the three months ended June 30, 2022 and 2021 was $1.5 million and zero, respectively. The total fair value of restricted share awards, restricted share units and deferred share awards that vested during the six months ended June 30, 2022 and 2021 was $2.1 million and $1.5 million, respectively.</w:t>
      </w:r>
    </w:p>
    <w:p>
      <w:pPr>
        <w:spacing w:after="0" w:line="17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At June 30, 2022, unrecognized compensation cost related to restricted share awards, restricted share units and deferred share awards was $0.9 million, which is expected to be recognized over a weighted average period of 0.9 years.</w:t>
      </w:r>
    </w:p>
    <w:p>
      <w:pPr>
        <w:spacing w:after="0" w:line="143"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Awards. </w:t>
      </w:r>
      <w:r>
        <w:rPr>
          <w:rFonts w:ascii="Times New Roman" w:cs="Times New Roman" w:eastAsia="Times New Roman" w:hAnsi="Times New Roman"/>
          <w:sz w:val="17"/>
          <w:szCs w:val="17"/>
          <w:color w:val="auto"/>
        </w:rPr>
        <w:t>On February 25, 2022, we granted 255,034 phantom share awards under the Civeo Plan, which vest in three equal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installments beginning on February 25, 2023. We also granted 77,574 phantom share awards under the Canadian Long-Term Incentive Plan, which vest in three equal annual installments beginning on February 25, 2023. Phantom share awards are settled in cash upon vesting.</w:t>
      </w:r>
    </w:p>
    <w:p>
      <w:pPr>
        <w:spacing w:after="0" w:line="187"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June 30, 2022 and 2021, we recognized compensation expense associated with phantom shares totaling $2.5 million and $1.4 million, respectively. During the six months ended June 30, 2022 and 2021, we recognized compensation expense associated with phantom shares totaling $4.9 million and $2.9 million, respectively. At June 30, 2022, unrecognized compensation cost related to phantom shares was $14.5 million, as remeasured at June 30, 2022, which is expected to be recognized over a weighted average period of 2.0 years.</w:t>
      </w:r>
    </w:p>
    <w:p>
      <w:pPr>
        <w:spacing w:after="0" w:line="164"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Awards. </w:t>
      </w:r>
      <w:r>
        <w:rPr>
          <w:rFonts w:ascii="Times New Roman" w:cs="Times New Roman" w:eastAsia="Times New Roman" w:hAnsi="Times New Roman"/>
          <w:sz w:val="17"/>
          <w:szCs w:val="17"/>
          <w:color w:val="auto"/>
        </w:rPr>
        <w:t>On February 25, 2022, we granted 122,555 performance awards under the Civeo Plan, which cliff vest in three years on February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25, 2025 subject to attainment of applicable performance criteria. These awards will be earned in amounts between 0% and 200% of the participant’s target performance share award, based equally on (i) the payout percentage associated with Civeo’s relative total shareholder return rank among a peer group that includes 17 other companies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and (ii) the payout percentage associated with Civeo's cumulative operating cash flow over the performance period relative to a preset target. The portion of the performance awards tied to cumulative operating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During the three months ended June 30, 2022 and 2021, we recognized compensation expense associated with performance awards totaling $0.7 million and $0.6 million, respectively. During the six months ended June 30, 2022 and 2021, we recognized compensation expense associated with performance awards totaling $1.3 million and $1.1 million, respectively. No performance share awards vested during the three months ended June 30, 2022 and 2021. The total fair value of performance share awards that vested during the six months ended June 30, 2022 and 2021 was $2.4 million and $1.9 million, respectively. At June 30, 2022, unrecognized compensation cost related to performance shares was $5.2 million, which is expected to be recognized over a weighted average period of 2.2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47"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six months ended June 30, 2022 and 2021 is summarized in the following table (in thousands):</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and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revenues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expenditures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3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109,023</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14,998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753,303</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204,086</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26,165</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(346,157)</w:t>
            </w:r>
          </w:p>
        </w:tc>
        <w:tc>
          <w:tcPr>
            <w:tcW w:w="0" w:type="dxa"/>
            <w:vAlign w:val="bottom"/>
          </w:tcPr>
          <w:p>
            <w:pPr>
              <w:spacing w:after="0"/>
              <w:rPr>
                <w:sz w:val="1"/>
                <w:szCs w:val="1"/>
                <w:color w:val="auto"/>
              </w:rPr>
            </w:pPr>
          </w:p>
        </w:tc>
      </w:tr>
      <w:tr>
        <w:trPr>
          <w:trHeight w:val="204"/>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184,954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23,083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637,397</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763,763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242,730</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(316,599)</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717,687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204,975</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26,595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753,303</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204,086</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26,165</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(346,157)</w:t>
            </w:r>
          </w:p>
        </w:tc>
        <w:tc>
          <w:tcPr>
            <w:tcW w:w="0" w:type="dxa"/>
            <w:vAlign w:val="bottom"/>
          </w:tcPr>
          <w:p>
            <w:pPr>
              <w:spacing w:after="0"/>
              <w:rPr>
                <w:sz w:val="1"/>
                <w:szCs w:val="1"/>
                <w:color w:val="auto"/>
              </w:rPr>
            </w:pPr>
          </w:p>
        </w:tc>
      </w:tr>
      <w:tr>
        <w:trPr>
          <w:trHeight w:val="204"/>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350,632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43,210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637,397</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763,763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242,730</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(316,599)</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717,687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commodities, as well as our expectations about capital expenditures in 2022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2021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4"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shareholder expectations.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 Canada, Australia, the U.S. and other markets, including governmental measures introduced to fight climate change or to help slow the spread or mitigate the impact of COVID-19.</w:t>
      </w:r>
    </w:p>
    <w:p>
      <w:pPr>
        <w:spacing w:after="0" w:line="300" w:lineRule="exact"/>
        <w:rPr>
          <w:sz w:val="20"/>
          <w:szCs w:val="20"/>
          <w:color w:val="auto"/>
        </w:rPr>
      </w:pPr>
    </w:p>
    <w:p>
      <w:pPr>
        <w:jc w:val="both"/>
        <w:ind w:firstLine="472"/>
        <w:spacing w:after="0" w:line="249" w:lineRule="auto"/>
        <w:rPr>
          <w:sz w:val="20"/>
          <w:szCs w:val="20"/>
          <w:color w:val="auto"/>
        </w:rPr>
      </w:pPr>
      <w:r>
        <w:rPr>
          <w:rFonts w:ascii="Times New Roman" w:cs="Times New Roman" w:eastAsia="Times New Roman" w:hAnsi="Times New Roman"/>
          <w:sz w:val="17"/>
          <w:szCs w:val="17"/>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In the second quarter of 2022, approximately 64% of our revenue was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which can range from several weeks to several years. The remainder of our revenue is generated by our hospitality services at customer-owned locations in Canada and Australia, mobile assets in Canada and the U.S and our lodges in the U.S.</w:t>
      </w:r>
    </w:p>
    <w:p>
      <w:pPr>
        <w:spacing w:after="0" w:line="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8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evolved with the introduction of vaccination efforts in 2021, and may continue to evolve as virus variants have added uncertainty to the continuing global impact. Since the COVID-19 pandemic began, we have been impacted by increased staff costs as a result of hospitality labor shortages in Australia. This labor shortage has been exacerbated by significantly reduced foreign labor availability and reduced labor mobility in Australia, which has subsequently led to an increased reliance on more expensive temporary labor resources. We continue to closely monitor the COVID-19 situation and have taken measures to help ensure the health and well-being of our employees, guests and contractors, including screening of individuals that enter our facilities, social distancing practices, enhanced cleaning and sanitization efforts, the suspension of nonessential employee travel and implementation of work-from-home policies, where applicable.</w:t>
      </w:r>
    </w:p>
    <w:p>
      <w:pPr>
        <w:spacing w:after="0" w:line="11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part due to the impact of COVID-19 on the global economy, increasing inflationary pressures are being experienced worldwide. These price increases have, and are expected to continue to have, a negative impact on our labor and food costs, as well as consumable costs such as fuel. The Company is managing inflation risk with negotiated service scope changes and contractual protections.</w:t>
      </w:r>
    </w:p>
    <w:p>
      <w:pPr>
        <w:spacing w:after="0" w:line="9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Since this trough in early 2020, global oil prices increased later in 2020 and throughout 2021 primarily due to improved global oil demand and lagging global oil supply due to oil production discipline from publicly traded oil producers and OPEC+ countries. These supply/demand dynamics have continued in 2022 and have been exacerbated by the recent conflict between Russia and Ukraine and related sanctions on Russia, which decreased global fossil fuel supply even further. This has led to a significant increase in global oil prices to above $100 per barrel. In response, several governments including the U.S. government under the Biden administration, have begun to release oil from the government controlled strategic reserves.</w:t>
      </w:r>
    </w:p>
    <w:p>
      <w:pPr>
        <w:spacing w:after="0" w:line="304"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Alberta, Canada. </w:t>
      </w:r>
      <w:r>
        <w:rPr>
          <w:rFonts w:ascii="Times New Roman" w:cs="Times New Roman" w:eastAsia="Times New Roman" w:hAnsi="Times New Roman"/>
          <w:sz w:val="17"/>
          <w:szCs w:val="17"/>
          <w:color w:val="auto"/>
        </w:rPr>
        <w:t>In Canada, Western Canadian Select (WCS) crude is the benchmark price for our oil sands customers. Pricing for WCS is driven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factors, including the underlying 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0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The Canadian federal government acquired the TMX pipeline in 2018, approved the expansion of the project and is currently working through a revised construction timeline to adjust for recent delays related to legal challenges, the COVID-19 pandemic, flooding along certain sections of the pipeline corridor and seasonal wildfires. As a result, the TMX pipeline construction has been delayed, and there is a risk that there could be future delays. Recent legal issues between the Canadian government and First Nation groups have been resolved for the time being and construction has resumed.</w:t>
      </w:r>
    </w:p>
    <w:p>
      <w:pPr>
        <w:spacing w:after="0" w:line="11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WCS prices in the second quarter of 2022 averaged $92.89 per barrel compared to an average of $53.27 in the second quarter of 2021. The WCS Differential increased from $14.12 per barrel at the end of the fourth quarter of 2021 to $18.16 at the end of the second quarter of 2022. As of July 25, 2022, the WTI price was $99.60 and the WCS price was $76.26, resulting in a WCS Differential of $23.34.</w:t>
      </w:r>
    </w:p>
    <w:p>
      <w:pPr>
        <w:spacing w:after="0" w:line="8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Together with the initial spread of COVID-19, depressed price levels of both WTI and WCS materially impacted 2020 maintenance and production spending and activity by Canadian operators and, therefore, demand for our hospitality services. Customers began increasing production activity in the fourth quarter of 2020, throughout 2021 and into the first half of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While oil prices have recently increased to multi-year highs, there is continued uncertainty around commodity price levels, including the impact of COVID-19, inflationary pressures and regulatory implications on such prices, which could cause our Canadian oil sands and pipeline customers to reduce production, delay expansionary and maintenance spending and defer additional investments in their oil sands assets.</w:t>
      </w:r>
    </w:p>
    <w:p>
      <w:pPr>
        <w:spacing w:after="0" w:line="94"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British Columbia, Canada. </w:t>
      </w:r>
      <w:r>
        <w:rPr>
          <w:rFonts w:ascii="Times New Roman" w:cs="Times New Roman" w:eastAsia="Times New Roman" w:hAnsi="Times New Roman"/>
          <w:sz w:val="17"/>
          <w:szCs w:val="17"/>
          <w:color w:val="auto"/>
        </w:rPr>
        <w:t>Our Sitka Lodge supports the LNG Canada project and related pipeline projects (see discussion below). From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macroeconomic standpoint, LNG demand continued to grow despite the spread of COVID-19, reinforcing the need for the global LNG industry to expand access to natural gas. Evolving government energy policies around the world have amplified support for cleaner energy supply, creating more opportunities for natural gas and LNG. The conflict between Russia and Ukraine has further highlighted the need for secure natural gas supply globally, particularly in Europe. Accordingly, additional investment in LNG supply will be needed to meet the resulting expected long-term LNG demand growth.</w:t>
      </w:r>
    </w:p>
    <w:p>
      <w:pPr>
        <w:spacing w:after="0" w:line="10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designated portions of the related pipeline construction activity. The actual timing of when revenue is realized from the Coastal GasLink (CGL) pipeline and Sitka Lodge contracts could be impacted by any delays in the construction of the Kitimat LNG Facility or the pipeline, such as protest blockades or COVID-19. Our current expectation is that our contracted commitments associated with the CGL pipeline project will be completed in late 2022 or early 2023. Any new delays in facility or pipeline construction may result in extensions to these dates.</w:t>
      </w:r>
    </w:p>
    <w:p>
      <w:pPr>
        <w:spacing w:after="0" w:line="31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late March 2020, LNGC announced steps being taken to reduce the spread of COVID-19, including reduction of the workforce at the project site to essential personnel only. In late December 2020, British Columbia’s public health officer issued a health order limiting workforce size at all large industrial projects across the province, including LNGC. These actions resulted in reduced occupancy at our Sitka Lodge beginning in the second quarter of 2020. British Columbia's public health order was phased out in the second quarter of 2021. It was replaced with less restrictive requirements focused on monitoring, allowing workforces to return to their optimal sizes, which increased occupancy at our Sitka Lodge in the second half of 2021 and into 2022.</w:t>
      </w:r>
    </w:p>
    <w:p>
      <w:pPr>
        <w:spacing w:after="0" w:line="101"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Australia. </w:t>
      </w:r>
      <w:r>
        <w:rPr>
          <w:rFonts w:ascii="Times New Roman" w:cs="Times New Roman" w:eastAsia="Times New Roman" w:hAnsi="Times New Roman"/>
          <w:sz w:val="17"/>
          <w:szCs w:val="17"/>
          <w:color w:val="auto"/>
        </w:rPr>
        <w:t>In Australia, 82% of our rooms are located in the Bowen Basin of Queensland, Australia and primarily serve met coal mines in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region. Met coal pricing and production growth in the Bowen Basin region is predominantly influenced by the levels of global steel production, which decreased by 5.5% through June 2022 compared to the same period of 2021. Analysts forecast steel production for 2022 to be subdued for the full year 2022 compared to 2021 with reduced residential construction activity offsetting stronger global infrastructure activity. As of July 25, 2022, met coal spot prices were $230 per metric tonne. Long-term demand for steel is expected to be driven by global infrastructure spending and increased steel consumption per capita in developing economies, such as China and India, whose current consumption per capita is a fraction of developed countries.</w:t>
      </w:r>
    </w:p>
    <w:p>
      <w:pPr>
        <w:spacing w:after="0" w:line="10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Chinese embargo on Australian coal continues. However, Australian met coal producers have found new markets, including India and Europe, for their premium product. This led to a rebalancing of the market globally in 2021, with China relying on domestic production along with increased met coal imports from the U.S., Canada and Mongolia. With the backdrop of continuing strong steel demand and met coal supply constraints, the spot price for met coal surged to record highs through the second half of 2021 into early 2022. Since the historic highs in early 2022, prices have retreated to approximately $230 per tonne with a weakening in steel demand coupled with Chinese lockdowns and concerns about a global economic slowdown. Analysts expect prices to remain stagnant, with some volatility in prices in the near term, recovering to near $300 per tonne in the second half of 2022. As the trade impasse with China remains unresolved and as the Ukraine conflict continues, there remains volatility in both the short and medium term.</w:t>
      </w:r>
    </w:p>
    <w:p>
      <w:pPr>
        <w:spacing w:after="0" w:line="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Civeo's activity in Western Australia is driven primarily by iron ore production, which is a key steel-making ingredient. Through the second half of 2021, with forced cuts in Chinese steel production along with weaker demand, prices retreated from the peaks experienced in mid-2021. Iron ore prices have remained relatively stable in the first half of 2022, albeit with a decrease in early July. As of July 22, 2022, iron ore spot prices were $92.51 per metric tonne, which reflects a softening in prices since early 2022 as new COVID restrictions in China and weaker steel production impact demand. While there is anticipation of infrastructure-related construction activity improving in China, this factor will be tempered with a slowdown 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residential activity and COVID-19 impacts. Accordingly, iron ore prices are expected to moderate above current levels during the second half of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Australian iron ore exports in 2022 are forecast to exceed both 2020 and 2021 volumes and continue to grow over the medium term through to 2024.</w:t>
      </w:r>
    </w:p>
    <w:p>
      <w:pPr>
        <w:spacing w:after="0" w:line="136"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 </w:t>
      </w:r>
      <w:r>
        <w:rPr>
          <w:rFonts w:ascii="Times New Roman" w:cs="Times New Roman" w:eastAsia="Times New Roman" w:hAnsi="Times New Roman"/>
          <w:sz w:val="17"/>
          <w:szCs w:val="17"/>
          <w:color w:val="auto"/>
        </w:rPr>
        <w:t>Our U.S. business supports oil shale drilling and completion activity and is primarily tied to WTI oil prices in the U.S. shale formations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Permian Basin, the Mid-Continent, the Bakken and the Rockies. In 2020, the U.S. oil rig count and associated completion activity decreased due to COVID-19 and the global oil price decline discussed above. Only 267 oil rigs were active at the end of 2020. With the recovery of oil prices, oil rig count and drilling activity have recovered substantially, with 594 oil rigs active at the end of the second quarter 2022. The Permian Basin remains the most active U.S. unconventional play, representing approximately 60% of the oil rigs active in the U.S. at the end of the second quarter of 2022. The increase in the U.S. rig count and oil prices has only resulted in slight increases to U.S. oil production from an average of 11.3 million barrels per day in 2021 to an average of 11.6 million barrels per day at the end of April 2022. As of July 22, 2022, there were 599 active oil rigs in the U.S. (as measured by Bakerhughes.com). U.S. oil shale drilling and completion activity will continue to be impacted by higher WTI oil prices, pipeline capacity, federal energy policies and availability of capital to support exploration and production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Recent Commodity Prices. </w:t>
      </w:r>
      <w:r>
        <w:rPr>
          <w:rFonts w:ascii="Times New Roman" w:cs="Times New Roman" w:eastAsia="Times New Roman" w:hAnsi="Times New Roman"/>
          <w:sz w:val="17"/>
          <w:szCs w:val="17"/>
          <w:color w:val="auto"/>
        </w:rPr>
        <w:t>Recent WTI crude, WCS crude, met coal and iron ore pricing trends are as follows:</w:t>
      </w:r>
    </w:p>
    <w:p>
      <w:pPr>
        <w:spacing w:after="0" w:line="242"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3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w w:val="99"/>
              </w:rPr>
              <w:t>WTI</w:t>
            </w:r>
          </w:p>
        </w:tc>
        <w:tc>
          <w:tcPr>
            <w:tcW w:w="280" w:type="dxa"/>
            <w:vAlign w:val="bottom"/>
          </w:tcPr>
          <w:p>
            <w:pPr>
              <w:spacing w:after="0"/>
              <w:rPr>
                <w:sz w:val="14"/>
                <w:szCs w:val="14"/>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rPr>
              <w:t>WCS</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7"/>
                <w:szCs w:val="17"/>
                <w:color w:val="auto"/>
                <w:w w:val="99"/>
              </w:rPr>
              <w:t>Hard</w:t>
            </w:r>
          </w:p>
        </w:tc>
        <w:tc>
          <w:tcPr>
            <w:tcW w:w="240" w:type="dxa"/>
            <w:vAlign w:val="bottom"/>
          </w:tcPr>
          <w:p>
            <w:pPr>
              <w:spacing w:after="0"/>
              <w:rPr>
                <w:sz w:val="14"/>
                <w:szCs w:val="14"/>
                <w:color w:val="auto"/>
              </w:rPr>
            </w:pPr>
          </w:p>
        </w:tc>
        <w:tc>
          <w:tcPr>
            <w:tcW w:w="132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auto"/>
              </w:rPr>
              <w:t>Iron</w:t>
            </w:r>
          </w:p>
        </w:tc>
        <w:tc>
          <w:tcPr>
            <w:tcW w:w="0" w:type="dxa"/>
            <w:vAlign w:val="bottom"/>
          </w:tcPr>
          <w:p>
            <w:pPr>
              <w:spacing w:after="0"/>
              <w:rPr>
                <w:sz w:val="1"/>
                <w:szCs w:val="1"/>
                <w:color w:val="auto"/>
              </w:rPr>
            </w:pPr>
          </w:p>
        </w:tc>
      </w:tr>
      <w:tr>
        <w:trPr>
          <w:trHeight w:val="176"/>
        </w:trPr>
        <w:tc>
          <w:tcPr>
            <w:tcW w:w="3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3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20"/>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280" w:type="dxa"/>
            <w:vAlign w:val="bottom"/>
          </w:tcPr>
          <w:p>
            <w:pPr>
              <w:spacing w:after="0"/>
              <w:rPr>
                <w:sz w:val="14"/>
                <w:szCs w:val="14"/>
                <w:color w:val="auto"/>
              </w:rPr>
            </w:pPr>
          </w:p>
        </w:tc>
        <w:tc>
          <w:tcPr>
            <w:tcW w:w="1380" w:type="dxa"/>
            <w:vAlign w:val="bottom"/>
            <w:gridSpan w:val="2"/>
          </w:tcPr>
          <w:p>
            <w:pPr>
              <w:jc w:val="center"/>
              <w:ind w:right="420"/>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7"/>
                <w:szCs w:val="17"/>
                <w:color w:val="auto"/>
              </w:rPr>
              <w:t>(Met Coal)</w:t>
            </w:r>
          </w:p>
        </w:tc>
        <w:tc>
          <w:tcPr>
            <w:tcW w:w="240" w:type="dxa"/>
            <w:vAlign w:val="bottom"/>
          </w:tcPr>
          <w:p>
            <w:pPr>
              <w:spacing w:after="0"/>
              <w:rPr>
                <w:sz w:val="14"/>
                <w:szCs w:val="14"/>
                <w:color w:val="auto"/>
              </w:rPr>
            </w:pPr>
          </w:p>
        </w:tc>
        <w:tc>
          <w:tcPr>
            <w:tcW w:w="1320" w:type="dxa"/>
            <w:vAlign w:val="bottom"/>
          </w:tcPr>
          <w:p>
            <w:pPr>
              <w:jc w:val="center"/>
              <w:ind w:right="173"/>
              <w:spacing w:after="0" w:line="171" w:lineRule="exact"/>
              <w:rPr>
                <w:sz w:val="20"/>
                <w:szCs w:val="20"/>
                <w:color w:val="auto"/>
              </w:rPr>
            </w:pPr>
            <w:r>
              <w:rPr>
                <w:rFonts w:ascii="Times New Roman" w:cs="Times New Roman" w:eastAsia="Times New Roman" w:hAnsi="Times New Roman"/>
                <w:sz w:val="17"/>
                <w:szCs w:val="17"/>
                <w:color w:val="auto"/>
              </w:rPr>
              <w:t>Ore</w:t>
            </w:r>
          </w:p>
        </w:tc>
        <w:tc>
          <w:tcPr>
            <w:tcW w:w="0" w:type="dxa"/>
            <w:vAlign w:val="bottom"/>
          </w:tcPr>
          <w:p>
            <w:pPr>
              <w:spacing w:after="0"/>
              <w:rPr>
                <w:sz w:val="1"/>
                <w:szCs w:val="1"/>
                <w:color w:val="auto"/>
              </w:rPr>
            </w:pPr>
          </w:p>
        </w:tc>
      </w:tr>
      <w:tr>
        <w:trPr>
          <w:trHeight w:val="223"/>
        </w:trPr>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ended</w:t>
            </w:r>
          </w:p>
        </w:tc>
        <w:tc>
          <w:tcPr>
            <w:tcW w:w="30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 bbl)</w:t>
            </w:r>
          </w:p>
        </w:tc>
        <w:tc>
          <w:tcPr>
            <w:tcW w:w="28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 bbl)</w:t>
            </w:r>
          </w:p>
        </w:tc>
        <w:tc>
          <w:tcPr>
            <w:tcW w:w="2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(per tonne)</w:t>
            </w:r>
          </w:p>
        </w:tc>
        <w:tc>
          <w:tcPr>
            <w:tcW w:w="240" w:type="dxa"/>
            <w:vAlign w:val="bottom"/>
          </w:tcPr>
          <w:p>
            <w:pPr>
              <w:spacing w:after="0"/>
              <w:rPr>
                <w:sz w:val="19"/>
                <w:szCs w:val="19"/>
                <w:color w:val="auto"/>
              </w:rPr>
            </w:pPr>
          </w:p>
        </w:tc>
        <w:tc>
          <w:tcPr>
            <w:tcW w:w="13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(per tonne)</w:t>
            </w:r>
          </w:p>
        </w:tc>
        <w:tc>
          <w:tcPr>
            <w:tcW w:w="0" w:type="dxa"/>
            <w:vAlign w:val="bottom"/>
          </w:tcPr>
          <w:p>
            <w:pPr>
              <w:spacing w:after="0"/>
              <w:rPr>
                <w:sz w:val="1"/>
                <w:szCs w:val="1"/>
                <w:color w:val="auto"/>
              </w:rPr>
            </w:pPr>
          </w:p>
        </w:tc>
      </w:tr>
      <w:tr>
        <w:trPr>
          <w:trHeight w:val="216"/>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Third Quarter through July 25, 2022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128.80</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164.90</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159.83</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940" w:hanging="306"/>
        <w:spacing w:after="0" w:line="228" w:lineRule="auto"/>
        <w:tabs>
          <w:tab w:leader="none" w:pos="9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WTI crude prices are from U.S. Energy Information Administration (EIA), WCS crude prices and iron ore prices are from Bloomberg and hard coking coal prices are from IHS Markit.</w:t>
      </w:r>
    </w:p>
    <w:p>
      <w:pPr>
        <w:spacing w:after="0" w:line="21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Canadian dollar and the Australian dollar influence our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3"/>
        </w:trPr>
        <w:tc>
          <w:tcPr>
            <w:tcW w:w="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5"/>
        </w:trPr>
        <w:tc>
          <w:tcPr>
            <w:tcW w:w="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00" w:type="dxa"/>
            <w:vAlign w:val="bottom"/>
          </w:tcPr>
          <w:p>
            <w:pPr>
              <w:spacing w:after="0"/>
              <w:rPr>
                <w:sz w:val="17"/>
                <w:szCs w:val="17"/>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200" w:type="dxa"/>
            <w:vAlign w:val="bottom"/>
          </w:tcPr>
          <w:p>
            <w:pPr>
              <w:spacing w:after="0"/>
              <w:rPr>
                <w:sz w:val="17"/>
                <w:szCs w:val="17"/>
                <w:color w:val="auto"/>
              </w:rPr>
            </w:pPr>
          </w:p>
        </w:tc>
      </w:tr>
      <w:tr>
        <w:trPr>
          <w:trHeight w:val="151"/>
        </w:trPr>
        <w:tc>
          <w:tcPr>
            <w:tcW w:w="680" w:type="dxa"/>
            <w:vAlign w:val="bottom"/>
          </w:tcPr>
          <w:p>
            <w:pPr>
              <w:spacing w:after="0"/>
              <w:rPr>
                <w:sz w:val="13"/>
                <w:szCs w:val="13"/>
                <w:color w:val="auto"/>
              </w:rPr>
            </w:pPr>
          </w:p>
        </w:tc>
        <w:tc>
          <w:tcPr>
            <w:tcW w:w="23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Average Canadian dollar to U.S.</w:t>
            </w: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r>
      <w:tr>
        <w:trPr>
          <w:trHeight w:val="236"/>
        </w:trPr>
        <w:tc>
          <w:tcPr>
            <w:tcW w:w="680" w:type="dxa"/>
            <w:vAlign w:val="bottom"/>
          </w:tcPr>
          <w:p>
            <w:pPr>
              <w:spacing w:after="0"/>
              <w:rPr>
                <w:sz w:val="20"/>
                <w:szCs w:val="20"/>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dollar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$0.784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$0.787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20"/>
                <w:szCs w:val="20"/>
                <w:color w:val="auto"/>
              </w:rPr>
            </w:pPr>
          </w:p>
        </w:tc>
      </w:tr>
      <w:tr>
        <w:trPr>
          <w:trHeight w:val="170"/>
        </w:trPr>
        <w:tc>
          <w:tcPr>
            <w:tcW w:w="680" w:type="dxa"/>
            <w:vAlign w:val="bottom"/>
          </w:tcPr>
          <w:p>
            <w:pPr>
              <w:spacing w:after="0"/>
              <w:rPr>
                <w:sz w:val="14"/>
                <w:szCs w:val="14"/>
                <w:color w:val="auto"/>
              </w:rPr>
            </w:pPr>
          </w:p>
        </w:tc>
        <w:tc>
          <w:tcPr>
            <w:tcW w:w="2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Australian dollar to</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5"/>
        </w:trPr>
        <w:tc>
          <w:tcPr>
            <w:tcW w:w="68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dollar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$0.772</w:t>
            </w:r>
          </w:p>
        </w:tc>
        <w:tc>
          <w:tcPr>
            <w:tcW w:w="100" w:type="dxa"/>
            <w:vAlign w:val="bottom"/>
          </w:tcPr>
          <w:p>
            <w:pPr>
              <w:spacing w:after="0"/>
              <w:rPr>
                <w:sz w:val="20"/>
                <w:szCs w:val="20"/>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200" w:type="dxa"/>
            <w:vAlign w:val="bottom"/>
          </w:tcPr>
          <w:p>
            <w:pPr>
              <w:spacing w:after="0"/>
              <w:rPr>
                <w:sz w:val="20"/>
                <w:szCs w:val="20"/>
                <w:color w:val="auto"/>
              </w:rPr>
            </w:pPr>
          </w:p>
        </w:tc>
      </w:tr>
      <w:tr>
        <w:trPr>
          <w:trHeight w:val="891"/>
        </w:trPr>
        <w:tc>
          <w:tcPr>
            <w:tcW w:w="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5"/>
        </w:trPr>
        <w:tc>
          <w:tcPr>
            <w:tcW w:w="6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5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4" w:lineRule="exact"/>
        <w:rPr>
          <w:sz w:val="20"/>
          <w:szCs w:val="20"/>
          <w:color w:val="auto"/>
        </w:rPr>
      </w:pPr>
    </w:p>
    <w:tbl>
      <w:tblPr>
        <w:tblLayout w:type="fixed"/>
        <w:tblInd w:w="158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4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3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$0.776</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$0.789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r>
    </w:tbl>
    <w:p>
      <w:pPr>
        <w:spacing w:after="0" w:line="19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1"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Capital Expenditures. </w:t>
      </w:r>
      <w:r>
        <w:rPr>
          <w:rFonts w:ascii="Times New Roman" w:cs="Times New Roman" w:eastAsia="Times New Roman" w:hAnsi="Times New Roman"/>
          <w:sz w:val="17"/>
          <w:szCs w:val="17"/>
          <w:color w:val="auto"/>
        </w:rPr>
        <w:t>We continue to monitor the global economy, the price of and demand for crude oil, met coal, LNG and iron ore and the resultant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impact on the capital spending plans of our customers, inflation, the COVID-19 global pandemic and the responses thereto in order to plan our business activities. We currently expect that our 2022 capital expenditures, including the capital expenditures associated with our recently announced 12-year contract renewal for our Wapasu Lodge in the Canadian oil sands, will be in the range of approximately $24 million to $29 million, compared to 2021 capital expenditures of $15.6 million. We may adjust our capital expenditure plans in the future as we continue to monitor customer activity. 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2022 capital expenditures.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8"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six months ended June 30, 2022, is based on a comparison to the corresponding periods of 2021.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June 30, 2022 Compared to Three Months Ended June 30, 2021</w:t>
      </w:r>
    </w:p>
    <w:p>
      <w:pPr>
        <w:spacing w:after="0" w:line="32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109,023</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83,281</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25,742</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30,778</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17,667</w:t>
            </w:r>
          </w:p>
        </w:tc>
      </w:tr>
      <w:tr>
        <w:trPr>
          <w:trHeight w:val="204"/>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r>
      <w:tr>
        <w:trPr>
          <w:trHeight w:val="190"/>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22,051</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3"/>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170,712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152,047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18,665</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r>
      <w:tr>
        <w:trPr>
          <w:trHeight w:val="210"/>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Civeo Corporation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9,555</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common shareholders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reported net income attributable to Civeo for the quarter ended June 30, 2022 of $9.1 million, or $0.54 per diluted share compared to net loss attributable to Civeo for the quarter ended June 30, 2021 of $0.5 million, or $0.03 per diluted share. As further discussed below, net loss for the quarter ended June 30, 2021 included a $7.9 million pre-tax loss resulting from the impairment of fixed assets included in Impairment expense.</w:t>
      </w:r>
    </w:p>
    <w:p>
      <w:pPr>
        <w:spacing w:after="0" w:line="57"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$30.8 million, or 20%, in the second quarter of 2022 compared to the second quarter of 2021. This increase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due to (i) higher billed rooms at our Canadian lodges as occupancy in the second quarter of 2021 was negatively impacted by the COVID-19 pandemic, (ii) higher average daily rate at our Canadian lodges largely due to occupancy mix, (iii) increased mobile asset activity from pipeline projects in Canada, (iv) increased activity at our Australian integrated services villages in Western Australia and (v) increased activity at our Australian Bowen Basin owned villages. These items were partially offset by a weaker Australian and Canadian dollar relative to the U.S. dollar in the second quarter of 2022 compared to the second quarter of 2021. See the discussion of segment results of operations below for further information.</w:t>
      </w:r>
    </w:p>
    <w:p>
      <w:pPr>
        <w:spacing w:after="0" w:line="10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$22.1 million, or 20%, in the second quarter of 2022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of 2021. This increase was primarily due to (i) higher billed rooms at our Canadian lodges, (ii) increased mobile asset activity from pipeline projects in Canada, (iii) increased activity at our Australian integrated services villages, (iv) increased activity at our Australian Bowen Basin owned villages and (v) increased cost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temporary labor due to ongoing labor shortages in Australia. These items were partially offset by a weaker Australian and Canadian dollar relative to the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 in the second quarter of 2022 compared to the second quarter of 2021. See the discussion of segment results of operations below for further information.</w:t>
      </w:r>
    </w:p>
    <w:p>
      <w:pPr>
        <w:spacing w:after="0" w:line="13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 increased $3.0 million, or 20%, in the second quarter of 2022 compared to the 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2021. This increase was primarily due to higher share-based compensation expense, travel and entertainment expense and information technology expense. The increase in share-based compensation expense was due to a relative increase in our stock price during the second quarter of 2022 compared to the second quarter of 2021. The increase in travel and entertainment expenses was largely a result of a return to more normalized travel expenses with the lifting of travel restrictions associated with COVID-19. This increase in information technology expense was related to implementation costs incurred in a cloud computing arrangement for our newly implemented human capital management system, which are being amortized through SG&amp;A expense instead of depreciation and amortization expense.</w:t>
      </w:r>
    </w:p>
    <w:p>
      <w:pPr>
        <w:spacing w:after="0" w:line="106"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$1.7 million, or 8%, in the second quarter of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second quarter of 2021. The increase was primarily due to shortening the lives on certain assets in Canada, partially offset by certain assets in Canada becoming fully depreciated during 2021 and the disposal of our West Permian Lodge in the U.S. during 2021.</w:t>
      </w:r>
    </w:p>
    <w:p>
      <w:pPr>
        <w:spacing w:after="0" w:line="67" w:lineRule="exact"/>
        <w:rPr>
          <w:sz w:val="20"/>
          <w:szCs w:val="20"/>
          <w:color w:val="auto"/>
        </w:rPr>
      </w:pPr>
    </w:p>
    <w:p>
      <w:pPr>
        <w:jc w:val="both"/>
        <w:ind w:firstLine="472"/>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$7.9 million in the second quarter of 2021 associated with long-lived assets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Australian reporting unit.</w:t>
      </w:r>
    </w:p>
    <w:p>
      <w:pPr>
        <w:spacing w:after="0" w:line="78"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See Note 3 - Impairment Charges to the notes to the unaudited consolidated financial statements included in Item 1 of this quarterly report for further discussion.</w:t>
      </w:r>
    </w:p>
    <w:p>
      <w:pPr>
        <w:spacing w:after="0" w:line="79"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$12.1 million, or 569%, in the second quarter of 2022 compared to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primarily due to higher activity levels in Canada in the second quarter of 2022 compared to the second quarter of 2021 and lower impairment expense in Australia in the second quarter of 2022 compared to the second quarter of 2021.</w:t>
      </w:r>
    </w:p>
    <w:p>
      <w:pPr>
        <w:spacing w:after="0" w:line="94"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$0.8 million, or 23%, in the second quarter of 2022 compared to the second quarter of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lower average debt levels on credit facility borrowings during 2022 compared to 2021, partially offset by higher interest rates on credit facility borrowings.</w:t>
      </w:r>
    </w:p>
    <w:p>
      <w:pPr>
        <w:spacing w:after="0" w:line="15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Income Tax (Expense) Benefit. </w:t>
      </w:r>
      <w:r>
        <w:rPr>
          <w:rFonts w:ascii="Times New Roman" w:cs="Times New Roman" w:eastAsia="Times New Roman" w:hAnsi="Times New Roman"/>
          <w:sz w:val="17"/>
          <w:szCs w:val="17"/>
          <w:color w:val="auto"/>
        </w:rPr>
        <w:t>Our income tax expense for the three months ended June 30, 2022 totaled $1.8 million, or 15.1%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benefit of $0.5 million, or 102.1% of pretax loss, for the three months ended June 30, 2021. Our effective tax rate for both the three months ended June 30, 2022 and 2021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Income. </w:t>
      </w:r>
      <w:r>
        <w:rPr>
          <w:rFonts w:ascii="Times New Roman" w:cs="Times New Roman" w:eastAsia="Times New Roman" w:hAnsi="Times New Roman"/>
          <w:sz w:val="17"/>
          <w:szCs w:val="17"/>
          <w:color w:val="auto"/>
        </w:rPr>
        <w:t>Other comprehensive loss increased $18.5 million in the second quarter of 2022 compared to the second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2021, primarily as a result of foreign currency translation adjustments due to changes in the Canadian and Australian dollar exchange rates compared to the U.S. dollar. The Canadian dollar exchange rate compared to the U.S. dollar decreased 3% in the second quarter of 2022 compared to a 1% increase in the second quarter of 2021. The Australian dollar exchange rate compared to the U.S. dollar decreased 8% in the second quarter of 2022 compared to a 2% decrease in the second quarter of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79,431</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69,759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9,672</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24,058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8,666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15,392</w:t>
            </w:r>
          </w:p>
        </w:tc>
      </w:tr>
      <w:tr>
        <w:trPr>
          <w:trHeight w:val="19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5,534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678</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83,281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25,742</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53,108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44,992</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8,116</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14,458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8,814</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521</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216</w:t>
            </w:r>
          </w:p>
        </w:tc>
      </w:tr>
      <w:tr>
        <w:trPr>
          <w:trHeight w:val="183"/>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75,009</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57,342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17,667</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771,267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723,324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47,943</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0.784</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0.815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(0.031)</w:t>
            </w:r>
          </w:p>
        </w:tc>
      </w:tr>
    </w:tbl>
    <w:p>
      <w:pPr>
        <w:spacing w:after="0" w:line="286" w:lineRule="exact"/>
        <w:rPr>
          <w:sz w:val="20"/>
          <w:szCs w:val="20"/>
          <w:color w:val="auto"/>
        </w:rPr>
      </w:pPr>
    </w:p>
    <w:p>
      <w:pPr>
        <w:ind w:left="300" w:hanging="295"/>
        <w:spacing w:after="0"/>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reported revenues in the second quarter of 2022 that were $25.7 million, or 31%, higher than the second quarter of 2021. The weakening of the average exchange rate for the Canadian dollar relative to the U.S. dollar by 4% in the second quarter of 2022 compared to the second quarter of 2021 resulted in a $4.4 million period-over-period decrease in revenues. Excluding the impact of the weaker Canadian exchange rate, the increase was driven by (i) higher billed rooms at our lodges as occupancy in the second quarter of 2021 was negatively impacted by the COVID-19 pandemic, (ii) a higher average daily rate at our lodges largely due to occupancy mix and (iii) increased mobile asset activity from pipeline projects.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Canadian segment cost of sales and services increased $17.7 million, or 31%, in the second quarter of 2022 compared to the second quarter of 2021. The weakening of the average exchange rate for the Canadian dollar relative to the U.S. dollar by 4% in the second quarter of 2022 compared to the second quarter of 2021 resulted in a $3.0 million period-over-period decrease in cost of sales and services. Excluding the impact of the weaker Canadian exchange rate, the increase in cost of sales and services was driven by increased occupancy at our lodges and by increased mobile asset activity from pipeline projects.</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was largely unchanged, increasing from 31.1% in the second quarter of 2021 to 31.2% in the second quarter of 2022. Accommodation gross margin as a percentage of revenues decreased from 35.5% in the second quarter of 2021 to 33.1% in the second quarter of 2022, as 2021 benefited more significantly from billed rooms that were unused by clients under take-or-pay arrangements. Mobile facility gross margin as a percentage of revenues increased from 34.9% in the second quarter of 2021 to 39.9% in the second quarter of 2022, due to increased mobile asset activity and related operating efficiencies.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39,052</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37,780</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1,272</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(2)</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28,768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26,239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2,529</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67,820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64,019</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3,801</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18,840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18,082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758</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25,154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1,854</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1,659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185</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47,692</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44,895</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2,797</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9"/>
                <w:szCs w:val="9"/>
                <w:color w:val="auto"/>
              </w:rPr>
              <w:t>(3)</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9"/>
                <w:szCs w:val="9"/>
                <w:color w:val="auto"/>
              </w:rPr>
              <w:t>(4)</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505,310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466,298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39,012</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0.715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0.770</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(0.056)</w:t>
            </w:r>
          </w:p>
        </w:tc>
      </w:tr>
    </w:tbl>
    <w:p>
      <w:pPr>
        <w:spacing w:after="0" w:line="286" w:lineRule="exact"/>
        <w:rPr>
          <w:sz w:val="20"/>
          <w:szCs w:val="20"/>
          <w:color w:val="auto"/>
        </w:rPr>
      </w:pPr>
    </w:p>
    <w:p>
      <w:pPr>
        <w:ind w:left="300" w:hanging="295"/>
        <w:spacing w:after="0"/>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reported revenues in the second quarter of 2022 that were $3.8 million, or 6%, higher than the second quarter of 2021. The weakening of the average exchange rate for Australian dollars relative to the U.S. dollar by 7% in the second quarter of 2022 compared to the second quarter of 2021 resulted in a $5.3 million period-over-period decrease in revenues. On a constant currency basis, the Australian segment experienced a 14% period-over-period increase in revenues. Excluding the impact of the weaker Australian exchange rate, the increase in the Australian segment was driven by increased activity at our integrated services villages in Western Australia and Civeo owned villages in the Bowen Basin.</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$2.8 million, or 6%, in the second quarter of 2022 compared to the second quarter of 2021. The weakening of the average exchange rate for Australian dollars relative to the U.S. dollar by 7% in the second quarter of 2022 compared to the second quarter of 2021 resulted in a $3.7 million period-over-period decrease in cost of sales and services. Excluding the impact of the weaker Australian exchange rate, the increase in cost of sales and services was largely driven by (i) increased activity at our integrated services villages in Western Australia, (ii) increased activity our Civeo owned villages in the Bowen Basin and, to a lesser extent, (iii) increased costs of temporary labor due to ongoing labor shortages.</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29.7% in the second quarter of 2022 from 29.9% in the second quarter of 2021. This was primarily driven by higher revenue in our integrated services business, which has a service-only business model, and therefore results in lower overall gross margins than the accommodation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U.S. Segment</w:t>
      </w:r>
    </w:p>
    <w:p>
      <w:pPr>
        <w:spacing w:after="0" w:line="3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1,235</w:t>
            </w:r>
          </w:p>
        </w:tc>
      </w:tr>
      <w:tr>
        <w:trPr>
          <w:trHeight w:val="210"/>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5,765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1,587</w:t>
            </w:r>
          </w:p>
        </w:tc>
      </w:tr>
      <w:tr>
        <w:trPr>
          <w:trHeight w:val="210"/>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bl>
    <w:p>
      <w:pPr>
        <w:spacing w:after="0" w:line="28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U.S. segment reported revenues in the second quarter of 2022 that were $1.2 million, or 18%, higher than the second quarter of 2021. This increase was due to greater U.S. drilling activity positively impacting our wellsite business. This increase was partially offset by reduced revenue from our former West Permian Lodge, which operated in the second quarter of 2021 and was sold in the fourth quarter of 2021, and reduced activity in our offshore business as certain projects were completed in the second quarter of 2021 that did not recur to the same extent in 2022.</w:t>
      </w:r>
    </w:p>
    <w:p>
      <w:pPr>
        <w:spacing w:after="0" w:line="16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cost of sales and services increased $1.6 million, or 28%, in the second quarter of 2022 compared to the second quarter of 2021. This increase was due to greater U.S. drilling activity positively impacting our wellsite business, partially offset by lower costs in our offshore business as certain projects were completed in the second quarter of 2021 that did not recur to the same extent in 2022.</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U.S. segment gross margin as a percentage of revenues decreased from 16.2% in the second quarter of 2021 to 9.4% in the second quarter of 2022 primarily due to our former West Permian Lodge, which operated in the second quarter of 2021 and was sold in the fourth quarter of 2021, and reduced margins from our offshore business as the second quarter of 2021 was positively impacted by higher margins from product sales. These were partially offset by improved margins in our wellsite business due to operating efficiencies at higher activity levels.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Six Months Ended June 30, 2022 Compared to Six Months Ended June 30, 2021</w:t>
      </w:r>
    </w:p>
    <w:p>
      <w:pPr>
        <w:spacing w:after="0" w:line="33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204,975</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145,166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59,809</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131,349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7,693</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350,632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71,026</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150,215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40,988</w:t>
            </w:r>
          </w:p>
        </w:tc>
      </w:tr>
      <w:tr>
        <w:trPr>
          <w:trHeight w:val="204"/>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w:t>
            </w:r>
          </w:p>
        </w:tc>
      </w:tr>
      <w:tr>
        <w:trPr>
          <w:trHeight w:val="190"/>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48,084</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332,153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287,378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44,775</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26,251</w:t>
            </w:r>
          </w:p>
        </w:tc>
      </w:tr>
      <w:tr>
        <w:trPr>
          <w:trHeight w:val="210"/>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24,347</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common shareholders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reported net income attributable to Civeo for the six months ended June 30, 2022 of $10.0 million, or $0.60 per diluted share compared to net loss attributable to Civeo for the six months ended June 30, 2021 of $10.4 million, or $0.73 per diluted share. As further discussed below, net loss for the six months ended June 30, 2021 included a $7.9 million pre-tax loss resulting from the impairment of fixed assets included in Impairment expense.</w:t>
      </w:r>
    </w:p>
    <w:p>
      <w:pPr>
        <w:spacing w:after="0" w:line="57"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$71.0 million, or 25%, in the six months ended June 30, 2022 compared to the six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This increase was primarily driven by (i) higher billed rooms at our Canadian lodges as occupancy in the first half of 2021 was negatively impacted by the COVID-19 pandemic, (ii) higher average daily rate at our Canadian lodges largely due to occupancy mix, (iii) increased mobile asset activity from pipeline projects in Canada, (iv) increased activity at our Australian Civeo owned villages in the Bowen Basin and (v) increased activity at our integrated services villages in Western Australia. These items were partially offset by a weaker Australian and Canadian dollar relative to the U.S. dollar in the six months ended June 30, 2022 compared to the six months ended June 30, 2021. See the discussion of segment results of operations below for further information.</w:t>
      </w:r>
    </w:p>
    <w:p>
      <w:pPr>
        <w:spacing w:after="0" w:line="9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$48.1 million, or 23%, in the six months ended June 30,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six months ended June 30, 2021. This increase was primarily due to (i) higher billed rooms at our Canadian lodges, (ii) increased mobile asset activity from pipeline projects in Canada, (iii) increased activity at our Australian Civeo owned villages in the Bowen Basin, (iv) increased activity at our integrated services villages in Western Australia and (v) increased cost of temporary labor due to ongoing labor shortages in Australia. These items were partially offset by a weaker Australian and Canadian dollar relative to the U.S. dollar in the six months ended June 30, 2022 compared to the six months ended June 30, 2021.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2"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color w:val="auto"/>
        </w:rPr>
        <w:t>. SG&amp;A expense increased $4.0 million, or 14%, in the six months ended June 30, 2022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six months ended June 30, 2021. This increase was primarily due to higher share-based compensation expense, travel and entertainment expense and information technology expense. The increase in share-based compensation expense was due to a relative increase in our stock price during the six months ended June 30, 2022 compared to the six months ended June 30, 2021. The increase in travel and entertainment expenses was largely a result of a return to more normalized travel expenses with the lifting of travel restrictions associated with COVID-19. The increase in information technology expense was related to implementation costs incurred in a cloud computing arrangement for our newly implemented human capital management system, which are being amortized through SG&amp;A expense instead of depreciation and amortization expense.</w:t>
      </w:r>
    </w:p>
    <w:p>
      <w:pPr>
        <w:spacing w:after="0" w:line="106"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$0.6 million, or 1%, in the six months ended June 30,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six months ended June 30, 2021. The increase was primarily due to shortening the lives on certain assets in Canada, partially offset by assets in Canada becoming fully depreciated during 2021 and the disposal of our West Permian Lodge in the U.S. during 2021.</w:t>
      </w:r>
    </w:p>
    <w:p>
      <w:pPr>
        <w:spacing w:after="0" w:line="94"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$7.9 million in the six months ended June 30, 2021 associated with long-lived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our Australian reporting unit.</w:t>
      </w:r>
    </w:p>
    <w:p>
      <w:pPr>
        <w:spacing w:after="0" w:line="52"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See Note 3 - Impairment Charges to the notes to the unaudited consolidated financial statements included in Item 1 of this quarterly report for further discussion.</w:t>
      </w:r>
    </w:p>
    <w:p>
      <w:pPr>
        <w:spacing w:after="0" w:line="92"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Operating Income (Loss). </w:t>
      </w:r>
      <w:r>
        <w:rPr>
          <w:rFonts w:ascii="Times New Roman" w:cs="Times New Roman" w:eastAsia="Times New Roman" w:hAnsi="Times New Roman"/>
          <w:sz w:val="17"/>
          <w:szCs w:val="17"/>
          <w:color w:val="auto"/>
        </w:rPr>
        <w:t>Consolidated operating income increased $26.3 million, or 338%, in the six months ended June 30, 2022 compared to the six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June 30, 2021, primarily due to higher activity levels in Canada and Australia in the six months ended June 30, 2022 compared to the six months ended June 30, 2021 and lower impairment expense in Australia in the six months ended June 30, 2022 compared to the six months ended June 30, 2021.</w:t>
      </w:r>
    </w:p>
    <w:p>
      <w:pPr>
        <w:spacing w:after="0" w:line="80"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$1.7 million, or 25%, in the six months ended June 30, 2022 compared to the six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June 30, 2021, primarily related to lower average debt levels on credit facility borrowings during 2022 compared to 2021.</w:t>
      </w:r>
    </w:p>
    <w:p>
      <w:pPr>
        <w:spacing w:after="0" w:line="168"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Income. </w:t>
      </w:r>
      <w:r>
        <w:rPr>
          <w:rFonts w:ascii="Times New Roman" w:cs="Times New Roman" w:eastAsia="Times New Roman" w:hAnsi="Times New Roman"/>
          <w:sz w:val="17"/>
          <w:szCs w:val="17"/>
          <w:color w:val="auto"/>
        </w:rPr>
        <w:t>Consolidated other income decreased $3.6 million in the six months ended June 30, 2022 compared to the six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The six months ended June 30, 2022 included lower gain on the sale of assets primarily related to various mobile assets across Canada, Australia and the U.S. The six months ended June 30, 2021 included $3.5 million related to proceeds from the Canada Emergency Wage Subsidy (CEWS) and a higher gain on the sale of assets primarily related to the sale of a manufacturing facility and mobile assets in Canada.</w:t>
      </w:r>
    </w:p>
    <w:p>
      <w:pPr>
        <w:spacing w:after="0" w:line="1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Income Tax (Expense) Benefit. </w:t>
      </w:r>
      <w:r>
        <w:rPr>
          <w:rFonts w:ascii="Times New Roman" w:cs="Times New Roman" w:eastAsia="Times New Roman" w:hAnsi="Times New Roman"/>
          <w:sz w:val="17"/>
          <w:szCs w:val="17"/>
          <w:color w:val="auto"/>
        </w:rPr>
        <w:t>Our income tax expense for the six months ended June 30, 2022 totaled $3.4 million, or 21.8%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$0.6 million, or (6.6)% of pretax loss, for the six months ended June 30, 2021. Our effective tax rate for both the six months ended June 30, 2022 and 2021 was impacted by considering Canada and the U.S. loss jurisdictions that were removed from the annual effective tax rate computation for purposes of computing the interim tax provision.</w:t>
      </w:r>
    </w:p>
    <w:p>
      <w:pPr>
        <w:spacing w:after="0" w:line="201"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Income. </w:t>
      </w:r>
      <w:r>
        <w:rPr>
          <w:rFonts w:ascii="Times New Roman" w:cs="Times New Roman" w:eastAsia="Times New Roman" w:hAnsi="Times New Roman"/>
          <w:sz w:val="17"/>
          <w:szCs w:val="17"/>
          <w:color w:val="auto"/>
        </w:rPr>
        <w:t>Other comprehensive loss increased $8.8 million in the six months ended June 30, 2022 compared to the six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June 30, 2021, primarily as a result of foreign currency translation adjustments due to changes in the Canadian and Australian dollar exchange rates compared to the U.S. dollar. The Canadian dollar exchange rate compared to the U.S. dollar decreased 2% in the six months ended June 30, 2022 compared to a 3% increase in the six months ended June 30, 2021. The Australian dollar exchange rate compared to the U.S. dollar decreased 5% in the six months ended June 30, 2022 compared to a 3% decrease in the six months ended June 30,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146,625</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116,289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30,336</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48,076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28,911</w:t>
            </w:r>
          </w:p>
        </w:tc>
      </w:tr>
      <w:tr>
        <w:trPr>
          <w:trHeight w:val="19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10,274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9,712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562</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204,975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145,166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59,809</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106,235</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83,328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22,907</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29,342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16,924</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759</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5,303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398</w:t>
            </w:r>
          </w:p>
        </w:tc>
      </w:tr>
      <w:tr>
        <w:trPr>
          <w:trHeight w:val="183"/>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150,215</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109,227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40,988</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6"/>
              </w:rPr>
              <w:t>1,406,822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1,203,390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203,432</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0.787</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0.802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(0.015)</w:t>
            </w:r>
          </w:p>
        </w:tc>
      </w:tr>
    </w:tbl>
    <w:p>
      <w:pPr>
        <w:spacing w:after="0" w:line="286"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reported revenues in the six months ended June 30, 2022 that were $59.8 million, or 41%, higher than the six months ended June 30, 2021. The weakening of the average exchange rate for the Canadian dollar relative to the U.S. dollar by 2% in the six months ended June 30, 2022 compared to the six months ended June 30, 2021 resulted in a $4.5 million period-over-period decrease in revenues. Excluding the impact of the weaker Canadian exchange rate, the increase was driven by (i) higher billed rooms at our lodges as occupancy in the first half of 2021 was negatively impacted by the COVID-19 pandemic, (ii) a higher average daily rate at our lodges largely due to occupancy mix and (iii) increased mobile asset activity from pipeline projects.</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cost of sales and services increased $41.0 million, or 38%, in the six months ended June 30, 2022 compared to the six months ended June 30, 2021. The weakening of the average exchange rate for the Canadian dollar relative to the U.S. dollar by 2% in the six months ended June 30, 2022 compared to the six months ended June 30, 2021 resulted in a $3.0 million period-over-period decrease in cost of sales and services. Excluding the impact of the weaker Canadian exchange rate, the increase in cost of sales and services was driven by increased occupancy at our lodges and increased mobile asset activity from pipeline projects.</w:t>
      </w:r>
    </w:p>
    <w:p>
      <w:pPr>
        <w:spacing w:after="0" w:line="17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24.8% in the six months ended June 30, 2021 to 26.7% in the six months ended June 30, 2022. This was primarily driven by increased mobile asset activity and related operating efficiencies.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76,651</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71,455</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5,196</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(2)</w:t>
            </w: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54,698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52,201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2,497</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131,349</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123,656</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7,693</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35,187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2,060</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51,371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49,451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1,920</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3,588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3,160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428</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92,206</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87,798</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4,408</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9"/>
                <w:szCs w:val="9"/>
                <w:color w:val="auto"/>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9"/>
                <w:szCs w:val="9"/>
                <w:color w:val="auto"/>
              </w:rPr>
              <w:t>(4)</w:t>
            </w:r>
          </w:p>
        </w:tc>
        <w:tc>
          <w:tcPr>
            <w:tcW w:w="1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979,784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890,964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88,820</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0.719</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0.772</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(0.052)</w:t>
            </w:r>
          </w:p>
        </w:tc>
      </w:tr>
    </w:tbl>
    <w:p>
      <w:pPr>
        <w:spacing w:after="0" w:line="286"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reported revenues in the six months ended June 30, 2022 that were $7.7 million, or 6%, higher than the six months ended June 30, 2021. The weakening of the average exchange rate for Australian dollars relative to the U.S. dollar by 7% in the six months ended June 30, 2022 compared to the six months ended June 30, 2021 resulted in a $9.5 million period-over-period decrease in revenues. Excluding the impact of the weaker Australian exchange rate, the increase in the Australian segment was driven by increased activity at our Civeo owned villages in the Bowen Basin and our integrated services villages in Western Australia.</w:t>
      </w:r>
    </w:p>
    <w:p>
      <w:pPr>
        <w:spacing w:after="0" w:line="17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$4.4 million, or 5%, in the six months ended June 30, 2022 compared to the six months ended June 30, 2021. The weakening of the average exchange rate for Australian dollars relative to the U.S. dollar by 7% in the six months ended June 30, 2022 compared to the six months ended June 30, 2021 resulted in a $6.7 million period-over-period decrease in cost of sales and services. Excluding the impact of the weaker Australian exchange rate, the increase in cost of sales and services was largely driven by (i) increased activity at our Bowen Basin villages, (ii) increased activity at our integrated services villages in Western Australia and (iii) increased costs of temporary labor due to ongoing labor shortages.</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increased to 29.8% in the six months ended June 30, 2022 from 29.0% in the six months ended June 30, 2021. This was primarily driven by improved margins at Civeo owned villages in the Bowen Basin as a result of increased occupancy.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U.S. Segment</w:t>
      </w:r>
    </w:p>
    <w:p>
      <w:pPr>
        <w:spacing w:after="0" w:line="3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10,784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3,524</w:t>
            </w:r>
          </w:p>
        </w:tc>
      </w:tr>
      <w:tr>
        <w:trPr>
          <w:trHeight w:val="210"/>
        </w:trPr>
        <w:tc>
          <w:tcPr>
            <w:tcW w:w="4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10,787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2,688</w:t>
            </w:r>
          </w:p>
        </w:tc>
      </w:tr>
      <w:tr>
        <w:trPr>
          <w:trHeight w:val="210"/>
        </w:trPr>
        <w:tc>
          <w:tcPr>
            <w:tcW w:w="4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reported revenues in the six months ended June 30, 2022 that were $3.5 million, or 33%, higher than the six months ended June 30, 2021. This increase was due to greater U.S. drilling activity positively impacting our wellsite business, partially offset by reduced revenue from our former West Permian Lodge, which operated in the second quarter of 2021 and was sold in the fourth quarter of 2021.</w:t>
      </w:r>
    </w:p>
    <w:p>
      <w:pPr>
        <w:spacing w:after="0" w:line="16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cost of sales and services increased $2.7 million, or 25%, in the six months ended June 30, 2022 compared to the six months ended June 30, 2021. This increase was due to greater U.S. drilling activity positively impacting our wellsite business, partially offset by reduced costs from our former West Permian Lodge, which operated in the second quarter of 2021 and was sold in the fourth quarter of 2021.</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gross margin as a percentage of revenues increased 5.8% from the six months ended June 30, 2021 to the six months ended June 30, 2022 primarily due to improved margins in our wellsite business due to operating efficiencies at higher activity levels, partially offset by our former West Permian Lodge, which operated in the second quarter of 2021 and was sold in the fourth quarter of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shares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June 30, 2022 and December 31, 2021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(112,026)</w:t>
            </w:r>
          </w:p>
        </w:tc>
      </w:tr>
      <w:tr>
        <w:trPr>
          <w:trHeight w:val="20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18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280" w:type="dxa"/>
            <w:vAlign w:val="bottom"/>
          </w:tcPr>
          <w:p>
            <w:pPr>
              <w:spacing w:after="0"/>
              <w:rPr>
                <w:sz w:val="15"/>
                <w:szCs w:val="15"/>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90,502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86,535</w:t>
            </w:r>
          </w:p>
        </w:tc>
      </w:tr>
      <w:tr>
        <w:trPr>
          <w:trHeight w:val="19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r>
      <w:tr>
        <w:trPr>
          <w:trHeight w:val="196"/>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95,284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92,817</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Cash totaling $23.6 million was provided by operations during the six months ended June 30, 2022, compared to $29.4 million provided by operations during the six months ended June 30, 2021. During the six months ended June 30, 2022 and 2021, $36.6 million and $13.8 million was used in working capital, respectively. The increase in cash used in working capital in 2022 compared to 2021 is largely due to the timing of customer payments and revenue recognition as it relates to mobile asset activity in Canada and decreased accounts payable and accrual balances, substantially due to timing of payments during the six months ended June 30, 2022 compared to the six months ended June 30, 2021.</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Cash was used in investing activities during the six months ended June 30, 2022 in the amount of $5.2 million, compared to cash provided by investing activities during the six months ended June 30, 2021 in the amount of $0.5 million. The decrease in cash provided by investing activities was primarily due to the receipt of proceeds from the sale of our manufacturing facility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and mobile assets in Canada during the six months ended June 30, 2021. Capital expenditures totaled $8.6 million and $6.5 million during the six months ended June 30, 2022 and 2021, respectively. Capital expenditures in both periods were primarily maintenance related.</w:t>
      </w:r>
    </w:p>
    <w:p>
      <w:pPr>
        <w:spacing w:after="0" w:line="17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2022 to be in the range of $24 million to $29 million, which excludes any unannounced and uncommitted projects, the spending for which is contingent on obtaining customer contracts or commitments. Our 2022 capital expenditures estimate includes the capital expenditures associated with our recently announced 12-year contract renewal for our Wapasu Lodge in the Canadian oil sands. Whether planned expenditures will actually be spent in 2022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the price of and demand for crude oil, met coal, LNG and iron ore and the resultant impact on the capital spending plans of our customers, inflation, the COVID-19 global pandemic and the responses thereto in order to plan our business activities, and we may adjust our capital expenditure plans in the future.</w:t>
      </w:r>
    </w:p>
    <w:p>
      <w:pPr>
        <w:spacing w:after="0" w:line="17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cash of $19.9 million was used in financing activities during the six months ended June 30, 2022 primarily due to net repayments under our revolving credit facilities of $2.6 million, term loan repayments of $15.8 million, $0.5 million used to repurchase our common shares and $1.0 million used to settle tax obligations on vested shares under our share-based compensation plans. Net cash of $31.1 million was used in financing activities during the six months ended June 30, 2021 primarily due to net repayments under our revolving credit facilities of $12.1 million, repayments of term loan borrowings of $17.9 million and $1.1 million used to settle tax obligations on vested shares under our share-based compensation plans.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six months ended June 30, 2022 (in thousands):</w:t>
      </w:r>
    </w:p>
    <w:p>
      <w:pPr>
        <w:spacing w:after="0" w:line="347" w:lineRule="exact"/>
        <w:rPr>
          <w:sz w:val="20"/>
          <w:szCs w:val="20"/>
          <w:color w:val="auto"/>
        </w:rPr>
      </w:pPr>
    </w:p>
    <w:tbl>
      <w:tblPr>
        <w:tblLayout w:type="fixed"/>
        <w:tblInd w:w="2460" w:type="dxa"/>
        <w:tblCellMar>
          <w:top w:w="0" w:type="dxa"/>
          <w:left w:w="0" w:type="dxa"/>
          <w:bottom w:w="0" w:type="dxa"/>
          <w:right w:w="0" w:type="dxa"/>
        </w:tblCellMar>
      </w:tblPr>
      <w:tr>
        <w:trPr>
          <w:trHeight w:val="19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175,130</w:t>
            </w:r>
          </w:p>
        </w:tc>
      </w:tr>
      <w:tr>
        <w:trPr>
          <w:trHeight w:val="189"/>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155,712</w:t>
            </w:r>
          </w:p>
        </w:tc>
      </w:tr>
      <w:tr>
        <w:trPr>
          <w:trHeight w:val="204"/>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facilities</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(158,288)</w:t>
            </w:r>
          </w:p>
        </w:tc>
      </w:tr>
      <w:tr>
        <w:trPr>
          <w:trHeight w:val="189"/>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term loans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(15,763)</w:t>
            </w:r>
          </w:p>
        </w:tc>
      </w:tr>
      <w:tr>
        <w:trPr>
          <w:trHeight w:val="197"/>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154,638</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the impact of COVID-19 or changes in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August 2021, our Board authorized a common share repurchase program to repurchase up to 5.0% of our total common shares which are issued and outstanding, or 715,814 common shares, over a twelve month period. See Note 12 – Share Repurchase Program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June 30,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June 30,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20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June 30, 2022, thereby increasing the liquidation preference to $10,884 per share as of June 30, 2022. We currently expect to pay dividends on the preferred shares through an increase in liquidation preference rather than cash until they mandatorily convert to Civeo common shares in April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2021.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June 30, 2022, we had $154.6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$1.5 million annually, based on our floating-rate debt obligations and interest rates in effect as of June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C$238 million and A$225 million, respectively, at June 30, 2022.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2022 would result in translation adjustments of approximately $24 million and $23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2022, at the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months ended June 30, 2022,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For additional information about our risk factors, you should carefully read the section entitled "Risk Factors” included in our Annual Report on Form 10-K for the year ended December 31,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June 30, 2022.</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2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2020" w:type="dxa"/>
            <w:vAlign w:val="bottom"/>
          </w:tcPr>
          <w:p>
            <w:pPr>
              <w:jc w:val="center"/>
              <w:ind w:left="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20" w:type="dxa"/>
            <w:vAlign w:val="bottom"/>
          </w:tcPr>
          <w:p>
            <w:pPr>
              <w:jc w:val="center"/>
              <w:ind w:left="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 plans</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2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 April 30, 2022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23.76</w:t>
            </w:r>
          </w:p>
        </w:tc>
        <w:tc>
          <w:tcPr>
            <w:tcW w:w="2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22,411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475,724</w:t>
            </w:r>
          </w:p>
        </w:tc>
        <w:tc>
          <w:tcPr>
            <w:tcW w:w="0" w:type="dxa"/>
            <w:vAlign w:val="bottom"/>
          </w:tcPr>
          <w:p>
            <w:pPr>
              <w:spacing w:after="0"/>
              <w:rPr>
                <w:sz w:val="1"/>
                <w:szCs w:val="1"/>
                <w:color w:val="auto"/>
              </w:rPr>
            </w:pPr>
          </w:p>
        </w:tc>
      </w:tr>
      <w:tr>
        <w:trPr>
          <w:trHeight w:val="208"/>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2022 - May 31, 2022</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 June 30, 2022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22.411</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23.76</w:t>
            </w: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22.411</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475,724</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20" w:hanging="315"/>
        <w:spacing w:after="0" w:line="236"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August 2021, our Board authorized a common share repurchase program to repurchase up to 5.0% of our total common shares which are issued and outstanding, or 715,814 common shares, over a twelve month period. We repurchased an aggregate of 22,411 of our common shares outstanding for approximately $0.5 million during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4" w:lineRule="exact"/>
        <w:rPr>
          <w:sz w:val="20"/>
          <w:szCs w:val="20"/>
          <w:color w:val="auto"/>
        </w:rPr>
      </w:pPr>
    </w:p>
    <w:p>
      <w:pPr>
        <w:ind w:left="640" w:hanging="478"/>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51" w:lineRule="exact"/>
        <w:rPr>
          <w:sz w:val="20"/>
          <w:szCs w:val="20"/>
          <w:color w:val="auto"/>
        </w:rPr>
      </w:pPr>
    </w:p>
    <w:p>
      <w:pPr>
        <w:ind w:left="520"/>
        <w:spacing w:after="0"/>
        <w:tabs>
          <w:tab w:leader="none" w:pos="5860" w:val="left"/>
        </w:tabs>
        <w:rPr>
          <w:sz w:val="20"/>
          <w:szCs w:val="20"/>
          <w:color w:val="auto"/>
        </w:rPr>
      </w:pPr>
      <w:r>
        <w:rPr>
          <w:rFonts w:ascii="Times New Roman" w:cs="Times New Roman" w:eastAsia="Times New Roman" w:hAnsi="Times New Roman"/>
          <w:sz w:val="17"/>
          <w:szCs w:val="17"/>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00" w:lineRule="exact"/>
        <w:rPr>
          <w:sz w:val="20"/>
          <w:szCs w:val="20"/>
          <w:color w:val="auto"/>
        </w:rPr>
      </w:pP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 Securities</w:t>
            </w:r>
          </w:p>
        </w:tc>
      </w:tr>
      <w:tr>
        <w:trPr>
          <w:trHeight w:val="163"/>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20" w:type="dxa"/>
            <w:vAlign w:val="bottom"/>
            <w:tcBorders>
              <w:top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 Securities</w:t>
            </w:r>
          </w:p>
        </w:tc>
      </w:tr>
      <w:tr>
        <w:trPr>
          <w:trHeight w:val="163"/>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40" w:type="dxa"/>
            <w:vAlign w:val="bottom"/>
            <w:tcBorders>
              <w:top w:val="single" w:sz="8" w:color="0000FF"/>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 Securities</w:t>
            </w:r>
          </w:p>
        </w:tc>
      </w:tr>
      <w:tr>
        <w:trPr>
          <w:trHeight w:val="163"/>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1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 Securities</w:t>
            </w:r>
          </w:p>
        </w:tc>
      </w:tr>
      <w:tr>
        <w:trPr>
          <w:trHeight w:val="163"/>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1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2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 XBRL tags</w:t>
            </w:r>
          </w:p>
        </w:tc>
      </w:tr>
      <w:tr>
        <w:trPr>
          <w:trHeight w:val="228"/>
        </w:trPr>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4" w:lineRule="exact"/>
        <w:rPr>
          <w:sz w:val="20"/>
          <w:szCs w:val="20"/>
          <w:color w:val="auto"/>
        </w:rPr>
      </w:pPr>
    </w:p>
    <w:p>
      <w:pPr>
        <w:ind w:left="1600" w:hanging="1263"/>
        <w:spacing w:after="0"/>
        <w:tabs>
          <w:tab w:leader="none" w:pos="1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10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3"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8" w:name="page39"/>
    <w:bookmarkEnd w:id="38"/>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3"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August 4, 2022</w:t>
      </w:r>
      <w:r>
        <w:rPr>
          <w:sz w:val="20"/>
          <w:szCs w:val="20"/>
          <w:color w:val="auto"/>
        </w:rPr>
        <w:tab/>
      </w:r>
      <w:r>
        <w:rPr>
          <w:rFonts w:ascii="Times New Roman" w:cs="Times New Roman" w:eastAsia="Times New Roman" w:hAnsi="Times New Roman"/>
          <w:sz w:val="17"/>
          <w:szCs w:val="17"/>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642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Carolyn J. Stone</w:t>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2"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00" w:right="230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7"/>
          <w:szCs w:val="17"/>
          <w:color w:val="auto"/>
        </w:rPr>
      </w:pPr>
    </w:p>
    <w:p>
      <w:pPr>
        <w:ind w:left="700" w:right="232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right="2300" w:hanging="367"/>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00" w:right="2320" w:hanging="367"/>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40" w:right="2300" w:hanging="318"/>
        <w:spacing w:after="0" w:line="232"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00" w:right="2320" w:hanging="367"/>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00" w:right="2300" w:hanging="367"/>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1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Carolyn J. Stone, certify that:</w:t>
      </w:r>
    </w:p>
    <w:p>
      <w:pPr>
        <w:spacing w:after="0" w:line="355" w:lineRule="exact"/>
        <w:rPr>
          <w:sz w:val="20"/>
          <w:szCs w:val="20"/>
          <w:color w:val="auto"/>
        </w:rPr>
      </w:pPr>
    </w:p>
    <w:p>
      <w:pPr>
        <w:ind w:left="320" w:hanging="298"/>
        <w:spacing w:after="0"/>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2" w:lineRule="auto"/>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20" w:right="2400" w:hanging="39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7"/>
          <w:szCs w:val="17"/>
          <w:color w:val="auto"/>
        </w:rPr>
      </w:pPr>
    </w:p>
    <w:p>
      <w:pPr>
        <w:ind w:left="720" w:right="2400" w:hanging="39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sz w:val="20"/>
          <w:szCs w:val="20"/>
          <w:color w:val="auto"/>
        </w:rPr>
      </w:pPr>
    </w:p>
    <w:p>
      <w:pPr>
        <w:jc w:val="both"/>
        <w:ind w:left="720" w:right="2400" w:hanging="397"/>
        <w:spacing w:after="0" w:line="230" w:lineRule="auto"/>
        <w:tabs>
          <w:tab w:leader="none" w:pos="7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20" w:right="2400" w:hanging="298"/>
        <w:spacing w:after="0" w:line="232" w:lineRule="auto"/>
        <w:tabs>
          <w:tab w:leader="none" w:pos="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20" w:right="2400" w:hanging="393"/>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3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Carolyn J. Stone</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5" w:lineRule="exact"/>
        <w:rPr>
          <w:sz w:val="20"/>
          <w:szCs w:val="20"/>
          <w:color w:val="auto"/>
        </w:rPr>
      </w:pPr>
    </w:p>
    <w:p>
      <w:pPr>
        <w:jc w:val="both"/>
        <w:ind w:firstLine="786"/>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2022,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95"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8" w:lineRule="auto"/>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1"/>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34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Bradley J. Dodson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August 4, 2022</w:t>
            </w:r>
          </w:p>
        </w:tc>
      </w:tr>
    </w:tbl>
    <w:p>
      <w:pPr>
        <w:sectPr>
          <w:pgSz w:w="11900" w:h="16838" w:orient="portrait"/>
          <w:cols w:equalWidth="0" w:num="1">
            <w:col w:w="11240"/>
          </w:cols>
          <w:pgMar w:left="320" w:top="86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ind w:firstLine="786"/>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2022,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29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8" w:lineRule="auto"/>
        <w:tabs>
          <w:tab w:leader="none" w:pos="2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Carolyn J. Stone</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1"/>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Carolyn J. Stone</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August 4, 2022</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
      <w:numFmt w:val="bullet"/>
      <w:start w:val="1"/>
    </w:lvl>
    <w:lvl w:ilvl="1">
      <w:lvlJc w:val="left"/>
      <w:lvlText w:val="%2"/>
      <w:numFmt w:val="decimal"/>
      <w:start w:val="104"/>
    </w:lvl>
  </w:abstractNum>
  <w:abstractNum w:abstractNumId="19">
    <w:nsid w:val="189A769B"/>
    <w:multiLevelType w:val="hybridMultilevel"/>
    <w:lvl w:ilvl="0">
      <w:lvlJc w:val="left"/>
      <w:lvlText w:val="**"/>
      <w:numFmt w:val="bullet"/>
      <w:start w:val="1"/>
    </w:lvl>
    <w:lvl w:ilvl="1">
      <w:lvlJc w:val="left"/>
      <w:lvlText w:val="%2"/>
      <w:numFmt w:val="decimal"/>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2"/>
      <w:numFmt w:val="bullet"/>
      <w:start w:val="1"/>
    </w:lvl>
  </w:abstractNum>
  <w:abstractNum w:abstractNumId="22">
    <w:nsid w:val="2CA88611"/>
    <w:multiLevelType w:val="hybridMultilevel"/>
    <w:lvl w:ilvl="0">
      <w:lvlJc w:val="left"/>
      <w:lvlText w:val="3"/>
      <w:numFmt w:val="bullet"/>
      <w:start w:val="1"/>
    </w:lvl>
  </w:abstractNum>
  <w:abstractNum w:abstractNumId="23">
    <w:nsid w:val="836C40E"/>
    <w:multiLevelType w:val="hybridMultilevel"/>
    <w:lvl w:ilvl="0">
      <w:lvlJc w:val="left"/>
      <w:lvlText w:val="4"/>
      <w:numFmt w:val="bullet"/>
      <w:start w:val="1"/>
    </w:lvl>
  </w:abstractNum>
  <w:abstractNum w:abstractNumId="24">
    <w:nsid w:val="2901D82"/>
    <w:multiLevelType w:val="hybridMultilevel"/>
    <w:lvl w:ilvl="0">
      <w:lvlJc w:val="left"/>
      <w:lvlText w:val="5"/>
      <w:numFmt w:val="bullet"/>
      <w:start w:val="1"/>
    </w:lvl>
  </w:abstractNum>
  <w:abstractNum w:abstractNumId="25">
    <w:nsid w:val="3A95F874"/>
    <w:multiLevelType w:val="hybridMultilevel"/>
    <w:lvl w:ilvl="0">
      <w:lvlJc w:val="left"/>
      <w:lvlText w:val="1"/>
      <w:numFmt w:val="bullet"/>
      <w:start w:val="1"/>
    </w:lvl>
  </w:abstractNum>
  <w:abstractNum w:abstractNumId="26">
    <w:nsid w:val="8138641"/>
    <w:multiLevelType w:val="hybridMultilevel"/>
    <w:lvl w:ilvl="0">
      <w:lvlJc w:val="left"/>
      <w:lvlText w:val="2"/>
      <w:numFmt w:val="bullet"/>
      <w:start w:val="1"/>
    </w:lvl>
  </w:abstractNum>
  <w:abstractNum w:abstractNumId="27">
    <w:nsid w:val="1E7FF521"/>
    <w:multiLevelType w:val="hybridMultilevel"/>
    <w:lvl w:ilvl="0">
      <w:lvlJc w:val="left"/>
      <w:lvlText w:val="3"/>
      <w:numFmt w:val="bullet"/>
      <w:start w:val="1"/>
    </w:lvl>
  </w:abstractNum>
  <w:abstractNum w:abstractNumId="28">
    <w:nsid w:val="7C3DBD3D"/>
    <w:multiLevelType w:val="hybridMultilevel"/>
    <w:lvl w:ilvl="0">
      <w:lvlJc w:val="left"/>
      <w:lvlText w:val="4"/>
      <w:numFmt w:val="bullet"/>
      <w:start w:val="1"/>
    </w:lvl>
  </w:abstractNum>
  <w:abstractNum w:abstractNumId="29">
    <w:nsid w:val="737B8DDC"/>
    <w:multiLevelType w:val="hybridMultilevel"/>
    <w:lvl w:ilvl="0">
      <w:lvlJc w:val="left"/>
      <w:lvlText w:val="d"/>
      <w:numFmt w:val="bullet"/>
      <w:start w:val="1"/>
    </w:lvl>
  </w:abstractNum>
  <w:abstractNum w:abstractNumId="30">
    <w:nsid w:val="6CEAF087"/>
    <w:multiLevelType w:val="hybridMultilevel"/>
    <w:lvl w:ilvl="0">
      <w:lvlJc w:val="left"/>
      <w:lvlText w:val="5"/>
      <w:numFmt w:val="bullet"/>
      <w:start w:val="1"/>
    </w:lvl>
  </w:abstractNum>
  <w:abstractNum w:abstractNumId="31">
    <w:nsid w:val="22221A70"/>
    <w:multiLevelType w:val="hybridMultilevel"/>
    <w:lvl w:ilvl="0">
      <w:lvlJc w:val="left"/>
      <w:lvlText w:val="2"/>
      <w:numFmt w:val="bullet"/>
      <w:start w:val="1"/>
    </w:lvl>
  </w:abstractNum>
  <w:abstractNum w:abstractNumId="32">
    <w:nsid w:val="4516DDE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2022-08-04T16:38:28Z</dcterms:created>
  <dcterms:modified xsi:type="dcterms:W3CDTF">2022-08-04T16:38:28Z</dcterms:modified>
</cp:coreProperties>
</file>